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u w:val="single" w:color="auto"/>
          <w:color w:val="0000EE"/>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2">
        <w:r>
          <w:rPr>
            <w:rFonts w:ascii="Times New Roman" w:cs="Times New Roman" w:eastAsia="Times New Roman" w:hAnsi="Times New Roman"/>
            <w:sz w:val="13"/>
            <w:szCs w:val="13"/>
            <w:u w:val="single" w:color="auto"/>
            <w:color w:val="0000EE"/>
          </w:rPr>
          <w:t>Table of Contents</w:t>
        </w:r>
      </w:hyperlink>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77" w:lineRule="exact"/>
        <w:rPr>
          <w:sz w:val="24"/>
          <w:szCs w:val="24"/>
          <w:color w:val="auto"/>
        </w:rPr>
      </w:pPr>
    </w:p>
    <w:p>
      <w:pPr>
        <w:ind w:left="3740" w:right="1700" w:hanging="3732"/>
        <w:spacing w:after="0" w:line="380" w:lineRule="auto"/>
        <w:tabs>
          <w:tab w:leader="none" w:pos="571"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1-14116</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8"/>
              </w:rPr>
              <w:t>California</w:t>
            </w:r>
          </w:p>
        </w:tc>
        <w:tc>
          <w:tcPr>
            <w:tcW w:w="36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40" w:type="dxa"/>
            <w:vAlign w:val="bottom"/>
          </w:tcPr>
          <w:p>
            <w:pPr>
              <w:spacing w:after="0"/>
              <w:rPr>
                <w:sz w:val="24"/>
                <w:szCs w:val="24"/>
                <w:color w:val="auto"/>
              </w:rPr>
            </w:pPr>
          </w:p>
        </w:tc>
      </w:tr>
      <w:tr>
        <w:trPr>
          <w:trHeight w:val="216"/>
        </w:trPr>
        <w:tc>
          <w:tcPr>
            <w:tcW w:w="54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34"/>
        </w:trPr>
        <w:tc>
          <w:tcPr>
            <w:tcW w:w="54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0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324"/>
        </w:trPr>
        <w:tc>
          <w:tcPr>
            <w:tcW w:w="460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2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6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CPSS</w:t>
            </w:r>
          </w:p>
        </w:tc>
        <w:tc>
          <w:tcPr>
            <w:tcW w:w="43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[_]</w:t>
      </w:r>
    </w:p>
    <w:p>
      <w:pPr>
        <w:spacing w:after="0" w:line="6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51" w:right="239" w:bottom="1440" w:gutter="0" w:footer="0" w:header="0"/>
        </w:sectPr>
      </w:pPr>
    </w:p>
    <w:p>
      <w:pPr>
        <w:spacing w:after="0" w:line="5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Large accelerated filer [_]</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90" w:lineRule="exact"/>
        <w:rPr>
          <w:sz w:val="24"/>
          <w:szCs w:val="24"/>
          <w:color w:val="auto"/>
        </w:rPr>
      </w:pPr>
    </w:p>
    <w:p>
      <w:pPr>
        <w:sectPr>
          <w:pgSz w:w="11900" w:h="16838" w:orient="portrait"/>
          <w:cols w:equalWidth="0" w:num="2">
            <w:col w:w="7040" w:space="720"/>
            <w:col w:w="3660"/>
          </w:cols>
          <w:pgMar w:left="240" w:top="351" w:right="2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Non-accelerated filer [_]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 [X]</w:t>
      </w:r>
    </w:p>
    <w:p>
      <w:pPr>
        <w:spacing w:after="0" w:line="90" w:lineRule="exact"/>
        <w:rPr>
          <w:sz w:val="24"/>
          <w:szCs w:val="24"/>
          <w:color w:val="auto"/>
        </w:rPr>
      </w:pPr>
    </w:p>
    <w:p>
      <w:pPr>
        <w:sectPr>
          <w:pgSz w:w="11900" w:h="16838" w:orient="portrait"/>
          <w:cols w:equalWidth="0" w:num="2">
            <w:col w:w="7040" w:space="720"/>
            <w:col w:w="3660"/>
          </w:cols>
          <w:pgMar w:left="240" w:top="351" w:right="2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Emerging growth company [_]</w:t>
      </w:r>
    </w:p>
    <w:p>
      <w:pPr>
        <w:sectPr>
          <w:pgSz w:w="11900" w:h="16838" w:orient="portrait"/>
          <w:cols w:equalWidth="0" w:num="1">
            <w:col w:w="11420"/>
          </w:cols>
          <w:pgMar w:left="240" w:top="351" w:right="239" w:bottom="1440" w:gutter="0" w:footer="0" w:header="0"/>
          <w:type w:val="continuous"/>
        </w:sectPr>
      </w:pPr>
    </w:p>
    <w:p>
      <w:pPr>
        <w:spacing w:after="0" w:line="1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w:t>
      </w:r>
    </w:p>
    <w:p>
      <w:pPr>
        <w:spacing w:after="0" w:line="54" w:lineRule="exact"/>
        <w:rPr>
          <w:sz w:val="24"/>
          <w:szCs w:val="24"/>
          <w:color w:val="auto"/>
        </w:rPr>
      </w:pPr>
    </w:p>
    <w:p>
      <w:pPr>
        <w:ind w:right="2520"/>
        <w:spacing w:after="0" w:line="407"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[_] No [X] As of November 6, 2019 the registrant had 22,530,918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type w:val="continuous"/>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0" w:type="dxa"/>
            <w:vAlign w:val="bottom"/>
            <w:gridSpan w:val="8"/>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0" w:type="dxa"/>
            <w:vAlign w:val="bottom"/>
            <w:gridSpan w:val="8"/>
            <w:vMerge w:val="continue"/>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3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Condensed Consolidated Balance Sheets as of September 30, 2019 and December 31, 2018</w:t>
              </w:r>
            </w:hyperlink>
          </w:p>
        </w:tc>
        <w:tc>
          <w:tcPr>
            <w:tcW w:w="1980" w:type="dxa"/>
            <w:vAlign w:val="bottom"/>
            <w:gridSpan w:val="5"/>
          </w:tcPr>
          <w:p>
            <w:pPr>
              <w:spacing w:after="0"/>
              <w:rPr>
                <w:sz w:val="21"/>
                <w:szCs w:val="21"/>
                <w:color w:val="auto"/>
              </w:rPr>
            </w:pPr>
          </w:p>
        </w:tc>
        <w:tc>
          <w:tcPr>
            <w:tcW w:w="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92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Condensed Consolidated Statements of Operations for the three-month and nine-month periods ended September 30,</w:t>
              </w:r>
            </w:hyperlink>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2019 and 2018</w:t>
              </w:r>
            </w:hyperlink>
          </w:p>
        </w:tc>
        <w:tc>
          <w:tcPr>
            <w:tcW w:w="8280" w:type="dxa"/>
            <w:vAlign w:val="bottom"/>
            <w:gridSpan w:val="11"/>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9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Unaudited Condensed Consolidated Statements of Comprehensive Income for the three-month and nine-month periods ended</w:t>
              </w:r>
            </w:hyperlink>
          </w:p>
        </w:tc>
        <w:tc>
          <w:tcPr>
            <w:tcW w:w="300" w:type="dxa"/>
            <w:vAlign w:val="bottom"/>
            <w:gridSpan w:val="3"/>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September 30, 2019 and 2018</w:t>
              </w:r>
            </w:hyperlink>
          </w:p>
        </w:tc>
        <w:tc>
          <w:tcPr>
            <w:tcW w:w="7200" w:type="dxa"/>
            <w:vAlign w:val="bottom"/>
            <w:gridSpan w:val="8"/>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9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Condensed Consolidated Statements of Cash Flows for the nine-month periods ended September 30, 2019 and 2018</w:t>
              </w:r>
            </w:hyperlink>
          </w:p>
        </w:tc>
        <w:tc>
          <w:tcPr>
            <w:tcW w:w="200" w:type="dxa"/>
            <w:vAlign w:val="bottom"/>
            <w:gridSpan w:val="2"/>
          </w:tcPr>
          <w:p>
            <w:pPr>
              <w:spacing w:after="0"/>
              <w:rPr>
                <w:sz w:val="21"/>
                <w:szCs w:val="21"/>
                <w:color w:val="auto"/>
              </w:rPr>
            </w:pPr>
          </w:p>
        </w:tc>
        <w:tc>
          <w:tcPr>
            <w:tcW w:w="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9360" w:type="dxa"/>
            <w:vAlign w:val="bottom"/>
            <w:gridSpan w:val="12"/>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Condensed Consolidated Statements of Shareholders’ Equity for the three-month and nine-month periods ended</w:t>
              </w:r>
            </w:hyperlink>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September 30, 2019 and 2018</w:t>
              </w:r>
            </w:hyperlink>
          </w:p>
        </w:tc>
        <w:tc>
          <w:tcPr>
            <w:tcW w:w="6700" w:type="dxa"/>
            <w:vAlign w:val="bottom"/>
            <w:tcBorders>
              <w:top w:val="single" w:sz="8" w:color="0000EE"/>
            </w:tcBorders>
            <w:gridSpan w:val="4"/>
          </w:tcPr>
          <w:p>
            <w:pPr>
              <w:spacing w:after="0"/>
              <w:rPr>
                <w:sz w:val="17"/>
                <w:szCs w:val="17"/>
                <w:color w:val="auto"/>
              </w:rPr>
            </w:pPr>
          </w:p>
        </w:tc>
        <w:tc>
          <w:tcPr>
            <w:tcW w:w="500" w:type="dxa"/>
            <w:vAlign w:val="bottom"/>
            <w:gridSpan w:val="4"/>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4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Unaudited Condensed Consolidated Financial Statements</w:t>
              </w:r>
            </w:hyperlink>
          </w:p>
        </w:tc>
        <w:tc>
          <w:tcPr>
            <w:tcW w:w="4560" w:type="dxa"/>
            <w:vAlign w:val="bottom"/>
            <w:gridSpan w:val="7"/>
          </w:tcPr>
          <w:p>
            <w:pPr>
              <w:spacing w:after="0"/>
              <w:rPr>
                <w:sz w:val="21"/>
                <w:szCs w:val="21"/>
                <w:color w:val="auto"/>
              </w:rPr>
            </w:pPr>
          </w:p>
        </w:tc>
        <w:tc>
          <w:tcPr>
            <w:tcW w:w="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2"/>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Controls and Procedures</w:t>
              </w:r>
            </w:hyperlink>
          </w:p>
        </w:tc>
        <w:tc>
          <w:tcPr>
            <w:tcW w:w="4680" w:type="dxa"/>
            <w:vAlign w:val="bottom"/>
            <w:tcBorders>
              <w:top w:val="single" w:sz="8" w:color="0000EE"/>
            </w:tcBorders>
            <w:gridSpan w:val="3"/>
          </w:tcPr>
          <w:p>
            <w:pPr>
              <w:spacing w:after="0"/>
              <w:rPr>
                <w:sz w:val="21"/>
                <w:szCs w:val="21"/>
                <w:color w:val="auto"/>
              </w:rPr>
            </w:pPr>
          </w:p>
        </w:tc>
        <w:tc>
          <w:tcPr>
            <w:tcW w:w="2900" w:type="dxa"/>
            <w:vAlign w:val="bottom"/>
            <w:gridSpan w:val="6"/>
          </w:tcPr>
          <w:p>
            <w:pPr>
              <w:spacing w:after="0"/>
              <w:rPr>
                <w:sz w:val="21"/>
                <w:szCs w:val="21"/>
                <w:color w:val="auto"/>
              </w:rPr>
            </w:pPr>
          </w:p>
        </w:tc>
        <w:tc>
          <w:tcPr>
            <w:tcW w:w="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8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2080" w:type="dxa"/>
            <w:vAlign w:val="bottom"/>
          </w:tcPr>
          <w:p>
            <w:pPr>
              <w:spacing w:after="0"/>
              <w:rPr>
                <w:sz w:val="20"/>
                <w:szCs w:val="20"/>
                <w:color w:val="auto"/>
              </w:rPr>
            </w:pPr>
          </w:p>
        </w:tc>
      </w:tr>
      <w:tr>
        <w:trPr>
          <w:trHeight w:val="39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Legal Proceedings</w:t>
              </w:r>
            </w:hyperlink>
          </w:p>
        </w:tc>
        <w:tc>
          <w:tcPr>
            <w:tcW w:w="6380" w:type="dxa"/>
            <w:vAlign w:val="bottom"/>
            <w:gridSpan w:val="2"/>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720" w:type="dxa"/>
            <w:vAlign w:val="bottom"/>
            <w:gridSpan w:val="6"/>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Risk Factors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Unregistered Sales of Equity Securities and Use of Proceeds</w:t>
              </w:r>
            </w:hyperlink>
          </w:p>
        </w:tc>
        <w:tc>
          <w:tcPr>
            <w:tcW w:w="3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720" w:type="dxa"/>
            <w:vAlign w:val="bottom"/>
            <w:gridSpan w:val="6"/>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Exhibits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720" w:type="dxa"/>
            <w:vAlign w:val="bottom"/>
            <w:gridSpan w:val="6"/>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Signatures</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79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8,799</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128,556</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117,323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Finance receivables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1,022,391</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1,522,085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160" w:type="dxa"/>
            <w:vAlign w:val="bottom"/>
          </w:tcPr>
          <w:p>
            <w:pPr>
              <w:spacing w:after="0"/>
              <w:rPr>
                <w:sz w:val="19"/>
                <w:szCs w:val="19"/>
                <w:color w:val="auto"/>
              </w:rPr>
            </w:pP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Finance receivables, net</w:t>
            </w: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1,009,651</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1,454,709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1,313,205</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821,066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16,125</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19,188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12,729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46,695</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26,801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2,537,462</w:t>
            </w:r>
          </w:p>
        </w:tc>
        <w:tc>
          <w:tcPr>
            <w:tcW w:w="36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2,485,680</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55,431</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157,761</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136,847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39,385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2,066,458</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2,063,627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tcPr>
          <w:p>
            <w:pPr>
              <w:spacing w:after="0"/>
              <w:rPr>
                <w:sz w:val="19"/>
                <w:szCs w:val="19"/>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15,529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2,334,564</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2,288,562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60" w:type="dxa"/>
            <w:vAlign w:val="bottom"/>
            <w:shd w:val="clear" w:color="auto" w:fill="EEEEEE"/>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75,000,000 shares; 22,525,718 and 22,421,688 shares issued</w:t>
            </w: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and outstanding at September 30, 2019 and December 31, 2018, respectively</w:t>
            </w:r>
          </w:p>
        </w:tc>
        <w:tc>
          <w:tcPr>
            <w:tcW w:w="160" w:type="dxa"/>
            <w:vAlign w:val="bottom"/>
            <w:shd w:val="clear" w:color="auto" w:fill="EEEEEE"/>
          </w:tcPr>
          <w:p>
            <w:pPr>
              <w:spacing w:after="0"/>
              <w:rPr>
                <w:sz w:val="20"/>
                <w:szCs w:val="20"/>
                <w:color w:val="auto"/>
              </w:rPr>
            </w:pPr>
          </w:p>
        </w:tc>
        <w:tc>
          <w:tcPr>
            <w:tcW w:w="18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70,676</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70,273</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139,776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(7,554)</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202,898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2,537,462</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2,485,680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 w:name="page4"/>
    <w:bookmarkEnd w:id="3"/>
    <w:p>
      <w:pPr>
        <w:jc w:val="center"/>
        <w:ind w:left="260" w:right="2440"/>
        <w:spacing w:after="0" w:line="331"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83,528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93,617</w:t>
            </w:r>
          </w:p>
        </w:tc>
        <w:tc>
          <w:tcPr>
            <w:tcW w:w="4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253,822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1,994</w:t>
            </w:r>
          </w:p>
        </w:tc>
        <w:tc>
          <w:tcPr>
            <w:tcW w:w="44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6,255</w:t>
            </w:r>
          </w:p>
        </w:tc>
        <w:tc>
          <w:tcPr>
            <w:tcW w:w="4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85,522</w:t>
            </w:r>
          </w:p>
        </w:tc>
        <w:tc>
          <w:tcPr>
            <w:tcW w:w="34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95,631</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260,077</w:t>
            </w:r>
          </w:p>
        </w:tc>
        <w:tc>
          <w:tcPr>
            <w:tcW w:w="32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298,557</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Employee costs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20,251</w:t>
            </w: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18,806</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59,030</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8,185</w:t>
            </w: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7,784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25,109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27,940</w:t>
            </w: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25,808</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82,933</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19,874</w:t>
            </w: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31,959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64,319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4,407</w:t>
            </w: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4,377</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13,877</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1,760</w:t>
            </w:r>
          </w:p>
        </w:tc>
        <w:tc>
          <w:tcPr>
            <w:tcW w:w="4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5,745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276</w:t>
            </w:r>
          </w:p>
        </w:tc>
        <w:tc>
          <w:tcPr>
            <w:tcW w:w="44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789</w:t>
            </w:r>
          </w:p>
        </w:tc>
        <w:tc>
          <w:tcPr>
            <w:tcW w:w="4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82,693</w:t>
            </w:r>
          </w:p>
        </w:tc>
        <w:tc>
          <w:tcPr>
            <w:tcW w:w="34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90,925</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251,802</w:t>
            </w:r>
          </w:p>
        </w:tc>
        <w:tc>
          <w:tcPr>
            <w:tcW w:w="32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284,638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2,898</w:t>
            </w:r>
          </w:p>
        </w:tc>
        <w:tc>
          <w:tcPr>
            <w:tcW w:w="4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shd w:val="clear" w:color="auto" w:fill="EEEEEE"/>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4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0.08</w:t>
            </w:r>
          </w:p>
        </w:tc>
        <w:tc>
          <w:tcPr>
            <w:tcW w:w="4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46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0.22</w:t>
            </w:r>
          </w:p>
        </w:tc>
        <w:tc>
          <w:tcPr>
            <w:tcW w:w="4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22,526</w:t>
            </w:r>
          </w:p>
        </w:tc>
        <w:tc>
          <w:tcPr>
            <w:tcW w:w="4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22,636</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22,378</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21,800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24,066</w:t>
            </w:r>
          </w:p>
        </w:tc>
        <w:tc>
          <w:tcPr>
            <w:tcW w:w="4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24,735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24,102</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25,178</w:t>
            </w: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 w:name="page5"/>
    <w:bookmarkEnd w:id="4"/>
    <w:p>
      <w:pPr>
        <w:jc w:val="center"/>
        <w:ind w:left="260" w:right="1820"/>
        <w:spacing w:after="0" w:line="361"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EEEEEE"/>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1,838</w:t>
            </w:r>
          </w:p>
        </w:tc>
        <w:tc>
          <w:tcPr>
            <w:tcW w:w="920" w:type="dxa"/>
            <w:vAlign w:val="bottom"/>
            <w:shd w:val="clear" w:color="auto" w:fill="EEEEEE"/>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3,198</w:t>
            </w:r>
          </w:p>
        </w:tc>
        <w:tc>
          <w:tcPr>
            <w:tcW w:w="46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5,377</w:t>
            </w:r>
          </w:p>
        </w:tc>
        <w:tc>
          <w:tcPr>
            <w:tcW w:w="4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9,510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change in funded status of</w:t>
            </w:r>
          </w:p>
        </w:tc>
        <w:tc>
          <w:tcPr>
            <w:tcW w:w="9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pension plan</w:t>
            </w:r>
          </w:p>
        </w:tc>
        <w:tc>
          <w:tcPr>
            <w:tcW w:w="920" w:type="dxa"/>
            <w:vAlign w:val="bottom"/>
            <w:shd w:val="clear" w:color="auto" w:fill="EEEEEE"/>
          </w:tcPr>
          <w:p>
            <w:pPr>
              <w:spacing w:after="0"/>
              <w:rPr>
                <w:sz w:val="21"/>
                <w:szCs w:val="21"/>
                <w:color w:val="auto"/>
              </w:rPr>
            </w:pPr>
          </w:p>
        </w:tc>
        <w:tc>
          <w:tcPr>
            <w:tcW w:w="8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EEEEE"/>
          </w:tcPr>
          <w:p>
            <w:pPr>
              <w:spacing w:after="0"/>
              <w:rPr>
                <w:sz w:val="21"/>
                <w:szCs w:val="21"/>
                <w:color w:val="auto"/>
              </w:rPr>
            </w:pPr>
          </w:p>
        </w:tc>
        <w:tc>
          <w:tcPr>
            <w:tcW w:w="6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1"/>
                <w:szCs w:val="21"/>
                <w:color w:val="auto"/>
              </w:rPr>
            </w:pPr>
          </w:p>
        </w:tc>
        <w:tc>
          <w:tcPr>
            <w:tcW w:w="28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spacing w:after="0"/>
              <w:rPr>
                <w:sz w:val="21"/>
                <w:szCs w:val="21"/>
                <w:color w:val="auto"/>
              </w:rPr>
            </w:pPr>
          </w:p>
        </w:tc>
        <w:tc>
          <w:tcPr>
            <w:tcW w:w="10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2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5" w:name="page6"/>
    <w:bookmarkEnd w:id="5"/>
    <w:p>
      <w:pPr>
        <w:jc w:val="center"/>
        <w:spacing w:after="0" w:line="331"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CASH FLOWS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5,377</w:t>
            </w:r>
          </w:p>
        </w:tc>
        <w:tc>
          <w:tcPr>
            <w:tcW w:w="74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Accretion of deferred acquisition fees and origination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64,131</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6,226</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 to fair value of finance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64,319</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107,997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19,240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Deferred tax assets,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3,063</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1,870</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169,989</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158,626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379,365</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470,312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(756,555)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200,889</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(177,688</w:t>
            </w:r>
          </w:p>
        </w:tc>
        <w:tc>
          <w:tcPr>
            <w:tcW w:w="200" w:type="dxa"/>
            <w:vAlign w:val="bottom"/>
            <w:tcBorders>
              <w:bottom w:val="single" w:sz="8" w:color="EEEEEE"/>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(157,676</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726,188</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622,098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(3,213)</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advances of warehouse lines of credit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20,914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Net advances of residual interest financing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(723,205)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(6,099)</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14,944</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130,110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360" w:type="dxa"/>
            <w:vAlign w:val="bottom"/>
            <w:tcBorders>
              <w:top w:val="single" w:sz="8" w:color="auto"/>
              <w:bottom w:val="single" w:sz="8" w:color="auto"/>
            </w:tcBorders>
            <w:shd w:val="clear" w:color="auto" w:fill="EEEEEE"/>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137,355</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121,010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76,269</w:t>
            </w:r>
          </w:p>
        </w:tc>
        <w:tc>
          <w:tcPr>
            <w:tcW w:w="740" w:type="dxa"/>
            <w:vAlign w:val="bottom"/>
            <w:gridSpan w:val="2"/>
            <w:shd w:val="clear" w:color="auto" w:fill="EEEEEE"/>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68,042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(3,231)</w:t>
            </w:r>
          </w:p>
        </w:tc>
        <w:tc>
          <w:tcPr>
            <w:tcW w:w="74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 net</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(21,869)</w:t>
            </w:r>
          </w:p>
        </w:tc>
        <w:tc>
          <w:tcPr>
            <w:tcW w:w="74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Lease liability</w:t>
            </w:r>
          </w:p>
        </w:tc>
        <w:tc>
          <w:tcPr>
            <w:tcW w:w="360" w:type="dxa"/>
            <w:vAlign w:val="bottom"/>
            <w:shd w:val="clear" w:color="auto" w:fill="EEEEEE"/>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23,327</w:t>
            </w:r>
          </w:p>
        </w:tc>
        <w:tc>
          <w:tcPr>
            <w:tcW w:w="740" w:type="dxa"/>
            <w:vAlign w:val="bottom"/>
            <w:gridSpan w:val="2"/>
            <w:shd w:val="clear" w:color="auto" w:fill="EEEEEE"/>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office rent</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(1,458)</w:t>
            </w:r>
          </w:p>
        </w:tc>
        <w:tc>
          <w:tcPr>
            <w:tcW w:w="74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22,526</w:t>
            </w:r>
          </w:p>
        </w:tc>
        <w:tc>
          <w:tcPr>
            <w:tcW w:w="4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20,963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22,422</w:t>
            </w:r>
          </w:p>
        </w:tc>
        <w:tc>
          <w:tcPr>
            <w:tcW w:w="4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483</w:t>
            </w: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w:t>
            </w:r>
          </w:p>
        </w:tc>
        <w:tc>
          <w:tcPr>
            <w:tcW w:w="4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EEEEEE"/>
            </w:tcBorders>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3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70,299</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70,955</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70,273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347</w:t>
            </w: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(1,440)</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377</w:t>
            </w:r>
          </w:p>
        </w:tc>
        <w:tc>
          <w:tcPr>
            <w:tcW w:w="4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1,496</w:t>
            </w:r>
          </w:p>
        </w:tc>
        <w:tc>
          <w:tcPr>
            <w:tcW w:w="44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EEEEEE"/>
            </w:tcBorders>
          </w:tcPr>
          <w:p>
            <w:pPr>
              <w:ind w:left="8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70,676</w:t>
            </w:r>
          </w:p>
        </w:tc>
        <w:tc>
          <w:tcPr>
            <w:tcW w:w="34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70,444</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70,676</w:t>
            </w:r>
          </w:p>
        </w:tc>
        <w:tc>
          <w:tcPr>
            <w:tcW w:w="32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70,444</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137,938</w:t>
            </w:r>
          </w:p>
        </w:tc>
        <w:tc>
          <w:tcPr>
            <w:tcW w:w="4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125,849</w:t>
            </w:r>
          </w:p>
        </w:tc>
        <w:tc>
          <w:tcPr>
            <w:tcW w:w="440" w:type="dxa"/>
            <w:vAlign w:val="bottom"/>
            <w:gridSpan w:val="2"/>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134,399</w:t>
            </w:r>
          </w:p>
        </w:tc>
        <w:tc>
          <w:tcPr>
            <w:tcW w:w="440" w:type="dxa"/>
            <w:vAlign w:val="bottom"/>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119,537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1,838</w:t>
            </w:r>
          </w:p>
        </w:tc>
        <w:tc>
          <w:tcPr>
            <w:tcW w:w="4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5,377</w:t>
            </w:r>
          </w:p>
        </w:tc>
        <w:tc>
          <w:tcPr>
            <w:tcW w:w="4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EEEEEE"/>
            </w:tcBorders>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shd w:val="clear" w:color="auto" w:fill="EEEEEE"/>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139,776</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129,047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139,776</w:t>
            </w:r>
          </w:p>
        </w:tc>
        <w:tc>
          <w:tcPr>
            <w:tcW w:w="3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129,047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(7,182)</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(7,554)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spacing w:after="0"/>
              <w:rPr>
                <w:sz w:val="19"/>
                <w:szCs w:val="19"/>
                <w:color w:val="auto"/>
              </w:rPr>
            </w:pPr>
          </w:p>
        </w:tc>
        <w:tc>
          <w:tcPr>
            <w:tcW w:w="10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EEEEEE"/>
            </w:tcBorders>
          </w:tcPr>
          <w:p>
            <w:pPr>
              <w:ind w:left="8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340" w:type="dxa"/>
            <w:vAlign w:val="bottom"/>
            <w:tcBorders>
              <w:bottom w:val="single" w:sz="8" w:color="EEEEEE"/>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200" w:type="dxa"/>
            <w:vAlign w:val="bottom"/>
            <w:tcBorders>
              <w:bottom w:val="single" w:sz="8" w:color="EEEEEE"/>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320" w:type="dxa"/>
            <w:vAlign w:val="bottom"/>
            <w:tcBorders>
              <w:bottom w:val="single" w:sz="8" w:color="EEEEEE"/>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202,898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192,309</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202,898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192,309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 (iii) acquired installment purchase contracts in four merger and acquisition transactions. In this report, we refer to all of such contracts and loans as "automobile contracts."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 month period ended September 30, 2019 are not necessarily indicative of the operating results to be expected for the full year.</w:t>
      </w:r>
    </w:p>
    <w:p>
      <w:pPr>
        <w:spacing w:after="0" w:line="184"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Measured at Fair Value</w:t>
      </w:r>
    </w:p>
    <w:p>
      <w:pPr>
        <w:spacing w:after="0" w:line="229"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carrying value of the receivables.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carrying value, an adjustment would be required. In the three-month period ended September 30, 2019, the net present value of the forecasted cash flows for the receivables acquired in the first quarter of 2018 exceeded the carrying value of that pool by $604,000, which we have recorded as a mark to market value of that pool of receivables.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carrying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and nine-month periods ending September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2560" w:type="dxa"/>
            <w:vAlign w:val="bottom"/>
            <w:gridSpan w:val="5"/>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9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Direct mail revenues</w:t>
            </w:r>
          </w:p>
        </w:tc>
        <w:tc>
          <w:tcPr>
            <w:tcW w:w="940" w:type="dxa"/>
            <w:vAlign w:val="bottom"/>
            <w:shd w:val="clear" w:color="auto" w:fill="EEEEEE"/>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1,121</w:t>
            </w:r>
          </w:p>
        </w:tc>
        <w:tc>
          <w:tcPr>
            <w:tcW w:w="1060" w:type="dxa"/>
            <w:vAlign w:val="bottom"/>
            <w:gridSpan w:val="2"/>
            <w:shd w:val="clear" w:color="auto" w:fill="EEEEEE"/>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w w:val="98"/>
              </w:rPr>
              <w:t>1,328</w:t>
            </w:r>
          </w:p>
        </w:tc>
        <w:tc>
          <w:tcPr>
            <w:tcW w:w="320" w:type="dxa"/>
            <w:vAlign w:val="bottom"/>
            <w:shd w:val="clear" w:color="auto" w:fill="EE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3,508</w:t>
            </w:r>
          </w:p>
        </w:tc>
        <w:tc>
          <w:tcPr>
            <w:tcW w:w="5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4,833</w:t>
            </w:r>
          </w:p>
        </w:tc>
        <w:tc>
          <w:tcPr>
            <w:tcW w:w="80" w:type="dxa"/>
            <w:vAlign w:val="bottom"/>
            <w:shd w:val="clear" w:color="auto" w:fill="EEEEEE"/>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Convenience fee revenue</w:t>
            </w: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1,870</w:t>
            </w:r>
          </w:p>
        </w:tc>
        <w:tc>
          <w:tcPr>
            <w:tcW w:w="5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8"/>
                <w:szCs w:val="18"/>
                <w:color w:val="auto"/>
              </w:rPr>
            </w:pPr>
          </w:p>
        </w:tc>
      </w:tr>
      <w:tr>
        <w:trPr>
          <w:trHeight w:val="216"/>
        </w:trPr>
        <w:tc>
          <w:tcPr>
            <w:tcW w:w="4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Recoveries on previously charged-off contracts</w:t>
            </w:r>
          </w:p>
        </w:tc>
        <w:tc>
          <w:tcPr>
            <w:tcW w:w="9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5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EEEEEE"/>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631</w:t>
            </w:r>
          </w:p>
        </w:tc>
        <w:tc>
          <w:tcPr>
            <w:tcW w:w="5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8"/>
                <w:szCs w:val="18"/>
                <w:color w:val="auto"/>
              </w:rPr>
            </w:pPr>
          </w:p>
        </w:tc>
      </w:tr>
      <w:tr>
        <w:trPr>
          <w:trHeight w:val="230"/>
        </w:trPr>
        <w:tc>
          <w:tcPr>
            <w:tcW w:w="4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EEEEEE"/>
          </w:tcPr>
          <w:p>
            <w:pPr>
              <w:spacing w:after="0"/>
              <w:rPr>
                <w:sz w:val="19"/>
                <w:szCs w:val="19"/>
                <w:color w:val="auto"/>
              </w:rPr>
            </w:pP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EEEEEE"/>
          </w:tcPr>
          <w:p>
            <w:pPr>
              <w:spacing w:after="0"/>
              <w:rPr>
                <w:sz w:val="19"/>
                <w:szCs w:val="19"/>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2,014</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On January 1, 2018, the Company adopted Accounting Standards Codification (“ASC”) Topic 606, “Revenue from Contracts with Customers”. The majority of the Company’s revenues come from interest income which is outside the scope of ASC 606. The Company’s services that fall within the scope of ASC 606 are presented within Other Income and are recognized as revenue as the Company satisfies its obligation to the customer. Services within the scope of ASC 606 include revenue associated with direct mail and other related products and services that we offer to our dealers.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Effective January 1, 2019, the Company adopted guidance Accounting Standards Update (“ASU 2016-02”) Topic 842, “Leases” using the modified retrospective transition method. Prior comparable periods are presented accordance with previous guidance under Accounting Standards Codification (“ASC”) Topic 840, “Leases.” The Company also elected the package of practical expedients, ASU 2018-11. This election allowed the Company to not reassess if expired or existing contracts contain leases, to not reassess lease classifications for any expired or existing leases and to not reassess existing leases initial direct costs.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We determine if a contract contains a lease at contract inception. Right-of-use assets and liabilities are recognized based on the present value of lease payments over the lease term. In determining the present value of lease payments, we use the Company’s incremental borrowing rate. Right-of-use assets are included in other assets and lease liabilities are included in accounts payable and accrued expenses in our Unaudited Condensed Consolidated Balance Sheet at September 30, 2019.</w:t>
      </w:r>
    </w:p>
    <w:p>
      <w:pPr>
        <w:spacing w:after="0" w:line="180"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2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9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(4,986)</w:t>
            </w:r>
          </w:p>
        </w:tc>
        <w:tc>
          <w:tcPr>
            <w:tcW w:w="1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80" w:type="dxa"/>
            <w:vAlign w:val="bottom"/>
            <w:tcBorders>
              <w:bottom w:val="single" w:sz="8" w:color="EEEEEE"/>
            </w:tcBorders>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2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18,569</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70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20" w:type="dxa"/>
            <w:vAlign w:val="bottom"/>
            <w:shd w:val="clear" w:color="auto" w:fill="EEEEEE"/>
          </w:tcPr>
          <w:p>
            <w:pPr>
              <w:spacing w:after="0"/>
              <w:rPr>
                <w:sz w:val="17"/>
                <w:szCs w:val="17"/>
                <w:color w:val="auto"/>
              </w:rPr>
            </w:pPr>
          </w:p>
        </w:tc>
        <w:tc>
          <w:tcPr>
            <w:tcW w:w="2460" w:type="dxa"/>
            <w:vAlign w:val="bottom"/>
            <w:shd w:val="clear" w:color="auto" w:fill="EEEEEE"/>
          </w:tcPr>
          <w:p>
            <w:pPr>
              <w:spacing w:after="0"/>
              <w:rPr>
                <w:sz w:val="17"/>
                <w:szCs w:val="17"/>
                <w:color w:val="auto"/>
              </w:rPr>
            </w:pPr>
          </w:p>
        </w:tc>
        <w:tc>
          <w:tcPr>
            <w:tcW w:w="2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shd w:val="clear" w:color="auto" w:fill="EEEEEE"/>
          </w:tcPr>
          <w:p>
            <w:pPr>
              <w:spacing w:after="0"/>
              <w:rPr>
                <w:sz w:val="18"/>
                <w:szCs w:val="18"/>
                <w:color w:val="auto"/>
              </w:rPr>
            </w:pPr>
          </w:p>
        </w:tc>
        <w:tc>
          <w:tcPr>
            <w:tcW w:w="246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EEEEEE"/>
              <w:bottom w:val="single" w:sz="8" w:color="EEEEEE"/>
            </w:tcBorders>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7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Finance lease</w:t>
            </w:r>
          </w:p>
        </w:tc>
        <w:tc>
          <w:tcPr>
            <w:tcW w:w="2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 were as follows:</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Operating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Finance</w:t>
            </w:r>
          </w:p>
        </w:tc>
        <w:tc>
          <w:tcPr>
            <w:tcW w:w="0" w:type="dxa"/>
            <w:vAlign w:val="bottom"/>
          </w:tcPr>
          <w:p>
            <w:pPr>
              <w:spacing w:after="0"/>
              <w:rPr>
                <w:sz w:val="1"/>
                <w:szCs w:val="1"/>
                <w:color w:val="auto"/>
              </w:rPr>
            </w:pPr>
          </w:p>
        </w:tc>
      </w:tr>
      <w:tr>
        <w:trPr>
          <w:trHeight w:val="194"/>
        </w:trPr>
        <w:tc>
          <w:tcPr>
            <w:tcW w:w="510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color w:val="auto"/>
              </w:rPr>
              <w:t>Year Ending December 31,</w:t>
            </w: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color w:val="auto"/>
                <w:w w:val="99"/>
              </w:rPr>
              <w:t>Lease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right"/>
              <w:ind w:right="740"/>
              <w:spacing w:after="0" w:line="174" w:lineRule="exact"/>
              <w:rPr>
                <w:sz w:val="20"/>
                <w:szCs w:val="20"/>
                <w:color w:val="auto"/>
              </w:rPr>
            </w:pPr>
            <w:r>
              <w:rPr>
                <w:rFonts w:ascii="Times New Roman" w:cs="Times New Roman" w:eastAsia="Times New Roman" w:hAnsi="Times New Roman"/>
                <w:sz w:val="18"/>
                <w:szCs w:val="18"/>
                <w:color w:val="auto"/>
              </w:rPr>
              <w:t>Lease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620" w:type="dxa"/>
            <w:vAlign w:val="bottom"/>
            <w:tcBorders>
              <w:top w:val="single" w:sz="8" w:color="auto"/>
              <w:bottom w:val="single" w:sz="8" w:color="EEEEEE"/>
            </w:tcBorders>
          </w:tcPr>
          <w:p>
            <w:pPr>
              <w:spacing w:after="0"/>
              <w:rPr>
                <w:sz w:val="2"/>
                <w:szCs w:val="2"/>
                <w:color w:val="auto"/>
              </w:rPr>
            </w:pPr>
          </w:p>
        </w:tc>
        <w:tc>
          <w:tcPr>
            <w:tcW w:w="2460" w:type="dxa"/>
            <w:vAlign w:val="bottom"/>
            <w:tcBorders>
              <w:bottom w:val="single" w:sz="8" w:color="EEEEEE"/>
            </w:tcBorders>
          </w:tcPr>
          <w:p>
            <w:pPr>
              <w:spacing w:after="0"/>
              <w:rPr>
                <w:sz w:val="2"/>
                <w:szCs w:val="2"/>
                <w:color w:val="auto"/>
              </w:rPr>
            </w:pPr>
          </w:p>
        </w:tc>
        <w:tc>
          <w:tcPr>
            <w:tcW w:w="222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EEEEEE"/>
            </w:tcBorders>
          </w:tcPr>
          <w:p>
            <w:pPr>
              <w:spacing w:after="0"/>
              <w:rPr>
                <w:sz w:val="2"/>
                <w:szCs w:val="2"/>
                <w:color w:val="auto"/>
              </w:rPr>
            </w:pPr>
          </w:p>
        </w:tc>
        <w:tc>
          <w:tcPr>
            <w:tcW w:w="14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2019 (excluding the nine months ended September 30, 2019)</w:t>
            </w:r>
          </w:p>
        </w:tc>
        <w:tc>
          <w:tcPr>
            <w:tcW w:w="2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00" w:type="dxa"/>
            <w:vAlign w:val="bottom"/>
            <w:shd w:val="clear" w:color="auto" w:fill="EEEEEE"/>
          </w:tcPr>
          <w:p>
            <w:pPr>
              <w:spacing w:after="0"/>
              <w:rPr>
                <w:sz w:val="18"/>
                <w:szCs w:val="18"/>
                <w:color w:val="auto"/>
              </w:rPr>
            </w:pP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2020</w:t>
            </w:r>
          </w:p>
        </w:tc>
        <w:tc>
          <w:tcPr>
            <w:tcW w:w="2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246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7,391</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2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246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1,389</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EEEEEE"/>
            </w:tcBorders>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7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25,002</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(4,997)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EEEEEE"/>
              <w:bottom w:val="single" w:sz="8" w:color="EEEEEE"/>
            </w:tcBorders>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Lease Liability</w:t>
            </w:r>
          </w:p>
        </w:tc>
        <w:tc>
          <w:tcPr>
            <w:tcW w:w="2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20,005</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20" w:type="dxa"/>
            <w:vAlign w:val="bottom"/>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leases expense included in Occupancy, General and administrative on our Unaudited Condensed Consolidated Statement of Operations:</w:t>
      </w:r>
    </w:p>
    <w:p>
      <w:pPr>
        <w:sectPr>
          <w:pgSz w:w="11900" w:h="16838" w:orient="portrait"/>
          <w:cols w:equalWidth="0" w:num="1">
            <w:col w:w="11420"/>
          </w:cols>
          <w:pgMar w:left="240" w:top="7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cost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300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7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91"/>
        </w:trPr>
        <w:tc>
          <w:tcPr>
            <w:tcW w:w="340" w:type="dxa"/>
            <w:vAlign w:val="bottom"/>
          </w:tcPr>
          <w:p>
            <w:pPr>
              <w:spacing w:after="0"/>
              <w:rPr>
                <w:sz w:val="16"/>
                <w:szCs w:val="16"/>
                <w:color w:val="auto"/>
              </w:rPr>
            </w:pPr>
          </w:p>
        </w:tc>
        <w:tc>
          <w:tcPr>
            <w:tcW w:w="180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16"/>
                <w:szCs w:val="16"/>
                <w:color w:val="auto"/>
              </w:rPr>
            </w:pPr>
          </w:p>
        </w:tc>
      </w:tr>
      <w:tr>
        <w:trPr>
          <w:trHeight w:val="230"/>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1,884</w:t>
            </w:r>
          </w:p>
        </w:tc>
        <w:tc>
          <w:tcPr>
            <w:tcW w:w="640" w:type="dxa"/>
            <w:vAlign w:val="bottom"/>
            <w:gridSpan w:val="2"/>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1,785</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5,659</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r>
      <w:tr>
        <w:trPr>
          <w:trHeight w:val="234"/>
        </w:trPr>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-462280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-179705</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200" w:space="720"/>
            <w:col w:w="6500"/>
          </w:cols>
          <w:pgMar w:left="240" w:top="79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40" w:type="dxa"/>
            <w:vAlign w:val="bottom"/>
          </w:tcPr>
          <w:p>
            <w:pPr>
              <w:spacing w:after="0"/>
              <w:rPr>
                <w:sz w:val="20"/>
                <w:szCs w:val="20"/>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0" w:type="dxa"/>
            <w:vAlign w:val="bottom"/>
          </w:tcPr>
          <w:p>
            <w:pPr>
              <w:spacing w:after="0"/>
              <w:rPr>
                <w:sz w:val="1"/>
                <w:szCs w:val="1"/>
                <w:color w:val="auto"/>
              </w:rPr>
            </w:pPr>
          </w:p>
        </w:tc>
      </w:tr>
      <w:tr>
        <w:trPr>
          <w:trHeight w:val="232"/>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FFFFFF"/>
                <w:w w:val="70"/>
              </w:rPr>
              <w:t>$</w:t>
            </w:r>
          </w:p>
        </w:tc>
        <w:tc>
          <w:tcPr>
            <w:tcW w:w="3780" w:type="dxa"/>
            <w:vAlign w:val="bottom"/>
            <w:tcBorders>
              <w:top w:val="single" w:sz="8" w:color="auto"/>
            </w:tcBorders>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1,901</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5,678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0" w:type="dxa"/>
            <w:vAlign w:val="bottom"/>
          </w:tcPr>
          <w:p>
            <w:pPr>
              <w:spacing w:after="0"/>
              <w:rPr>
                <w:sz w:val="18"/>
                <w:szCs w:val="18"/>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0" w:type="dxa"/>
            <w:vAlign w:val="bottom"/>
            <w:shd w:val="clear" w:color="auto" w:fill="EEEEEE"/>
          </w:tcPr>
          <w:p>
            <w:pPr>
              <w:spacing w:after="0"/>
              <w:rPr>
                <w:sz w:val="18"/>
                <w:szCs w:val="18"/>
                <w:color w:val="auto"/>
              </w:rPr>
            </w:pPr>
          </w:p>
        </w:tc>
        <w:tc>
          <w:tcPr>
            <w:tcW w:w="18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62"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2019, we recorded stock-based compensation costs in the amount of $377,000 and $1.5 million, respectively. These stock-based compensation costs were $663,000 and $2.8 million for the three and nine months ended September 30, 2018. As of September 30, 2019, unrecognized stock-based compensation costs to be recognized over future periods equaled $2.1 million. This amount will be recognized as expense over a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represents stock option activity for the nine months ended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4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14,421</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4.57</w:t>
            </w:r>
          </w:p>
        </w:tc>
        <w:tc>
          <w:tcPr>
            <w:tcW w:w="1340" w:type="dxa"/>
            <w:vAlign w:val="bottom"/>
            <w:gridSpan w:val="2"/>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3.53</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0.86</w:t>
            </w:r>
          </w:p>
        </w:tc>
        <w:tc>
          <w:tcPr>
            <w:tcW w:w="1340" w:type="dxa"/>
            <w:vAlign w:val="bottom"/>
            <w:gridSpan w:val="2"/>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2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15,353</w:t>
            </w:r>
          </w:p>
        </w:tc>
        <w:tc>
          <w:tcPr>
            <w:tcW w:w="160" w:type="dxa"/>
            <w:vAlign w:val="bottom"/>
            <w:tcBorders>
              <w:top w:val="single" w:sz="8" w:color="EEEEEE"/>
            </w:tcBorders>
            <w:shd w:val="clear" w:color="auto" w:fill="EEEEEE"/>
          </w:tcPr>
          <w:p>
            <w:pPr>
              <w:spacing w:after="0"/>
              <w:rPr>
                <w:sz w:val="19"/>
                <w:szCs w:val="19"/>
                <w:color w:val="auto"/>
              </w:rPr>
            </w:pPr>
          </w:p>
        </w:tc>
        <w:tc>
          <w:tcPr>
            <w:tcW w:w="30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EEEEEE"/>
            </w:tcBorders>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4.58</w:t>
            </w:r>
          </w:p>
        </w:tc>
        <w:tc>
          <w:tcPr>
            <w:tcW w:w="1340" w:type="dxa"/>
            <w:vAlign w:val="bottom"/>
            <w:tcBorders>
              <w:top w:val="single" w:sz="8" w:color="EEEEEE"/>
            </w:tcBorders>
            <w:gridSpan w:val="2"/>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3.59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1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160" w:type="dxa"/>
            <w:vAlign w:val="bottom"/>
            <w:shd w:val="clear" w:color="auto" w:fill="EEEEEE"/>
          </w:tcPr>
          <w:p>
            <w:pPr>
              <w:spacing w:after="0"/>
              <w:rPr>
                <w:sz w:val="21"/>
                <w:szCs w:val="21"/>
                <w:color w:val="auto"/>
              </w:rPr>
            </w:pP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4.87</w:t>
            </w:r>
          </w:p>
        </w:tc>
        <w:tc>
          <w:tcPr>
            <w:tcW w:w="1340" w:type="dxa"/>
            <w:vAlign w:val="bottom"/>
            <w:gridSpan w:val="2"/>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2.94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At September 30, 2019, the aggregate intrinsic value of options outstanding and exercisable was $5.8 million and $5.5 million, respectively. There were 482,500 options exercised for the nine months ended September 30, 2019 compared to 315,500 for the comparable period in 2018. The total intrinsic value of options exercised was $1.4 million and $869,000 for the nine-month periods ended September 30, 2019 and 2018. There were 1,458,000 shares available for future stock option grants under existing plans as of September 30,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table below describes the purchase of our common stock for the nine-month ended September 30, 2019 and 2018:</w:t>
      </w:r>
    </w:p>
    <w:p>
      <w:pPr>
        <w:sectPr>
          <w:pgSz w:w="11900" w:h="16838" w:orient="portrait"/>
          <w:cols w:equalWidth="0" w:num="1">
            <w:col w:w="11420"/>
          </w:cols>
          <w:pgMar w:left="240" w:top="7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purchases</w:t>
      </w:r>
    </w:p>
    <w:p>
      <w:pPr>
        <w:spacing w:after="0" w:line="27"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Shares redeemed upon net exercise of stock options Other purchases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 purchases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920" w:type="dxa"/>
            <w:vAlign w:val="bottom"/>
            <w:tcBorders>
              <w:top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20" w:type="dxa"/>
            <w:vAlign w:val="bottom"/>
          </w:tcPr>
          <w:p>
            <w:pPr>
              <w:spacing w:after="0"/>
              <w:rPr>
                <w:sz w:val="19"/>
                <w:szCs w:val="19"/>
                <w:color w:val="auto"/>
              </w:rPr>
            </w:pP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0" w:type="dxa"/>
            <w:vAlign w:val="bottom"/>
          </w:tcPr>
          <w:p>
            <w:pPr>
              <w:spacing w:after="0"/>
              <w:rPr>
                <w:sz w:val="19"/>
                <w:szCs w:val="19"/>
                <w:color w:val="auto"/>
              </w:rPr>
            </w:pPr>
          </w:p>
        </w:tc>
      </w:tr>
      <w:tr>
        <w:trPr>
          <w:trHeight w:val="407"/>
        </w:trPr>
        <w:tc>
          <w:tcPr>
            <w:tcW w:w="120" w:type="dxa"/>
            <w:vAlign w:val="bottom"/>
          </w:tcPr>
          <w:p>
            <w:pPr>
              <w:spacing w:after="0"/>
              <w:rPr>
                <w:sz w:val="24"/>
                <w:szCs w:val="24"/>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335,546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24"/>
                <w:szCs w:val="24"/>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714,898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12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18,424</w:t>
            </w:r>
          </w:p>
        </w:tc>
        <w:tc>
          <w:tcPr>
            <w:tcW w:w="22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33,599</w:t>
            </w: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r>
      <w:tr>
        <w:trPr>
          <w:trHeight w:val="234"/>
        </w:trPr>
        <w:tc>
          <w:tcPr>
            <w:tcW w:w="1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24,500</w:t>
            </w:r>
          </w:p>
        </w:tc>
        <w:tc>
          <w:tcPr>
            <w:tcW w:w="220" w:type="dxa"/>
            <w:vAlign w:val="bottom"/>
          </w:tcPr>
          <w:p>
            <w:pPr>
              <w:spacing w:after="0"/>
              <w:rPr>
                <w:sz w:val="20"/>
                <w:szCs w:val="20"/>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90,000</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r>
      <w:tr>
        <w:trPr>
          <w:trHeight w:val="223"/>
        </w:trPr>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378,470</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838,497</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r>
      <w:tr>
        <w:trPr>
          <w:trHeight w:val="20"/>
        </w:trPr>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-599440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-325120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600"/>
          </w:cols>
          <w:pgMar w:left="240" w:top="792"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net income or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2019,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We record at each measurement date, most recently as of September 30, 2019, our best estimate of probable incurred losses for legal contingencies. The amount of losses that may ultimately be incurred cannot be estimated with 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229"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In June 2016, the FASB issued Accounting Standards Update ("ASU") 2016-13 - Financial Instruments - Credit Losses (Topic 326): Measurement of Credit Losses on Financial Instruments. The revised accounting guidance changes the criteria under which credit losses are measured. The amendment introduces a new credit reserving model known as the Current Expected Credit Loss (CECL) model, which replaces the incurred loss impairment methodology in current U.S. GAAP with a methodology that reflects expected credit losses and requires consideration of a broader range of reasonable and supportable information to establish credit loss estimates. ASU 2016-13 was initially scheduled to become effective for interim and annual reporting periods beginning after December 15, 2019, however on October 16, 2019, the FASB changed the effective date for smaller reporting companies to interim and annual reporting periods beginning after December 15, 2022. Early adoption would still be permitted for interim and annual reporting periods beginning after December 15, 2019. The Company is currently evaluating the provisions of ASU 2016-13, however, it is expected that the new CECL model will alter the assumptions used in calculating the Company's credit losses, given the change to estimated losses for the estimated life of the financial asset, and will likely result in a material effect on the Company’s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400" w:hanging="26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w:t>
      </w:r>
    </w:p>
    <w:p>
      <w:pPr>
        <w:spacing w:after="0" w:line="229"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8"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6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Automobile finance receivables, net of unearned interest</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1,020,044</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1,518,395</w:t>
            </w:r>
          </w:p>
        </w:tc>
        <w:tc>
          <w:tcPr>
            <w:tcW w:w="120" w:type="dxa"/>
            <w:vAlign w:val="bottom"/>
            <w:shd w:val="clear" w:color="auto" w:fill="EEEEEE"/>
          </w:tcPr>
          <w:p>
            <w:pPr>
              <w:spacing w:after="0"/>
              <w:rPr>
                <w:sz w:val="18"/>
                <w:szCs w:val="18"/>
                <w:color w:val="auto"/>
              </w:rPr>
            </w:pPr>
          </w:p>
        </w:tc>
      </w:tr>
      <w:tr>
        <w:trPr>
          <w:trHeight w:val="230"/>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Unearned acquisition fees and originations costs</w:t>
            </w:r>
          </w:p>
        </w:tc>
        <w:tc>
          <w:tcPr>
            <w:tcW w:w="16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2,347</w:t>
            </w:r>
          </w:p>
        </w:tc>
        <w:tc>
          <w:tcPr>
            <w:tcW w:w="18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3,690</w:t>
            </w:r>
          </w:p>
        </w:tc>
      </w:tr>
      <w:tr>
        <w:trPr>
          <w:trHeight w:val="223"/>
        </w:trPr>
        <w:tc>
          <w:tcPr>
            <w:tcW w:w="6060" w:type="dxa"/>
            <w:vAlign w:val="bottom"/>
            <w:tcBorders>
              <w:top w:val="single" w:sz="8" w:color="EEEEEE"/>
              <w:bottom w:val="single" w:sz="8" w:color="EEEEEE"/>
            </w:tcBorders>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Finance receivables</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1,022,391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1,522,085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September 30, 2019 and December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23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8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804,537</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1,262,730</w:t>
            </w:r>
          </w:p>
        </w:tc>
        <w:tc>
          <w:tcPr>
            <w:tcW w:w="12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31</w:t>
            </w:r>
          </w:p>
        </w:tc>
        <w:tc>
          <w:tcPr>
            <w:tcW w:w="20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8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124,214</w:t>
            </w:r>
          </w:p>
        </w:tc>
        <w:tc>
          <w:tcPr>
            <w:tcW w:w="2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157,688</w:t>
            </w: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65,046</w:t>
            </w: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66,134</w:t>
            </w:r>
          </w:p>
        </w:tc>
      </w:tr>
      <w:tr>
        <w:trPr>
          <w:trHeight w:val="230"/>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91</w:t>
            </w:r>
          </w:p>
        </w:tc>
        <w:tc>
          <w:tcPr>
            <w:tcW w:w="20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8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26,247</w:t>
            </w:r>
          </w:p>
        </w:tc>
        <w:tc>
          <w:tcPr>
            <w:tcW w:w="2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31,843</w:t>
            </w:r>
          </w:p>
        </w:tc>
      </w:tr>
      <w:tr>
        <w:trPr>
          <w:trHeight w:val="223"/>
        </w:trPr>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1,020,044</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1,518,395</w:t>
            </w:r>
          </w:p>
        </w:tc>
        <w:tc>
          <w:tcPr>
            <w:tcW w:w="12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Finance receivables totaling $26.2 million and $31.8 million at September 30, 2019 and December 31, 2018, respectively, including all receivables greater than 90 days delinquent, have been placed on non-accrual status as a result of their delinquency status.</w:t>
      </w:r>
    </w:p>
    <w:p>
      <w:pPr>
        <w:spacing w:after="0" w:line="162"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credit losses is charged to our consolidated statement of operations. Net losses incurred on finance receivables are charged to the allowance.</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three-months and nine-month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8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0"/>
        </w:trPr>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32,664</w:t>
            </w:r>
          </w:p>
        </w:tc>
        <w:tc>
          <w:tcPr>
            <w:tcW w:w="620" w:type="dxa"/>
            <w:vAlign w:val="bottom"/>
            <w:gridSpan w:val="2"/>
            <w:shd w:val="clear" w:color="auto" w:fill="EEEEEE"/>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94,376</w:t>
            </w:r>
          </w:p>
        </w:tc>
        <w:tc>
          <w:tcPr>
            <w:tcW w:w="320" w:type="dxa"/>
            <w:vAlign w:val="bottom"/>
            <w:shd w:val="clear" w:color="auto" w:fill="EE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67,376</w:t>
            </w:r>
          </w:p>
        </w:tc>
        <w:tc>
          <w:tcPr>
            <w:tcW w:w="5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109,187</w:t>
            </w: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credit losses on finance receivables</w:t>
            </w: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19,874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31,959</w:t>
            </w:r>
          </w:p>
        </w:tc>
        <w:tc>
          <w:tcPr>
            <w:tcW w:w="3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64,319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107,997</w:t>
            </w:r>
          </w:p>
        </w:tc>
      </w:tr>
      <w:tr>
        <w:trPr>
          <w:trHeight w:val="216"/>
        </w:trPr>
        <w:tc>
          <w:tcPr>
            <w:tcW w:w="49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Charge-offs</w:t>
            </w:r>
          </w:p>
        </w:tc>
        <w:tc>
          <w:tcPr>
            <w:tcW w:w="3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(46,118)</w:t>
            </w:r>
          </w:p>
        </w:tc>
        <w:tc>
          <w:tcPr>
            <w:tcW w:w="1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(54,033)</w:t>
            </w: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(149,038)</w:t>
            </w:r>
          </w:p>
        </w:tc>
        <w:tc>
          <w:tcPr>
            <w:tcW w:w="5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(163,628)</w:t>
            </w:r>
          </w:p>
        </w:tc>
      </w:tr>
      <w:tr>
        <w:trPr>
          <w:trHeight w:val="230"/>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Recoveries</w:t>
            </w:r>
          </w:p>
        </w:tc>
        <w:tc>
          <w:tcPr>
            <w:tcW w:w="3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10,170</w:t>
            </w:r>
          </w:p>
        </w:tc>
        <w:tc>
          <w:tcPr>
            <w:tcW w:w="3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30,083</w:t>
            </w:r>
          </w:p>
        </w:tc>
        <w:tc>
          <w:tcPr>
            <w:tcW w:w="5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28,916</w:t>
            </w:r>
          </w:p>
        </w:tc>
      </w:tr>
      <w:tr>
        <w:trPr>
          <w:trHeight w:val="223"/>
        </w:trPr>
        <w:tc>
          <w:tcPr>
            <w:tcW w:w="49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82,472</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82,472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0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6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balance of repossessions in inventory</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37,481</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33,462</w:t>
            </w: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losses on repossessed inventory</w:t>
            </w:r>
          </w:p>
        </w:tc>
        <w:tc>
          <w:tcPr>
            <w:tcW w:w="16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(27,851)</w:t>
            </w:r>
          </w:p>
        </w:tc>
        <w:tc>
          <w:tcPr>
            <w:tcW w:w="18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(24,564)</w:t>
            </w:r>
          </w:p>
        </w:tc>
      </w:tr>
      <w:tr>
        <w:trPr>
          <w:trHeight w:val="223"/>
        </w:trPr>
        <w:tc>
          <w:tcPr>
            <w:tcW w:w="60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repossessed inventory included in other assets</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Securitization Trust Debt</w:t>
      </w:r>
    </w:p>
    <w:p>
      <w:pPr>
        <w:spacing w:after="0" w:line="22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Scheduled</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Pledged at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20" w:type="dxa"/>
            <w:vAlign w:val="bottom"/>
          </w:tcPr>
          <w:p>
            <w:pPr>
              <w:spacing w:after="0"/>
              <w:rPr>
                <w:sz w:val="18"/>
                <w:szCs w:val="18"/>
                <w:color w:val="auto"/>
              </w:rPr>
            </w:pP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Principal at</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r>
      <w:tr>
        <w:trPr>
          <w:trHeight w:val="230"/>
        </w:trPr>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00" w:type="dxa"/>
            <w:vAlign w:val="bottom"/>
          </w:tcPr>
          <w:p>
            <w:pPr>
              <w:spacing w:after="0"/>
              <w:rPr>
                <w:sz w:val="19"/>
                <w:szCs w:val="19"/>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9"/>
                <w:szCs w:val="19"/>
                <w:color w:val="auto"/>
              </w:rPr>
            </w:pPr>
          </w:p>
        </w:tc>
        <w:tc>
          <w:tcPr>
            <w:tcW w:w="15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17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56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2019 (2)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r>
      <w:tr>
        <w:trPr>
          <w:trHeight w:val="210"/>
        </w:trPr>
        <w:tc>
          <w:tcPr>
            <w:tcW w:w="1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CPS 2014-A</w:t>
            </w:r>
          </w:p>
        </w:tc>
        <w:tc>
          <w:tcPr>
            <w:tcW w:w="156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June 2021</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15,328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CPS 2014-B</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September 2021</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202,500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24,051</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CPS 2014-C</w:t>
            </w:r>
          </w:p>
        </w:tc>
        <w:tc>
          <w:tcPr>
            <w:tcW w:w="156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December 2021</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24,989</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273,000</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23,997</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40,896</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CPS 2014-D</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March 2022</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267,500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28,550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46,489</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r>
      <w:tr>
        <w:trPr>
          <w:trHeight w:val="216"/>
        </w:trPr>
        <w:tc>
          <w:tcPr>
            <w:tcW w:w="17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CPS 2015-A</w:t>
            </w:r>
          </w:p>
        </w:tc>
        <w:tc>
          <w:tcPr>
            <w:tcW w:w="156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June 2022</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34,107</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245,000</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32,069</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52,448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CPS 2015-B</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September 2022</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42,412</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64,591</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17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CPS 2015-C</w:t>
            </w:r>
          </w:p>
        </w:tc>
        <w:tc>
          <w:tcPr>
            <w:tcW w:w="156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December 2022</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61,129</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61,648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90,639</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CPS 2016-A</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March 2023</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329,460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81,833</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119,444</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17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CPS 2016-B</w:t>
            </w:r>
          </w:p>
        </w:tc>
        <w:tc>
          <w:tcPr>
            <w:tcW w:w="156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June 2023</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96,470</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332,690</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94,181</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135,688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CPS 2016-C</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September 2023</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96,780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318,500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94,589</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136,114</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17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CPS 2016-D</w:t>
            </w:r>
          </w:p>
        </w:tc>
        <w:tc>
          <w:tcPr>
            <w:tcW w:w="156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April 2024</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75,637</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206,325</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74,176</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104,645</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CPS 2017-A</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April 2024</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206,320</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80,887</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113,527</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17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CPS 2017-B</w:t>
            </w:r>
          </w:p>
        </w:tc>
        <w:tc>
          <w:tcPr>
            <w:tcW w:w="156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December 2023</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100,865</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225,170</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87,633</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127,726</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CPS 2017-C</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September 2024</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102,834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224,825</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91,654</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131,845</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17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CPS 2017-D</w:t>
            </w:r>
          </w:p>
        </w:tc>
        <w:tc>
          <w:tcPr>
            <w:tcW w:w="156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June 2024</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104,368</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196,300</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95,003</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132,919</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CPS 2018-A</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March 2025</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112,179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142,643</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17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CPS 2018-B</w:t>
            </w:r>
          </w:p>
        </w:tc>
        <w:tc>
          <w:tcPr>
            <w:tcW w:w="156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December 2024</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131,373</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201,823</w:t>
            </w: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124,822</w:t>
            </w: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167,809</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CPS 2018-C</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September 2025</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157,848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230,275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204,418</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17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CPS 2018-D</w:t>
            </w:r>
          </w:p>
        </w:tc>
        <w:tc>
          <w:tcPr>
            <w:tcW w:w="156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June 2025</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183,774</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233,730</w:t>
            </w: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169,869</w:t>
            </w: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224,189</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CPS 2019-A</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March 2026</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222,685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254,400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17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CPS 2019-B</w:t>
            </w:r>
          </w:p>
        </w:tc>
        <w:tc>
          <w:tcPr>
            <w:tcW w:w="156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June 2026</w:t>
            </w:r>
          </w:p>
        </w:tc>
        <w:tc>
          <w:tcPr>
            <w:tcW w:w="1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209,982</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228,275</w:t>
            </w: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202,163</w:t>
            </w: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CPS 2019-C</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December 2026</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237,068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243,513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r>
        <w:trPr>
          <w:trHeight w:val="223"/>
        </w:trPr>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4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2,186,753</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5,339,606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2,078,391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2,075,409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bl>
    <w:p>
      <w:pPr>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-151130</wp:posOffset>
            </wp:positionV>
            <wp:extent cx="40989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jc w:val="both"/>
        <w:ind w:left="460" w:hanging="438"/>
        <w:spacing w:after="0" w:line="250" w:lineRule="auto"/>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$214.6 million in 2019, $743.3 million in 2020, $523.0 million in 2021, $312.6 million in 2022, $216.5 million in 2023, $43.6 million in 2024, $13.0 million in 2025.</w:t>
      </w:r>
    </w:p>
    <w:p>
      <w:pPr>
        <w:ind w:left="460" w:hanging="438"/>
        <w:spacing w:after="0"/>
        <w:tabs>
          <w:tab w:leader="none" w:pos="4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Debt issuance costs of $11.9 million and $11.8 million as of September 30, 2019 and December 31, 2018, respectively, have been excluded from the table above. These debt issuance costs are presented as a direct deduction to the carrying amount of the securitization trust debt on our Unaudited Condensed Consolidated Balance Sheets.</w:t>
      </w:r>
    </w:p>
    <w:p>
      <w:pPr>
        <w:spacing w:after="0" w:line="17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62"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September 30, 2019, we were in compliance with all such covenants.</w:t>
      </w:r>
    </w:p>
    <w:p>
      <w:pPr>
        <w:spacing w:after="0" w:line="176"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September 30, 2019, restricted cash under the various agreements totaled approximately $128.6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8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84"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On October 16, 2019 we completed our fourth securitization transaction of 2019. In the transaction, qualified institutional buyers purchased $274.3 million of asset-backed notes secured by $275 million in automobile receivables purchased by us. The sold notes, issued by CPS Auto Receivables Trust 2019-D, consist of six classes. Ratings of the notes were provided by Standard &amp; Poor’s and Kroll Bond Rating Agency, and were based on the structure of the transaction, the historical performance of similar receivables and CPS’s experience as a servicer. The weighted average yield on the notes is approximately 2.95%.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rFonts w:ascii="Times New Roman" w:cs="Times New Roman" w:eastAsia="Times New Roman" w:hAnsi="Times New Roman"/>
          <w:sz w:val="18"/>
          <w:szCs w:val="18"/>
          <w:b w:val="1"/>
          <w:bCs w:val="1"/>
          <w:color w:val="auto"/>
        </w:rPr>
      </w:pPr>
    </w:p>
    <w:p>
      <w:pPr>
        <w:ind w:left="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amounts of our other debt outstanding at September 30, 2019 and December 31, 2018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Amount Outstanding at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Description</w:t>
            </w:r>
          </w:p>
        </w:tc>
        <w:tc>
          <w:tcPr>
            <w:tcW w:w="2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Interest Rate</w:t>
            </w:r>
          </w:p>
        </w:tc>
        <w:tc>
          <w:tcPr>
            <w:tcW w:w="244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Maturity</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80" w:type="dxa"/>
            <w:vAlign w:val="bottom"/>
            <w:gridSpan w:val="5"/>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Warehouse lines of credit</w:t>
            </w:r>
          </w:p>
        </w:tc>
        <w:tc>
          <w:tcPr>
            <w:tcW w:w="2540" w:type="dxa"/>
            <w:vAlign w:val="bottom"/>
            <w:gridSpan w:val="2"/>
            <w:shd w:val="clear" w:color="auto" w:fill="EEEEEE"/>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5.50% over one month Libor</w:t>
            </w:r>
          </w:p>
        </w:tc>
        <w:tc>
          <w:tcPr>
            <w:tcW w:w="24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February 2021</w:t>
            </w:r>
          </w:p>
        </w:tc>
        <w:tc>
          <w:tcPr>
            <w:tcW w:w="520" w:type="dxa"/>
            <w:vAlign w:val="bottom"/>
            <w:gridSpan w:val="2"/>
            <w:shd w:val="clear" w:color="auto" w:fill="EEEEEE"/>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35,264</w:t>
            </w:r>
          </w:p>
        </w:tc>
        <w:tc>
          <w:tcPr>
            <w:tcW w:w="360" w:type="dxa"/>
            <w:vAlign w:val="bottom"/>
            <w:gridSpan w:val="2"/>
            <w:shd w:val="clear" w:color="auto" w:fill="EEEEEE"/>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EEEEEE"/>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38,198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54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(Minimum 6.50%)</w:t>
            </w:r>
          </w:p>
        </w:tc>
        <w:tc>
          <w:tcPr>
            <w:tcW w:w="24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540" w:type="dxa"/>
            <w:vAlign w:val="bottom"/>
            <w:gridSpan w:val="2"/>
            <w:shd w:val="clear" w:color="auto" w:fill="EEEEEE"/>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3.00% over one month Libor</w:t>
            </w:r>
          </w:p>
        </w:tc>
        <w:tc>
          <w:tcPr>
            <w:tcW w:w="24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September 2020</w:t>
            </w: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580" w:type="dxa"/>
            <w:vAlign w:val="bottom"/>
            <w:gridSpan w:val="2"/>
            <w:shd w:val="clear" w:color="auto" w:fill="EEEEEE"/>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96,154</w:t>
            </w:r>
          </w:p>
        </w:tc>
        <w:tc>
          <w:tcPr>
            <w:tcW w:w="1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560" w:type="dxa"/>
            <w:vAlign w:val="bottom"/>
            <w:gridSpan w:val="2"/>
            <w:shd w:val="clear" w:color="auto" w:fill="EEEEEE"/>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99,885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54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(Minimum 3.75%)</w:t>
            </w:r>
          </w:p>
        </w:tc>
        <w:tc>
          <w:tcPr>
            <w:tcW w:w="24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540" w:type="dxa"/>
            <w:vAlign w:val="bottom"/>
            <w:gridSpan w:val="2"/>
            <w:shd w:val="clear" w:color="auto" w:fill="EEEEEE"/>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6.75% over a commercial paper</w:t>
            </w:r>
          </w:p>
        </w:tc>
        <w:tc>
          <w:tcPr>
            <w:tcW w:w="2440" w:type="dxa"/>
            <w:vAlign w:val="bottom"/>
            <w:shd w:val="clear" w:color="auto" w:fill="EEEEEE"/>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November 2019</w:t>
            </w: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580" w:type="dxa"/>
            <w:vAlign w:val="bottom"/>
            <w:gridSpan w:val="2"/>
            <w:shd w:val="clear" w:color="auto" w:fill="EEEEEE"/>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27,578</w:t>
            </w:r>
          </w:p>
        </w:tc>
        <w:tc>
          <w:tcPr>
            <w:tcW w:w="1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560" w:type="dxa"/>
            <w:vAlign w:val="bottom"/>
            <w:gridSpan w:val="2"/>
            <w:shd w:val="clear" w:color="auto" w:fill="EEEEEE"/>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54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rate (Minimum 7.75%)</w:t>
            </w:r>
          </w:p>
        </w:tc>
        <w:tc>
          <w:tcPr>
            <w:tcW w:w="24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8.60%</w:t>
            </w:r>
          </w:p>
        </w:tc>
        <w:tc>
          <w:tcPr>
            <w:tcW w:w="220" w:type="dxa"/>
            <w:vAlign w:val="bottom"/>
            <w:shd w:val="clear" w:color="auto" w:fill="EEEEEE"/>
          </w:tcPr>
          <w:p>
            <w:pPr>
              <w:spacing w:after="0"/>
              <w:rPr>
                <w:sz w:val="18"/>
                <w:szCs w:val="18"/>
                <w:color w:val="auto"/>
              </w:rPr>
            </w:pPr>
          </w:p>
        </w:tc>
        <w:tc>
          <w:tcPr>
            <w:tcW w:w="244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January 2026</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Subordinated renewable notes</w:t>
            </w:r>
          </w:p>
        </w:tc>
        <w:tc>
          <w:tcPr>
            <w:tcW w:w="2540" w:type="dxa"/>
            <w:vAlign w:val="bottom"/>
            <w:gridSpan w:val="2"/>
            <w:shd w:val="clear" w:color="auto" w:fill="EEEEEE"/>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Weighted average rate of 9.22%</w:t>
            </w:r>
          </w:p>
        </w:tc>
        <w:tc>
          <w:tcPr>
            <w:tcW w:w="2440" w:type="dxa"/>
            <w:vAlign w:val="bottom"/>
            <w:shd w:val="clear" w:color="auto" w:fill="EEEEEE"/>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Weighted average maturity of</w:t>
            </w: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580" w:type="dxa"/>
            <w:vAlign w:val="bottom"/>
            <w:gridSpan w:val="2"/>
            <w:shd w:val="clear" w:color="auto" w:fill="EEEEEE"/>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15,529</w:t>
            </w:r>
          </w:p>
        </w:tc>
        <w:tc>
          <w:tcPr>
            <w:tcW w:w="1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560" w:type="dxa"/>
            <w:vAlign w:val="bottom"/>
            <w:gridSpan w:val="2"/>
            <w:shd w:val="clear" w:color="auto" w:fill="EEEEEE"/>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17,290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54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and 8.53% at September 30,</w:t>
            </w:r>
          </w:p>
        </w:tc>
        <w:tc>
          <w:tcPr>
            <w:tcW w:w="244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December 2021 and January</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54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rPr>
              <w:t>2019 and December 31, 2018,</w:t>
            </w:r>
          </w:p>
        </w:tc>
        <w:tc>
          <w:tcPr>
            <w:tcW w:w="244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 at September 30, 2019 and</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54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respectively</w:t>
            </w:r>
          </w:p>
        </w:tc>
        <w:tc>
          <w:tcPr>
            <w:tcW w:w="2440" w:type="dxa"/>
            <w:vAlign w:val="bottom"/>
            <w:shd w:val="clear" w:color="auto" w:fill="EEEEEE"/>
          </w:tcPr>
          <w:p>
            <w:pPr>
              <w:jc w:val="center"/>
              <w:ind w:left="50"/>
              <w:spacing w:after="0"/>
              <w:rPr>
                <w:sz w:val="20"/>
                <w:szCs w:val="20"/>
                <w:color w:val="auto"/>
              </w:rPr>
            </w:pPr>
            <w:r>
              <w:rPr>
                <w:rFonts w:ascii="Times New Roman" w:cs="Times New Roman" w:eastAsia="Times New Roman" w:hAnsi="Times New Roman"/>
                <w:sz w:val="18"/>
                <w:szCs w:val="18"/>
                <w:color w:val="auto"/>
                <w:w w:val="99"/>
              </w:rPr>
              <w:t>December 31, 2018,</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3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4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4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32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440" w:type="dxa"/>
            <w:vAlign w:val="bottom"/>
            <w:tcBorders>
              <w:bottom w:val="single" w:sz="8" w:color="EEEEEE"/>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3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44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214,525</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195,373</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Unamortized debt issuance costs of $615,000 and $894,000 as of September 30, 2019 and December 31, 2018, respectively, have been excluded from the amount reported above for residual interest financing. Similarly, unamortized debt issuance costs of $1.2 million and $1.2 million as of September 30, 2019 and December 31, 2018,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8" w:name="page19"/>
    <w:bookmarkEnd w:id="18"/>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229" w:lineRule="exact"/>
        <w:rPr>
          <w:rFonts w:ascii="Times New Roman" w:cs="Times New Roman" w:eastAsia="Times New Roman" w:hAnsi="Times New Roman"/>
          <w:sz w:val="18"/>
          <w:szCs w:val="18"/>
          <w:b w:val="1"/>
          <w:bCs w:val="1"/>
          <w:color w:val="auto"/>
        </w:rPr>
      </w:pPr>
    </w:p>
    <w:p>
      <w:pPr>
        <w:ind w:left="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components of 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8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on finance receivables</w:t>
            </w:r>
          </w:p>
        </w:tc>
        <w:tc>
          <w:tcPr>
            <w:tcW w:w="600" w:type="dxa"/>
            <w:vAlign w:val="bottom"/>
            <w:gridSpan w:val="2"/>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49,912</w:t>
            </w:r>
          </w:p>
        </w:tc>
        <w:tc>
          <w:tcPr>
            <w:tcW w:w="48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79,573</w:t>
            </w:r>
          </w:p>
        </w:tc>
        <w:tc>
          <w:tcPr>
            <w:tcW w:w="500" w:type="dxa"/>
            <w:vAlign w:val="bottom"/>
            <w:gridSpan w:val="2"/>
            <w:shd w:val="clear" w:color="auto" w:fill="EEEEEE"/>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167,862</w:t>
            </w:r>
          </w:p>
        </w:tc>
        <w:tc>
          <w:tcPr>
            <w:tcW w:w="34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264,545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32,903</w:t>
            </w:r>
          </w:p>
        </w:tc>
        <w:tc>
          <w:tcPr>
            <w:tcW w:w="4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13,482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83,696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25,822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713</w:t>
            </w:r>
          </w:p>
        </w:tc>
        <w:tc>
          <w:tcPr>
            <w:tcW w:w="48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3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83,528</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253,822</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291,535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8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080" w:type="dxa"/>
            <w:vAlign w:val="bottom"/>
            <w:gridSpan w:val="2"/>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24,208</w:t>
            </w:r>
          </w:p>
        </w:tc>
        <w:tc>
          <w:tcPr>
            <w:tcW w:w="48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22,678</w:t>
            </w:r>
          </w:p>
        </w:tc>
        <w:tc>
          <w:tcPr>
            <w:tcW w:w="500" w:type="dxa"/>
            <w:vAlign w:val="bottom"/>
            <w:gridSpan w:val="2"/>
            <w:shd w:val="clear" w:color="auto" w:fill="EEEEEE"/>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72,662</w:t>
            </w:r>
          </w:p>
        </w:tc>
        <w:tc>
          <w:tcPr>
            <w:tcW w:w="640" w:type="dxa"/>
            <w:vAlign w:val="bottom"/>
            <w:gridSpan w:val="2"/>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66,762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2,407</w:t>
            </w:r>
          </w:p>
        </w:tc>
        <w:tc>
          <w:tcPr>
            <w:tcW w:w="4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7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956</w:t>
            </w:r>
          </w:p>
        </w:tc>
        <w:tc>
          <w:tcPr>
            <w:tcW w:w="4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936</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369</w:t>
            </w:r>
          </w:p>
        </w:tc>
        <w:tc>
          <w:tcPr>
            <w:tcW w:w="4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27,940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25,808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82,933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75,057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792" w:right="13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three-months and nine-month periods ended September 30, 2019 and 2018 were calculated using the weighted average number of shares outstanding for the related period. The following table reconciles the number of shares used in the computations of basic and diluted earnings per share for the three-months and nine-month periods ended September 30, 2019 and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0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during the period used to compute basic earnings per share</w:t>
            </w:r>
          </w:p>
        </w:tc>
        <w:tc>
          <w:tcPr>
            <w:tcW w:w="8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6"/>
              </w:rPr>
              <w:t>22,526</w:t>
            </w:r>
          </w:p>
        </w:tc>
        <w:tc>
          <w:tcPr>
            <w:tcW w:w="880" w:type="dxa"/>
            <w:vAlign w:val="bottom"/>
            <w:shd w:val="clear" w:color="auto" w:fill="EEEEEE"/>
          </w:tcPr>
          <w:p>
            <w:pPr>
              <w:spacing w:after="0"/>
              <w:rPr>
                <w:sz w:val="20"/>
                <w:szCs w:val="20"/>
                <w:color w:val="auto"/>
              </w:rPr>
            </w:pPr>
          </w:p>
        </w:tc>
        <w:tc>
          <w:tcPr>
            <w:tcW w:w="8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w w:val="96"/>
              </w:rPr>
              <w:t>22,636</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22,378</w:t>
            </w:r>
          </w:p>
        </w:tc>
        <w:tc>
          <w:tcPr>
            <w:tcW w:w="44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8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Incremental common shares attributable to exercise of</w:t>
            </w: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outstanding options and warrants</w:t>
            </w:r>
          </w:p>
        </w:tc>
        <w:tc>
          <w:tcPr>
            <w:tcW w:w="8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1,540</w:t>
            </w:r>
          </w:p>
        </w:tc>
        <w:tc>
          <w:tcPr>
            <w:tcW w:w="880" w:type="dxa"/>
            <w:vAlign w:val="bottom"/>
            <w:shd w:val="clear" w:color="auto" w:fill="EEEEEE"/>
          </w:tcPr>
          <w:p>
            <w:pPr>
              <w:spacing w:after="0"/>
              <w:rPr>
                <w:sz w:val="20"/>
                <w:szCs w:val="20"/>
                <w:color w:val="auto"/>
              </w:rPr>
            </w:pPr>
          </w:p>
        </w:tc>
        <w:tc>
          <w:tcPr>
            <w:tcW w:w="86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2,099</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1,724</w:t>
            </w:r>
          </w:p>
        </w:tc>
        <w:tc>
          <w:tcPr>
            <w:tcW w:w="44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8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used to compute</w:t>
            </w:r>
          </w:p>
        </w:tc>
        <w:tc>
          <w:tcPr>
            <w:tcW w:w="840" w:type="dxa"/>
            <w:vAlign w:val="bottom"/>
            <w:gridSpan w:val="2"/>
            <w:vMerge w:val="restart"/>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6"/>
              </w:rPr>
              <w:t>24,066</w:t>
            </w:r>
          </w:p>
        </w:tc>
        <w:tc>
          <w:tcPr>
            <w:tcW w:w="880" w:type="dxa"/>
            <w:vAlign w:val="bottom"/>
            <w:shd w:val="clear" w:color="auto" w:fill="EEEEEE"/>
          </w:tcPr>
          <w:p>
            <w:pPr>
              <w:spacing w:after="0"/>
              <w:rPr>
                <w:sz w:val="17"/>
                <w:szCs w:val="17"/>
                <w:color w:val="auto"/>
              </w:rPr>
            </w:pPr>
          </w:p>
        </w:tc>
        <w:tc>
          <w:tcPr>
            <w:tcW w:w="860" w:type="dxa"/>
            <w:vAlign w:val="bottom"/>
            <w:gridSpan w:val="2"/>
            <w:vMerge w:val="restart"/>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w w:val="96"/>
              </w:rPr>
              <w:t>24,735</w:t>
            </w:r>
          </w:p>
        </w:tc>
        <w:tc>
          <w:tcPr>
            <w:tcW w:w="168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24,102</w:t>
            </w:r>
          </w:p>
        </w:tc>
        <w:tc>
          <w:tcPr>
            <w:tcW w:w="440" w:type="dxa"/>
            <w:vAlign w:val="bottom"/>
            <w:shd w:val="clear" w:color="auto" w:fill="EEEEEE"/>
          </w:tcPr>
          <w:p>
            <w:pPr>
              <w:spacing w:after="0"/>
              <w:rPr>
                <w:sz w:val="17"/>
                <w:szCs w:val="17"/>
                <w:color w:val="auto"/>
              </w:rPr>
            </w:pPr>
          </w:p>
        </w:tc>
        <w:tc>
          <w:tcPr>
            <w:tcW w:w="10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25,178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40" w:type="dxa"/>
            <w:vAlign w:val="bottom"/>
            <w:gridSpan w:val="2"/>
            <w:vMerge w:val="continue"/>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860" w:type="dxa"/>
            <w:vAlign w:val="bottom"/>
            <w:gridSpan w:val="2"/>
            <w:vMerge w:val="continue"/>
            <w:shd w:val="clear" w:color="auto" w:fill="EEEEEE"/>
          </w:tcPr>
          <w:p>
            <w:pPr>
              <w:spacing w:after="0"/>
              <w:rPr>
                <w:sz w:val="19"/>
                <w:szCs w:val="19"/>
                <w:color w:val="auto"/>
              </w:rPr>
            </w:pPr>
          </w:p>
        </w:tc>
        <w:tc>
          <w:tcPr>
            <w:tcW w:w="1680" w:type="dxa"/>
            <w:vAlign w:val="bottom"/>
            <w:gridSpan w:val="2"/>
            <w:vMerge w:val="continue"/>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020" w:type="dxa"/>
            <w:vAlign w:val="bottom"/>
            <w:gridSpan w:val="2"/>
            <w:vMerge w:val="continue"/>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three-month and nine-month periods ended September 30, 2019 would have included an additional 10.6 million and 10.6 million shares, respectively, attributable to the exercise of outstanding options and warrants. For the three-month and nine-month periods ended September 30, 2018, an additional 11.0 million and 10.1 million shares, respectively, would be included in the diluted earnings per share calculation.</w:t>
      </w:r>
    </w:p>
    <w:p>
      <w:pPr>
        <w:spacing w:after="0" w:line="176"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62"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As of September 30, 2019 and December 31, 2018,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84"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$16.1 million as of September 30, 2019 is more likely than not based on forecasted future net earnings. Our net deferred tax asset of $16.1 million consists of approximately $11.5 million of net U.S. federal deferred tax assets and $4.6 million of net state deferred tax assets.</w:t>
      </w:r>
    </w:p>
    <w:p>
      <w:pPr>
        <w:spacing w:after="0" w:line="188"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Income tax expense was $991,000 and $2.9 million for the three months and nine months ended September 30, 2019 and represents an effective income tax rate of 35%, compared to income tax expense of $1.5 million and $4.4 million for the three and nine months ended September 30, 2018, and represents an effective income tax rate of 32%.</w:t>
      </w:r>
    </w:p>
    <w:p>
      <w:pPr>
        <w:spacing w:after="0" w:line="172"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firstLine="270"/>
        <w:spacing w:after="0" w:line="267" w:lineRule="auto"/>
        <w:rPr>
          <w:sz w:val="20"/>
          <w:szCs w:val="20"/>
          <w:color w:val="auto"/>
        </w:rPr>
      </w:pPr>
      <w:r>
        <w:rPr>
          <w:rFonts w:ascii="Times New Roman" w:cs="Times New Roman" w:eastAsia="Times New Roman" w:hAnsi="Times New Roman"/>
          <w:sz w:val="18"/>
          <w:szCs w:val="18"/>
          <w:i w:val="1"/>
          <w:iCs w:val="1"/>
          <w:color w:val="auto"/>
        </w:rPr>
        <w:t>Consumer Litigation</w:t>
      </w:r>
      <w:r>
        <w:rPr>
          <w:rFonts w:ascii="Times New Roman" w:cs="Times New Roman" w:eastAsia="Times New Roman" w:hAnsi="Times New Roman"/>
          <w:sz w:val="18"/>
          <w:szCs w:val="18"/>
          <w:color w:val="auto"/>
        </w:rPr>
        <w:t>. We are routinely involved in various legal proceedings resulting from our consumer finance activities and practices, both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discontinued. Consumers can and do initiate lawsuits against us alleging violations of law applicable to collection of receivables, and such lawsuits sometimes allege that resolution as a class action is appropriate.</w:t>
      </w:r>
    </w:p>
    <w:p>
      <w:pPr>
        <w:spacing w:after="0" w:line="17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For the most part, we have legal and factual defenses to consumer claims, which we routinely contest or settle (for immaterial amounts) depending on the particular circumstances of each case.</w:t>
      </w:r>
    </w:p>
    <w:p>
      <w:pPr>
        <w:spacing w:after="0" w:line="160"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Wage and Hour Claim. </w:t>
      </w:r>
      <w:r>
        <w:rPr>
          <w:rFonts w:ascii="Times New Roman" w:cs="Times New Roman" w:eastAsia="Times New Roman" w:hAnsi="Times New Roman"/>
          <w:sz w:val="18"/>
          <w:szCs w:val="18"/>
          <w:color w:val="auto"/>
        </w:rPr>
        <w:t>On September 24, 2018, a former employee filed a lawsuit against us in the Superior Court of Orange County, California,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2"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7"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There can be no assurance as to the outcomes of the matters described or referenced above. We record at each measurement date,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as of September 30, 2019,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September 30, 2019 is immaterial, and that the range of reasonably possible losses for the legal proceedings and contingencies we face, including those described or referenced above, as of September 30, 2019 does not exceed $3 million.</w:t>
      </w:r>
    </w:p>
    <w:p>
      <w:pPr>
        <w:spacing w:after="0" w:line="18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22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7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Effective January 2018 we have elected to use the fair value method to value our portfolio of finance receivables acquired in January 2018 and thereafter.</w:t>
      </w:r>
    </w:p>
    <w:p>
      <w:pPr>
        <w:spacing w:after="0" w:line="225"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4"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 xml:space="preserve">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w:t>
      </w:r>
      <w:r>
        <w:rPr>
          <w:rFonts w:ascii="Times New Roman" w:cs="Times New Roman" w:eastAsia="Times New Roman" w:hAnsi="Times New Roman"/>
          <w:sz w:val="18"/>
          <w:szCs w:val="18"/>
          <w:color w:val="323232"/>
        </w:rPr>
        <w:t>Significant changes in any of those inputs in isolation would have a significant impact on our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23232"/>
        </w:rPr>
        <w:t>measurement.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EE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1,158,365</w:t>
            </w: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412,895</w:t>
            </w:r>
          </w:p>
        </w:tc>
        <w:tc>
          <w:tcPr>
            <w:tcW w:w="480" w:type="dxa"/>
            <w:vAlign w:val="bottom"/>
            <w:gridSpan w:val="2"/>
            <w:shd w:val="clear" w:color="auto" w:fill="EEEEEE"/>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821,066</w:t>
            </w:r>
          </w:p>
        </w:tc>
        <w:tc>
          <w:tcPr>
            <w:tcW w:w="46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3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261,929</w:t>
            </w:r>
          </w:p>
        </w:tc>
        <w:tc>
          <w:tcPr>
            <w:tcW w:w="4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229,030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756,555</w:t>
            </w: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659,641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3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(83,384)</w:t>
            </w:r>
          </w:p>
        </w:tc>
        <w:tc>
          <w:tcPr>
            <w:tcW w:w="4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(18,851)</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(200,889)</w:t>
            </w:r>
          </w:p>
        </w:tc>
        <w:tc>
          <w:tcPr>
            <w:tcW w:w="4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(24,309)</w:t>
            </w:r>
          </w:p>
        </w:tc>
        <w:tc>
          <w:tcPr>
            <w:tcW w:w="4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(8,267)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(64,131)</w:t>
            </w:r>
          </w:p>
        </w:tc>
        <w:tc>
          <w:tcPr>
            <w:tcW w:w="4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Mark to fair value</w:t>
            </w:r>
          </w:p>
        </w:tc>
        <w:tc>
          <w:tcPr>
            <w:tcW w:w="3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604</w:t>
            </w:r>
          </w:p>
        </w:tc>
        <w:tc>
          <w:tcPr>
            <w:tcW w:w="4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604</w:t>
            </w:r>
          </w:p>
        </w:tc>
        <w:tc>
          <w:tcPr>
            <w:tcW w:w="460" w:type="dxa"/>
            <w:vAlign w:val="bottom"/>
            <w:shd w:val="clear" w:color="auto" w:fill="EEEEEE"/>
          </w:tcPr>
          <w:p>
            <w:pPr>
              <w:spacing w:after="0"/>
              <w:rPr>
                <w:sz w:val="19"/>
                <w:szCs w:val="19"/>
                <w:color w:val="auto"/>
              </w:rPr>
            </w:pPr>
          </w:p>
        </w:tc>
        <w:tc>
          <w:tcPr>
            <w:tcW w:w="10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1,313,205</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1,313,205</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9"/>
          </w:tcPr>
          <w:p>
            <w:pPr>
              <w:ind w:left="280"/>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01"/>
        </w:trPr>
        <w:tc>
          <w:tcPr>
            <w:tcW w:w="4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2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4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2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4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r>
      <w:tr>
        <w:trPr>
          <w:trHeight w:val="238"/>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460" w:type="dxa"/>
            <w:vAlign w:val="bottom"/>
          </w:tcPr>
          <w:p>
            <w:pPr>
              <w:spacing w:after="0"/>
              <w:rPr>
                <w:sz w:val="20"/>
                <w:szCs w:val="20"/>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44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1,356,157</w:t>
            </w:r>
          </w:p>
        </w:tc>
        <w:tc>
          <w:tcPr>
            <w:tcW w:w="46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1,313,205</w:t>
            </w:r>
          </w:p>
        </w:tc>
        <w:tc>
          <w:tcPr>
            <w:tcW w:w="3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EEEEE"/>
          </w:tcPr>
          <w:p>
            <w:pPr>
              <w:ind w:left="640"/>
              <w:spacing w:after="0"/>
              <w:rPr>
                <w:sz w:val="20"/>
                <w:szCs w:val="20"/>
                <w:color w:val="auto"/>
              </w:rPr>
            </w:pPr>
            <w:r>
              <w:rPr>
                <w:rFonts w:ascii="Times New Roman" w:cs="Times New Roman" w:eastAsia="Times New Roman" w:hAnsi="Times New Roman"/>
                <w:sz w:val="18"/>
                <w:szCs w:val="18"/>
                <w:color w:val="auto"/>
              </w:rPr>
              <w:t>829,039</w:t>
            </w:r>
          </w:p>
        </w:tc>
        <w:tc>
          <w:tcPr>
            <w:tcW w:w="44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821,066</w:t>
            </w:r>
          </w:p>
        </w:tc>
      </w:tr>
    </w:tbl>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40" w:type="dxa"/>
            <w:vAlign w:val="bottom"/>
          </w:tcPr>
          <w:p>
            <w:pPr>
              <w:spacing w:after="0"/>
              <w:rPr>
                <w:sz w:val="19"/>
                <w:szCs w:val="19"/>
                <w:color w:val="auto"/>
              </w:rPr>
            </w:pPr>
          </w:p>
        </w:tc>
        <w:tc>
          <w:tcPr>
            <w:tcW w:w="222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Fair Values as of</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Inputs as of</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64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ind w:right="2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80" w:type="dxa"/>
            <w:vAlign w:val="bottom"/>
            <w:gridSpan w:val="2"/>
          </w:tcPr>
          <w:p>
            <w:pPr>
              <w:jc w:val="center"/>
              <w:ind w:left="9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80" w:type="dxa"/>
            <w:vAlign w:val="bottom"/>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20"/>
                <w:szCs w:val="20"/>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14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Finance receivables measured</w:t>
            </w:r>
          </w:p>
        </w:tc>
        <w:tc>
          <w:tcPr>
            <w:tcW w:w="14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920" w:type="dxa"/>
            <w:vAlign w:val="bottom"/>
            <w:gridSpan w:val="2"/>
            <w:shd w:val="clear" w:color="auto" w:fill="EEEEEE"/>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Discount rate</w:t>
            </w:r>
          </w:p>
        </w:tc>
        <w:tc>
          <w:tcPr>
            <w:tcW w:w="1480" w:type="dxa"/>
            <w:vAlign w:val="bottom"/>
            <w:shd w:val="clear" w:color="auto" w:fill="EEEEEE"/>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8.9% - 11.1%</w:t>
            </w:r>
          </w:p>
        </w:tc>
        <w:tc>
          <w:tcPr>
            <w:tcW w:w="320" w:type="dxa"/>
            <w:vAlign w:val="bottom"/>
            <w:shd w:val="clear" w:color="auto" w:fill="EEEEEE"/>
          </w:tcPr>
          <w:p>
            <w:pPr>
              <w:spacing w:after="0"/>
              <w:rPr>
                <w:sz w:val="17"/>
                <w:szCs w:val="17"/>
                <w:color w:val="auto"/>
              </w:rPr>
            </w:pPr>
          </w:p>
        </w:tc>
        <w:tc>
          <w:tcPr>
            <w:tcW w:w="740" w:type="dxa"/>
            <w:vAlign w:val="bottom"/>
            <w:shd w:val="clear" w:color="auto" w:fill="EEEEEE"/>
          </w:tcPr>
          <w:p>
            <w:pPr>
              <w:jc w:val="right"/>
              <w:spacing w:after="0" w:line="198" w:lineRule="exact"/>
              <w:rPr>
                <w:sz w:val="20"/>
                <w:szCs w:val="20"/>
                <w:color w:val="auto"/>
              </w:rPr>
            </w:pPr>
            <w:r>
              <w:rPr>
                <w:rFonts w:ascii="Times New Roman" w:cs="Times New Roman" w:eastAsia="Times New Roman" w:hAnsi="Times New Roman"/>
                <w:sz w:val="18"/>
                <w:szCs w:val="18"/>
                <w:color w:val="auto"/>
              </w:rPr>
              <w:t>8.9%</w:t>
            </w:r>
          </w:p>
        </w:tc>
        <w:tc>
          <w:tcPr>
            <w:tcW w:w="740" w:type="dxa"/>
            <w:vAlign w:val="bottom"/>
            <w:shd w:val="clear" w:color="auto" w:fill="EEEEEE"/>
          </w:tcPr>
          <w:p>
            <w:pPr>
              <w:ind w:left="20"/>
              <w:spacing w:after="0" w:line="198" w:lineRule="exact"/>
              <w:rPr>
                <w:sz w:val="20"/>
                <w:szCs w:val="20"/>
                <w:color w:val="auto"/>
              </w:rPr>
            </w:pPr>
            <w:r>
              <w:rPr>
                <w:rFonts w:ascii="Times New Roman" w:cs="Times New Roman" w:eastAsia="Times New Roman" w:hAnsi="Times New Roman"/>
                <w:sz w:val="18"/>
                <w:szCs w:val="18"/>
                <w:color w:val="auto"/>
              </w:rPr>
              <w:t>- 9.9%</w:t>
            </w: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at fair value</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1,313,205</w:t>
            </w:r>
          </w:p>
        </w:tc>
        <w:tc>
          <w:tcPr>
            <w:tcW w:w="70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821,066</w:t>
            </w:r>
          </w:p>
        </w:tc>
        <w:tc>
          <w:tcPr>
            <w:tcW w:w="192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Cumulative net losses</w:t>
            </w:r>
          </w:p>
        </w:tc>
        <w:tc>
          <w:tcPr>
            <w:tcW w:w="148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15.0% - 16.1%</w:t>
            </w:r>
          </w:p>
        </w:tc>
        <w:tc>
          <w:tcPr>
            <w:tcW w:w="320" w:type="dxa"/>
            <w:vAlign w:val="bottom"/>
            <w:shd w:val="clear" w:color="auto" w:fill="EEEEEE"/>
          </w:tcPr>
          <w:p>
            <w:pPr>
              <w:spacing w:after="0"/>
              <w:rPr>
                <w:sz w:val="20"/>
                <w:szCs w:val="20"/>
                <w:color w:val="auto"/>
              </w:rPr>
            </w:pPr>
          </w:p>
        </w:tc>
        <w:tc>
          <w:tcPr>
            <w:tcW w:w="7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- 16.0%</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972"/>
        </w:trPr>
        <w:tc>
          <w:tcPr>
            <w:tcW w:w="1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delinquency status of these finance receivables measured at fair value as of September 30, 2019 and December 31,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gridSpan w:val="2"/>
          </w:tcPr>
          <w:p>
            <w:pPr>
              <w:spacing w:after="0"/>
              <w:rPr>
                <w:sz w:val="18"/>
                <w:szCs w:val="18"/>
                <w:color w:val="auto"/>
              </w:rPr>
            </w:pPr>
          </w:p>
        </w:tc>
      </w:tr>
      <w:tr>
        <w:trPr>
          <w:trHeight w:val="216"/>
        </w:trPr>
        <w:tc>
          <w:tcPr>
            <w:tcW w:w="23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8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1,242,569</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790,727</w:t>
            </w:r>
          </w:p>
        </w:tc>
        <w:tc>
          <w:tcPr>
            <w:tcW w:w="10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31</w:t>
            </w:r>
          </w:p>
        </w:tc>
        <w:tc>
          <w:tcPr>
            <w:tcW w:w="20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8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70,802</w:t>
            </w:r>
          </w:p>
        </w:tc>
        <w:tc>
          <w:tcPr>
            <w:tcW w:w="2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26,285</w:t>
            </w:r>
          </w:p>
        </w:tc>
        <w:tc>
          <w:tcPr>
            <w:tcW w:w="10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29,557</w:t>
            </w:r>
          </w:p>
        </w:tc>
        <w:tc>
          <w:tcPr>
            <w:tcW w:w="2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8,350</w:t>
            </w:r>
          </w:p>
        </w:tc>
        <w:tc>
          <w:tcPr>
            <w:tcW w:w="100" w:type="dxa"/>
            <w:vAlign w:val="bottom"/>
          </w:tcPr>
          <w:p>
            <w:pPr>
              <w:spacing w:after="0"/>
              <w:rPr>
                <w:sz w:val="18"/>
                <w:szCs w:val="18"/>
                <w:color w:val="auto"/>
              </w:rPr>
            </w:pPr>
          </w:p>
        </w:tc>
      </w:tr>
      <w:tr>
        <w:trPr>
          <w:trHeight w:val="230"/>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91</w:t>
            </w:r>
          </w:p>
        </w:tc>
        <w:tc>
          <w:tcPr>
            <w:tcW w:w="20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8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13,229</w:t>
            </w:r>
          </w:p>
        </w:tc>
        <w:tc>
          <w:tcPr>
            <w:tcW w:w="2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1,356,157</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829,039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Repossessed vehicle inventory, which is included in Other assets on our unaudited condensed consolidated balance sheet, is measured at fair value using level 2 assumptions based on our actual loss experience on sale of repossessed vehicles. At September 30, 2019 the finance receivables related to the repossessed vehicles in inventory totaled $37.5 million. We have applied a valuation adjustment, or loss allowance, of $27.9 million, which is based on a recovery rate of approximately 26%, resulting in an estimated fair value and carrying amount of $9.6 million. The fair value and carrying amount of the repossessed inventory at December 31, 2018 was $8.9 million after applying a valuation adjustment of $24.6 million.</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were no transfers in or out of level 1, level 2 or level 3 assets and liabilities for the three months ended September 30, 2019 and 2018.</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estimated fair values of financial assets and liabilities at September 30, 2019 and December 31,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ind w:left="860"/>
              <w:spacing w:after="0"/>
              <w:rPr>
                <w:sz w:val="20"/>
                <w:szCs w:val="20"/>
                <w:color w:val="auto"/>
              </w:rPr>
            </w:pPr>
            <w:r>
              <w:rPr>
                <w:rFonts w:ascii="Times New Roman" w:cs="Times New Roman" w:eastAsia="Times New Roman" w:hAnsi="Times New Roman"/>
                <w:sz w:val="18"/>
                <w:szCs w:val="18"/>
                <w:b w:val="1"/>
                <w:bCs w:val="1"/>
                <w:color w:val="auto"/>
              </w:rPr>
              <w:t>As of September 30, 2019</w:t>
            </w: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ind w:left="160"/>
              <w:spacing w:after="0" w:line="170"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2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4080" w:type="dxa"/>
            <w:vAlign w:val="bottom"/>
            <w:gridSpan w:val="9"/>
          </w:tcPr>
          <w:p>
            <w:pPr>
              <w:ind w:left="60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8,799</w:t>
            </w:r>
          </w:p>
        </w:tc>
        <w:tc>
          <w:tcPr>
            <w:tcW w:w="0" w:type="dxa"/>
            <w:vAlign w:val="bottom"/>
          </w:tcPr>
          <w:p>
            <w:pPr>
              <w:spacing w:after="0"/>
              <w:rPr>
                <w:sz w:val="1"/>
                <w:szCs w:val="1"/>
                <w:color w:val="auto"/>
              </w:rPr>
            </w:pPr>
          </w:p>
        </w:tc>
      </w:tr>
      <w:tr>
        <w:trPr>
          <w:trHeight w:val="216"/>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128,556</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1,009,651</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964,540</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964,540</w:t>
            </w:r>
          </w:p>
        </w:tc>
        <w:tc>
          <w:tcPr>
            <w:tcW w:w="0" w:type="dxa"/>
            <w:vAlign w:val="bottom"/>
          </w:tcPr>
          <w:p>
            <w:pPr>
              <w:spacing w:after="0"/>
              <w:rPr>
                <w:sz w:val="1"/>
                <w:szCs w:val="1"/>
                <w:color w:val="auto"/>
              </w:rPr>
            </w:pPr>
          </w:p>
        </w:tc>
      </w:tr>
      <w:tr>
        <w:trPr>
          <w:trHeight w:val="216"/>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12,729</w:t>
            </w:r>
          </w:p>
        </w:tc>
        <w:tc>
          <w:tcPr>
            <w:tcW w:w="200" w:type="dxa"/>
            <w:vAlign w:val="bottom"/>
          </w:tcPr>
          <w:p>
            <w:pPr>
              <w:spacing w:after="0"/>
              <w:rPr>
                <w:sz w:val="18"/>
                <w:szCs w:val="18"/>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12,729</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157,761</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157,761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157,761</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5,257</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16"/>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39,385</w:t>
            </w:r>
          </w:p>
        </w:tc>
        <w:tc>
          <w:tcPr>
            <w:tcW w:w="200" w:type="dxa"/>
            <w:vAlign w:val="bottom"/>
          </w:tcPr>
          <w:p>
            <w:pPr>
              <w:spacing w:after="0"/>
              <w:rPr>
                <w:sz w:val="18"/>
                <w:szCs w:val="18"/>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39,385</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2,066,458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2,095,487</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2,095,487</w:t>
            </w:r>
          </w:p>
        </w:tc>
        <w:tc>
          <w:tcPr>
            <w:tcW w:w="0" w:type="dxa"/>
            <w:vAlign w:val="bottom"/>
          </w:tcPr>
          <w:p>
            <w:pPr>
              <w:spacing w:after="0"/>
              <w:rPr>
                <w:sz w:val="1"/>
                <w:szCs w:val="1"/>
                <w:color w:val="auto"/>
              </w:rPr>
            </w:pPr>
          </w:p>
        </w:tc>
      </w:tr>
      <w:tr>
        <w:trPr>
          <w:trHeight w:val="234"/>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15,529</w:t>
            </w:r>
          </w:p>
        </w:tc>
        <w:tc>
          <w:tcPr>
            <w:tcW w:w="200" w:type="dxa"/>
            <w:vAlign w:val="bottom"/>
          </w:tcPr>
          <w:p>
            <w:pPr>
              <w:spacing w:after="0"/>
              <w:rPr>
                <w:sz w:val="20"/>
                <w:szCs w:val="20"/>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15,529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jc w:val="center"/>
              <w:ind w:right="220"/>
              <w:spacing w:after="0" w:line="170"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2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4080" w:type="dxa"/>
            <w:vAlign w:val="bottom"/>
            <w:gridSpan w:val="9"/>
          </w:tcPr>
          <w:p>
            <w:pPr>
              <w:ind w:left="60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12,787</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12,787</w:t>
            </w:r>
          </w:p>
        </w:tc>
        <w:tc>
          <w:tcPr>
            <w:tcW w:w="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12,787</w:t>
            </w:r>
          </w:p>
        </w:tc>
        <w:tc>
          <w:tcPr>
            <w:tcW w:w="0" w:type="dxa"/>
            <w:vAlign w:val="bottom"/>
          </w:tcPr>
          <w:p>
            <w:pPr>
              <w:spacing w:after="0"/>
              <w:rPr>
                <w:sz w:val="1"/>
                <w:szCs w:val="1"/>
                <w:color w:val="auto"/>
              </w:rPr>
            </w:pPr>
          </w:p>
        </w:tc>
      </w:tr>
      <w:tr>
        <w:trPr>
          <w:trHeight w:val="216"/>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117,323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117,323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117,323</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1,454,709</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1,434,631</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1,434,631</w:t>
            </w:r>
          </w:p>
        </w:tc>
        <w:tc>
          <w:tcPr>
            <w:tcW w:w="0" w:type="dxa"/>
            <w:vAlign w:val="bottom"/>
          </w:tcPr>
          <w:p>
            <w:pPr>
              <w:spacing w:after="0"/>
              <w:rPr>
                <w:sz w:val="1"/>
                <w:szCs w:val="1"/>
                <w:color w:val="auto"/>
              </w:rPr>
            </w:pPr>
          </w:p>
        </w:tc>
      </w:tr>
      <w:tr>
        <w:trPr>
          <w:trHeight w:val="216"/>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31,969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31,969</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136,847</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136,847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136,847</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4,819</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4,819</w:t>
            </w:r>
          </w:p>
        </w:tc>
        <w:tc>
          <w:tcPr>
            <w:tcW w:w="0" w:type="dxa"/>
            <w:vAlign w:val="bottom"/>
          </w:tcPr>
          <w:p>
            <w:pPr>
              <w:spacing w:after="0"/>
              <w:rPr>
                <w:sz w:val="1"/>
                <w:szCs w:val="1"/>
                <w:color w:val="auto"/>
              </w:rPr>
            </w:pPr>
          </w:p>
        </w:tc>
      </w:tr>
      <w:tr>
        <w:trPr>
          <w:trHeight w:val="216"/>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39,106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39,106</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2,063,627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2,051,920</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2,051,920</w:t>
            </w:r>
          </w:p>
        </w:tc>
        <w:tc>
          <w:tcPr>
            <w:tcW w:w="0" w:type="dxa"/>
            <w:vAlign w:val="bottom"/>
          </w:tcPr>
          <w:p>
            <w:pPr>
              <w:spacing w:after="0"/>
              <w:rPr>
                <w:sz w:val="1"/>
                <w:szCs w:val="1"/>
                <w:color w:val="auto"/>
              </w:rPr>
            </w:pPr>
          </w:p>
        </w:tc>
      </w:tr>
      <w:tr>
        <w:trPr>
          <w:trHeight w:val="234"/>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17,290</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17,290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89"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September 30, 2019, we have originated a total of approximately $16.0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232"/>
        </w:trPr>
        <w:tc>
          <w:tcPr>
            <w:tcW w:w="6200" w:type="dxa"/>
            <w:vAlign w:val="bottom"/>
            <w:gridSpan w:val="5"/>
          </w:tcPr>
          <w:p>
            <w:pPr>
              <w:ind w:left="1820"/>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6"/>
          </w:tcPr>
          <w:p>
            <w:pPr>
              <w:ind w:left="106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center"/>
              <w:ind w:right="4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w:t>
            </w: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Managed</w:t>
            </w:r>
          </w:p>
        </w:tc>
        <w:tc>
          <w:tcPr>
            <w:tcW w:w="10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Purchased in</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Portfolio at</w:t>
            </w:r>
          </w:p>
        </w:tc>
      </w:tr>
      <w:tr>
        <w:trPr>
          <w:trHeight w:val="238"/>
        </w:trPr>
        <w:tc>
          <w:tcPr>
            <w:tcW w:w="4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Period End</w:t>
            </w:r>
          </w:p>
        </w:tc>
      </w:tr>
      <w:tr>
        <w:trPr>
          <w:trHeight w:val="210"/>
        </w:trPr>
        <w:tc>
          <w:tcPr>
            <w:tcW w:w="4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2013</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764,087</w:t>
            </w:r>
          </w:p>
        </w:tc>
        <w:tc>
          <w:tcPr>
            <w:tcW w:w="2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1,231,422</w:t>
            </w:r>
          </w:p>
        </w:tc>
      </w:tr>
      <w:tr>
        <w:trPr>
          <w:trHeight w:val="216"/>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944,944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1,643,920</w:t>
            </w:r>
          </w:p>
        </w:tc>
      </w:tr>
      <w:tr>
        <w:trPr>
          <w:trHeight w:val="216"/>
        </w:trPr>
        <w:tc>
          <w:tcPr>
            <w:tcW w:w="4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2015</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1,060,538</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2,031,136</w:t>
            </w:r>
          </w:p>
        </w:tc>
      </w:tr>
      <w:tr>
        <w:trPr>
          <w:trHeight w:val="216"/>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1,088,785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2,308,070</w:t>
            </w:r>
          </w:p>
        </w:tc>
      </w:tr>
      <w:tr>
        <w:trPr>
          <w:trHeight w:val="216"/>
        </w:trPr>
        <w:tc>
          <w:tcPr>
            <w:tcW w:w="4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859,069</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2,333,530</w:t>
            </w:r>
          </w:p>
        </w:tc>
      </w:tr>
      <w:tr>
        <w:trPr>
          <w:trHeight w:val="216"/>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902,416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2,380,847</w:t>
            </w:r>
          </w:p>
        </w:tc>
      </w:tr>
      <w:tr>
        <w:trPr>
          <w:trHeight w:val="216"/>
        </w:trPr>
        <w:tc>
          <w:tcPr>
            <w:tcW w:w="43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Nine months ended September 30, 2019</w:t>
            </w:r>
          </w:p>
        </w:tc>
        <w:tc>
          <w:tcPr>
            <w:tcW w:w="1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755,285</w:t>
            </w: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2,412,638</w:t>
            </w:r>
          </w:p>
        </w:tc>
      </w:tr>
    </w:tbl>
    <w:p>
      <w:pPr>
        <w:spacing w:after="0" w:line="198"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76"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84"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before 2018, we also periodically record as expense a provision for credit losses on the contracts; for automobile contracts acquired after 2017 we take account of estimated credit losses in our computation of a level yield used to determine recognition of interest on the contracts.</w:t>
      </w:r>
    </w:p>
    <w:p>
      <w:pPr>
        <w:spacing w:after="0" w:line="184"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Since 1994 we have conducted 83 term securitizations of automobile contracts that we originated. As of September 30, 2019, 20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8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40" w:type="dxa"/>
            <w:vAlign w:val="bottom"/>
          </w:tcPr>
          <w:p>
            <w:pPr>
              <w:spacing w:after="0"/>
              <w:rPr>
                <w:sz w:val="24"/>
                <w:szCs w:val="24"/>
                <w:color w:val="auto"/>
              </w:rPr>
            </w:pPr>
          </w:p>
        </w:tc>
        <w:tc>
          <w:tcPr>
            <w:tcW w:w="6220" w:type="dxa"/>
            <w:vAlign w:val="bottom"/>
            <w:gridSpan w:val="4"/>
          </w:tcPr>
          <w:p>
            <w:pPr>
              <w:ind w:left="236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5"/>
          </w:tcPr>
          <w:p>
            <w:pPr>
              <w:ind w:left="124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Receivables Pledged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 of Term</w:t>
            </w:r>
          </w:p>
        </w:tc>
        <w:tc>
          <w:tcPr>
            <w:tcW w:w="18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Term</w:t>
            </w: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4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18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0" w:type="dxa"/>
            <w:vAlign w:val="bottom"/>
          </w:tcPr>
          <w:p>
            <w:pPr>
              <w:spacing w:after="0"/>
              <w:rPr>
                <w:sz w:val="1"/>
                <w:szCs w:val="1"/>
                <w:color w:val="auto"/>
              </w:rPr>
            </w:pPr>
          </w:p>
        </w:tc>
      </w:tr>
      <w:tr>
        <w:trPr>
          <w:trHeight w:val="210"/>
        </w:trPr>
        <w:tc>
          <w:tcPr>
            <w:tcW w:w="144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vMerge w:val="continue"/>
          </w:tcPr>
          <w:p>
            <w:pPr>
              <w:spacing w:after="0"/>
              <w:rPr>
                <w:sz w:val="18"/>
                <w:szCs w:val="18"/>
                <w:color w:val="auto"/>
              </w:rPr>
            </w:pPr>
          </w:p>
        </w:tc>
        <w:tc>
          <w:tcPr>
            <w:tcW w:w="41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2013</w:t>
            </w:r>
          </w:p>
        </w:tc>
        <w:tc>
          <w:tcPr>
            <w:tcW w:w="22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778,000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2014</w:t>
            </w:r>
          </w:p>
        </w:tc>
        <w:tc>
          <w:tcPr>
            <w:tcW w:w="220" w:type="dxa"/>
            <w:vAlign w:val="bottom"/>
          </w:tcPr>
          <w:p>
            <w:pPr>
              <w:spacing w:after="0"/>
              <w:rPr>
                <w:sz w:val="18"/>
                <w:szCs w:val="18"/>
                <w:color w:val="auto"/>
              </w:rPr>
            </w:pP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923,000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2015</w:t>
            </w:r>
          </w:p>
        </w:tc>
        <w:tc>
          <w:tcPr>
            <w:tcW w:w="22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6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795,000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2016</w:t>
            </w:r>
          </w:p>
        </w:tc>
        <w:tc>
          <w:tcPr>
            <w:tcW w:w="220" w:type="dxa"/>
            <w:vAlign w:val="bottom"/>
          </w:tcPr>
          <w:p>
            <w:pPr>
              <w:spacing w:after="0"/>
              <w:rPr>
                <w:sz w:val="18"/>
                <w:szCs w:val="18"/>
                <w:color w:val="auto"/>
              </w:rPr>
            </w:pP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1,214,997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2017</w:t>
            </w:r>
          </w:p>
        </w:tc>
        <w:tc>
          <w:tcPr>
            <w:tcW w:w="22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870,000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2018</w:t>
            </w:r>
          </w:p>
        </w:tc>
        <w:tc>
          <w:tcPr>
            <w:tcW w:w="220" w:type="dxa"/>
            <w:vAlign w:val="bottom"/>
          </w:tcPr>
          <w:p>
            <w:pPr>
              <w:spacing w:after="0"/>
              <w:rPr>
                <w:sz w:val="18"/>
                <w:szCs w:val="18"/>
                <w:color w:val="auto"/>
              </w:rPr>
            </w:pP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883,452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32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Nine months ended September 30, 2019</w:t>
            </w:r>
          </w:p>
        </w:tc>
        <w:tc>
          <w:tcPr>
            <w:tcW w:w="1600" w:type="dxa"/>
            <w:vAlign w:val="bottom"/>
            <w:shd w:val="clear" w:color="auto" w:fill="EEEEEE"/>
          </w:tcPr>
          <w:p>
            <w:pPr>
              <w:jc w:val="right"/>
              <w:ind w:right="6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739,124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270"/>
        <w:spacing w:after="0" w:line="274" w:lineRule="auto"/>
        <w:rPr>
          <w:sz w:val="20"/>
          <w:szCs w:val="20"/>
          <w:color w:val="auto"/>
        </w:rPr>
      </w:pPr>
      <w:r>
        <w:rPr>
          <w:rFonts w:ascii="Times New Roman" w:cs="Times New Roman" w:eastAsia="Times New Roman" w:hAnsi="Times New Roman"/>
          <w:sz w:val="17"/>
          <w:szCs w:val="17"/>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most recently renewed in September 2018, extending the revolving period to September 2020, with an optional amortization period through September 2021. In April 2015, we entered into a second $100 million facility. This facility was renewed in April 2017 and again in February 2019, extending the revolving period to February 2021, followed by an amortization period to February 2023. In November 2015, we entered into a third $100 million facility. This facility was renewed in November 2017, extending the revolving period to November 2019, followed by an amortization period to November 2021.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7" w:name="page28"/>
    <w:bookmarkEnd w:id="27"/>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8"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2019, we were in compliance with all such covenants.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September 30, 2019 with the three months ended September 30, 2018</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 months ended September 30, 2019, our revenues were $85.5 million, a decrease of $10.1 million, or 10.6%,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$95.6 million. The primary reason for the decrease in revenues is a decrease in interest income. Interest income for the three months ended September 30, 2019 decreased $10.1 million, or 10.8%, to $83.5 million from $93.6 million in the prior year. The primary reason for the decrease in interest income is the lower interest yield on the receivables measured at fair value. The interest yield on receivables measured at fair value is reduced to take account of expected losses and is therefore less than the yield on other finance receivables. The table below shows the average balances and interest yields of our loan portfolio for the three months ended September 30, 2019 and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0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60" w:type="dxa"/>
            <w:vAlign w:val="bottom"/>
            <w:gridSpan w:val="3"/>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200" w:type="dxa"/>
            <w:vAlign w:val="bottom"/>
            <w:shd w:val="clear" w:color="auto" w:fill="EEEEEE"/>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1,105,087</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50,625</w:t>
            </w:r>
          </w:p>
        </w:tc>
        <w:tc>
          <w:tcPr>
            <w:tcW w:w="170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1,787,428</w:t>
            </w:r>
          </w:p>
        </w:tc>
        <w:tc>
          <w:tcPr>
            <w:tcW w:w="200" w:type="dxa"/>
            <w:vAlign w:val="bottom"/>
            <w:shd w:val="clear" w:color="auto" w:fill="EEEEEE"/>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80,135</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Finance receivables measured at fair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1,304,012</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32,903</w:t>
            </w: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547,468</w:t>
            </w:r>
          </w:p>
        </w:tc>
        <w:tc>
          <w:tcPr>
            <w:tcW w:w="20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13,482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EEEEEE"/>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2,409,099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83,528</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2,334,896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93,617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8" w:name="page29"/>
    <w:bookmarkEnd w:id="28"/>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30, 2019, other income of $1.9 million decreased by $20,000, or 1.0% compared to the prior year. The three-month period ended September 30, 2019 includes a decrease of $207,000 in revenues associated with direct mail and other related products and services that we offer to our dealers and decreases in other income categories. These were partially offset by an increase of $240,000 in payments from third-party providers of convenience fees paid by our customers for web based and other electronic payments.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5"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7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Total operating expenses were $82.7 million for the three months ended September 30, 2019, compared to $90.9 million for the prior period, a decrease of $8.2 million, or 9.1%. The decrease is primarily due to a decrease in provision for credit losses, offsetting increases in interest expense, employee costs and general and administrative expenses.</w:t>
      </w:r>
    </w:p>
    <w:p>
      <w:pPr>
        <w:spacing w:after="0" w:line="17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Employee costs increased by $1.4 million or 7.7%, to $20.3 million during the three months ended September 30, 2019, representing 24.5% of total operating expenses, from $18.8 million for the prior year, or 20.7% of total operating expenses. The table below summarizes our employees by category as well as contract purchases and units in our managed portfolio as of, and for the three-month periods ended, September 30, 2019 and 2018:</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4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gridSpan w:val="4"/>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6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262.1</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225.3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14,353</w:t>
            </w:r>
          </w:p>
        </w:tc>
        <w:tc>
          <w:tcPr>
            <w:tcW w:w="140" w:type="dxa"/>
            <w:vAlign w:val="bottom"/>
          </w:tcPr>
          <w:p>
            <w:pPr>
              <w:spacing w:after="0"/>
              <w:rPr>
                <w:sz w:val="18"/>
                <w:szCs w:val="18"/>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6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2,412.6</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2,342.9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177,575</w:t>
            </w:r>
          </w:p>
        </w:tc>
        <w:tc>
          <w:tcPr>
            <w:tcW w:w="14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8"/>
                <w:szCs w:val="18"/>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5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0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9" w:name="page30"/>
    <w:bookmarkEnd w:id="29"/>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$8.2 million, an increase from $7.8 million in the previous year and represented 9.9% of total operating expenses.</w:t>
      </w:r>
    </w:p>
    <w:p>
      <w:pPr>
        <w:spacing w:after="0" w:line="17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2019 increased by $2.1 million to $27.9 million, or 8.3% and represented 33.8% of total operating expenses, compared to $25.8 million in the previous year, when it was 28.4% of total operating expenses.</w:t>
      </w:r>
    </w:p>
    <w:p>
      <w:pPr>
        <w:spacing w:after="0" w:line="162"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Interest on securitization trust debt increased by $1.5 million, or 6.8%, for the three months ended September 30, 2019 compared to the prior period. The average balance of securitization trust debt increased 1.8% to $2,165.9 million for the three months ended September 30, 2019 compared to $2,128.1 million for the three months ended September 30, 2018. The blended interest rates on new term securitizations have generally increased in 2017 and 2018 before declining in 2019. As a result, the cost of securitization debt during the three-month period ended September 30, 2019 was 4.5%, compared to 4.3%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w:t>
      </w:r>
    </w:p>
    <w:p>
      <w:pPr>
        <w:spacing w:after="0" w:line="18" w:lineRule="exact"/>
        <w:rPr>
          <w:sz w:val="20"/>
          <w:szCs w:val="20"/>
          <w:color w:val="auto"/>
        </w:rPr>
      </w:pPr>
    </w:p>
    <w:tbl>
      <w:tblPr>
        <w:tblLayout w:type="fixed"/>
        <w:tblInd w:w="288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37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Term Securitizations</w:t>
            </w:r>
          </w:p>
        </w:tc>
      </w:tr>
      <w:tr>
        <w:trPr>
          <w:trHeight w:val="216"/>
        </w:trPr>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Blended Cost of</w:t>
            </w:r>
          </w:p>
        </w:tc>
      </w:tr>
      <w:tr>
        <w:trPr>
          <w:trHeight w:val="238"/>
        </w:trPr>
        <w:tc>
          <w:tcPr>
            <w:tcW w:w="192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7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140" w:type="dxa"/>
            <w:vAlign w:val="bottom"/>
          </w:tcPr>
          <w:p>
            <w:pPr>
              <w:spacing w:after="0"/>
              <w:rPr>
                <w:sz w:val="20"/>
                <w:szCs w:val="20"/>
                <w:color w:val="auto"/>
              </w:rPr>
            </w:pPr>
          </w:p>
        </w:tc>
      </w:tr>
      <w:tr>
        <w:trPr>
          <w:trHeight w:val="426"/>
        </w:trPr>
        <w:tc>
          <w:tcPr>
            <w:tcW w:w="19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January 2017</w:t>
            </w:r>
          </w:p>
        </w:tc>
        <w:tc>
          <w:tcPr>
            <w:tcW w:w="3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8"/>
              </w:rPr>
              <w:t>3.91%</w:t>
            </w:r>
          </w:p>
        </w:tc>
        <w:tc>
          <w:tcPr>
            <w:tcW w:w="140" w:type="dxa"/>
            <w:vAlign w:val="bottom"/>
          </w:tcPr>
          <w:p>
            <w:pPr>
              <w:spacing w:after="0"/>
              <w:rPr>
                <w:sz w:val="24"/>
                <w:szCs w:val="24"/>
                <w:color w:val="auto"/>
              </w:rPr>
            </w:pPr>
          </w:p>
        </w:tc>
      </w:tr>
      <w:tr>
        <w:trPr>
          <w:trHeight w:val="216"/>
        </w:trPr>
        <w:tc>
          <w:tcPr>
            <w:tcW w:w="1920" w:type="dxa"/>
            <w:vAlign w:val="bottom"/>
            <w:shd w:val="clear" w:color="auto" w:fill="EEEEEE"/>
          </w:tcPr>
          <w:p>
            <w:pPr>
              <w:jc w:val="center"/>
              <w:ind w:left="570"/>
              <w:spacing w:after="0"/>
              <w:rPr>
                <w:sz w:val="20"/>
                <w:szCs w:val="20"/>
                <w:color w:val="auto"/>
              </w:rPr>
            </w:pPr>
            <w:r>
              <w:rPr>
                <w:rFonts w:ascii="Times New Roman" w:cs="Times New Roman" w:eastAsia="Times New Roman" w:hAnsi="Times New Roman"/>
                <w:sz w:val="18"/>
                <w:szCs w:val="18"/>
                <w:color w:val="auto"/>
                <w:w w:val="99"/>
              </w:rPr>
              <w:t>April 2017</w:t>
            </w:r>
          </w:p>
        </w:tc>
        <w:tc>
          <w:tcPr>
            <w:tcW w:w="3640" w:type="dxa"/>
            <w:vAlign w:val="bottom"/>
            <w:gridSpan w:val="3"/>
            <w:shd w:val="clear" w:color="auto" w:fill="EEEEEE"/>
          </w:tcPr>
          <w:p>
            <w:pPr>
              <w:jc w:val="center"/>
              <w:ind w:left="930"/>
              <w:spacing w:after="0"/>
              <w:rPr>
                <w:sz w:val="20"/>
                <w:szCs w:val="20"/>
                <w:color w:val="auto"/>
              </w:rPr>
            </w:pPr>
            <w:r>
              <w:rPr>
                <w:rFonts w:ascii="Times New Roman" w:cs="Times New Roman" w:eastAsia="Times New Roman" w:hAnsi="Times New Roman"/>
                <w:sz w:val="18"/>
                <w:szCs w:val="18"/>
                <w:color w:val="auto"/>
                <w:w w:val="98"/>
              </w:rPr>
              <w:t>3.45%</w:t>
            </w:r>
          </w:p>
        </w:tc>
        <w:tc>
          <w:tcPr>
            <w:tcW w:w="140" w:type="dxa"/>
            <w:vAlign w:val="bottom"/>
            <w:shd w:val="clear" w:color="auto" w:fill="EEEEEE"/>
          </w:tcPr>
          <w:p>
            <w:pPr>
              <w:spacing w:after="0"/>
              <w:rPr>
                <w:sz w:val="18"/>
                <w:szCs w:val="18"/>
                <w:color w:val="auto"/>
              </w:rPr>
            </w:pPr>
          </w:p>
        </w:tc>
      </w:tr>
      <w:tr>
        <w:trPr>
          <w:trHeight w:val="216"/>
        </w:trPr>
        <w:tc>
          <w:tcPr>
            <w:tcW w:w="19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July 2017</w:t>
            </w:r>
          </w:p>
        </w:tc>
        <w:tc>
          <w:tcPr>
            <w:tcW w:w="3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8"/>
              </w:rPr>
              <w:t>3.52%</w:t>
            </w:r>
          </w:p>
        </w:tc>
        <w:tc>
          <w:tcPr>
            <w:tcW w:w="140" w:type="dxa"/>
            <w:vAlign w:val="bottom"/>
          </w:tcPr>
          <w:p>
            <w:pPr>
              <w:spacing w:after="0"/>
              <w:rPr>
                <w:sz w:val="18"/>
                <w:szCs w:val="18"/>
                <w:color w:val="auto"/>
              </w:rPr>
            </w:pPr>
          </w:p>
        </w:tc>
      </w:tr>
      <w:tr>
        <w:trPr>
          <w:trHeight w:val="216"/>
        </w:trPr>
        <w:tc>
          <w:tcPr>
            <w:tcW w:w="1920" w:type="dxa"/>
            <w:vAlign w:val="bottom"/>
            <w:shd w:val="clear" w:color="auto" w:fill="EEEEEE"/>
          </w:tcPr>
          <w:p>
            <w:pPr>
              <w:jc w:val="center"/>
              <w:ind w:left="570"/>
              <w:spacing w:after="0"/>
              <w:rPr>
                <w:sz w:val="20"/>
                <w:szCs w:val="20"/>
                <w:color w:val="auto"/>
              </w:rPr>
            </w:pPr>
            <w:r>
              <w:rPr>
                <w:rFonts w:ascii="Times New Roman" w:cs="Times New Roman" w:eastAsia="Times New Roman" w:hAnsi="Times New Roman"/>
                <w:sz w:val="18"/>
                <w:szCs w:val="18"/>
                <w:color w:val="auto"/>
                <w:w w:val="99"/>
              </w:rPr>
              <w:t>October 2017</w:t>
            </w:r>
          </w:p>
        </w:tc>
        <w:tc>
          <w:tcPr>
            <w:tcW w:w="3640" w:type="dxa"/>
            <w:vAlign w:val="bottom"/>
            <w:gridSpan w:val="3"/>
            <w:shd w:val="clear" w:color="auto" w:fill="EEEEEE"/>
          </w:tcPr>
          <w:p>
            <w:pPr>
              <w:jc w:val="center"/>
              <w:ind w:left="930"/>
              <w:spacing w:after="0"/>
              <w:rPr>
                <w:sz w:val="20"/>
                <w:szCs w:val="20"/>
                <w:color w:val="auto"/>
              </w:rPr>
            </w:pPr>
            <w:r>
              <w:rPr>
                <w:rFonts w:ascii="Times New Roman" w:cs="Times New Roman" w:eastAsia="Times New Roman" w:hAnsi="Times New Roman"/>
                <w:sz w:val="18"/>
                <w:szCs w:val="18"/>
                <w:color w:val="auto"/>
                <w:w w:val="98"/>
              </w:rPr>
              <w:t>3.39%</w:t>
            </w:r>
          </w:p>
        </w:tc>
        <w:tc>
          <w:tcPr>
            <w:tcW w:w="140" w:type="dxa"/>
            <w:vAlign w:val="bottom"/>
            <w:shd w:val="clear" w:color="auto" w:fill="EEEEEE"/>
          </w:tcPr>
          <w:p>
            <w:pPr>
              <w:spacing w:after="0"/>
              <w:rPr>
                <w:sz w:val="18"/>
                <w:szCs w:val="18"/>
                <w:color w:val="auto"/>
              </w:rPr>
            </w:pPr>
          </w:p>
        </w:tc>
      </w:tr>
      <w:tr>
        <w:trPr>
          <w:trHeight w:val="216"/>
        </w:trPr>
        <w:tc>
          <w:tcPr>
            <w:tcW w:w="19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January 2018</w:t>
            </w:r>
          </w:p>
        </w:tc>
        <w:tc>
          <w:tcPr>
            <w:tcW w:w="3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8"/>
              </w:rPr>
              <w:t>3.46%</w:t>
            </w:r>
          </w:p>
        </w:tc>
        <w:tc>
          <w:tcPr>
            <w:tcW w:w="140" w:type="dxa"/>
            <w:vAlign w:val="bottom"/>
          </w:tcPr>
          <w:p>
            <w:pPr>
              <w:spacing w:after="0"/>
              <w:rPr>
                <w:sz w:val="18"/>
                <w:szCs w:val="18"/>
                <w:color w:val="auto"/>
              </w:rPr>
            </w:pPr>
          </w:p>
        </w:tc>
      </w:tr>
      <w:tr>
        <w:trPr>
          <w:trHeight w:val="216"/>
        </w:trPr>
        <w:tc>
          <w:tcPr>
            <w:tcW w:w="1920" w:type="dxa"/>
            <w:vAlign w:val="bottom"/>
            <w:shd w:val="clear" w:color="auto" w:fill="EEEEEE"/>
          </w:tcPr>
          <w:p>
            <w:pPr>
              <w:jc w:val="center"/>
              <w:ind w:left="570"/>
              <w:spacing w:after="0"/>
              <w:rPr>
                <w:sz w:val="20"/>
                <w:szCs w:val="20"/>
                <w:color w:val="auto"/>
              </w:rPr>
            </w:pPr>
            <w:r>
              <w:rPr>
                <w:rFonts w:ascii="Times New Roman" w:cs="Times New Roman" w:eastAsia="Times New Roman" w:hAnsi="Times New Roman"/>
                <w:sz w:val="18"/>
                <w:szCs w:val="18"/>
                <w:color w:val="auto"/>
                <w:w w:val="99"/>
              </w:rPr>
              <w:t>April 2018</w:t>
            </w:r>
          </w:p>
        </w:tc>
        <w:tc>
          <w:tcPr>
            <w:tcW w:w="3640" w:type="dxa"/>
            <w:vAlign w:val="bottom"/>
            <w:gridSpan w:val="3"/>
            <w:shd w:val="clear" w:color="auto" w:fill="EEEEEE"/>
          </w:tcPr>
          <w:p>
            <w:pPr>
              <w:jc w:val="center"/>
              <w:ind w:left="930"/>
              <w:spacing w:after="0"/>
              <w:rPr>
                <w:sz w:val="20"/>
                <w:szCs w:val="20"/>
                <w:color w:val="auto"/>
              </w:rPr>
            </w:pPr>
            <w:r>
              <w:rPr>
                <w:rFonts w:ascii="Times New Roman" w:cs="Times New Roman" w:eastAsia="Times New Roman" w:hAnsi="Times New Roman"/>
                <w:sz w:val="18"/>
                <w:szCs w:val="18"/>
                <w:color w:val="auto"/>
                <w:w w:val="98"/>
              </w:rPr>
              <w:t>3.98%</w:t>
            </w:r>
          </w:p>
        </w:tc>
        <w:tc>
          <w:tcPr>
            <w:tcW w:w="140" w:type="dxa"/>
            <w:vAlign w:val="bottom"/>
            <w:shd w:val="clear" w:color="auto" w:fill="EEEEEE"/>
          </w:tcPr>
          <w:p>
            <w:pPr>
              <w:spacing w:after="0"/>
              <w:rPr>
                <w:sz w:val="18"/>
                <w:szCs w:val="18"/>
                <w:color w:val="auto"/>
              </w:rPr>
            </w:pPr>
          </w:p>
        </w:tc>
      </w:tr>
      <w:tr>
        <w:trPr>
          <w:trHeight w:val="216"/>
        </w:trPr>
        <w:tc>
          <w:tcPr>
            <w:tcW w:w="19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July 2018</w:t>
            </w:r>
          </w:p>
        </w:tc>
        <w:tc>
          <w:tcPr>
            <w:tcW w:w="3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8"/>
              </w:rPr>
              <w:t>4.18%</w:t>
            </w:r>
          </w:p>
        </w:tc>
        <w:tc>
          <w:tcPr>
            <w:tcW w:w="140" w:type="dxa"/>
            <w:vAlign w:val="bottom"/>
          </w:tcPr>
          <w:p>
            <w:pPr>
              <w:spacing w:after="0"/>
              <w:rPr>
                <w:sz w:val="18"/>
                <w:szCs w:val="18"/>
                <w:color w:val="auto"/>
              </w:rPr>
            </w:pPr>
          </w:p>
        </w:tc>
      </w:tr>
      <w:tr>
        <w:trPr>
          <w:trHeight w:val="216"/>
        </w:trPr>
        <w:tc>
          <w:tcPr>
            <w:tcW w:w="1920" w:type="dxa"/>
            <w:vAlign w:val="bottom"/>
            <w:shd w:val="clear" w:color="auto" w:fill="EEEEEE"/>
          </w:tcPr>
          <w:p>
            <w:pPr>
              <w:jc w:val="center"/>
              <w:ind w:left="570"/>
              <w:spacing w:after="0"/>
              <w:rPr>
                <w:sz w:val="20"/>
                <w:szCs w:val="20"/>
                <w:color w:val="auto"/>
              </w:rPr>
            </w:pPr>
            <w:r>
              <w:rPr>
                <w:rFonts w:ascii="Times New Roman" w:cs="Times New Roman" w:eastAsia="Times New Roman" w:hAnsi="Times New Roman"/>
                <w:sz w:val="18"/>
                <w:szCs w:val="18"/>
                <w:color w:val="auto"/>
                <w:w w:val="99"/>
              </w:rPr>
              <w:t>October 2018</w:t>
            </w:r>
          </w:p>
        </w:tc>
        <w:tc>
          <w:tcPr>
            <w:tcW w:w="3640" w:type="dxa"/>
            <w:vAlign w:val="bottom"/>
            <w:gridSpan w:val="3"/>
            <w:shd w:val="clear" w:color="auto" w:fill="EEEEEE"/>
          </w:tcPr>
          <w:p>
            <w:pPr>
              <w:jc w:val="center"/>
              <w:ind w:left="930"/>
              <w:spacing w:after="0"/>
              <w:rPr>
                <w:sz w:val="20"/>
                <w:szCs w:val="20"/>
                <w:color w:val="auto"/>
              </w:rPr>
            </w:pPr>
            <w:r>
              <w:rPr>
                <w:rFonts w:ascii="Times New Roman" w:cs="Times New Roman" w:eastAsia="Times New Roman" w:hAnsi="Times New Roman"/>
                <w:sz w:val="18"/>
                <w:szCs w:val="18"/>
                <w:color w:val="auto"/>
                <w:w w:val="98"/>
              </w:rPr>
              <w:t>4.25%</w:t>
            </w:r>
          </w:p>
        </w:tc>
        <w:tc>
          <w:tcPr>
            <w:tcW w:w="140" w:type="dxa"/>
            <w:vAlign w:val="bottom"/>
            <w:shd w:val="clear" w:color="auto" w:fill="EEEEEE"/>
          </w:tcPr>
          <w:p>
            <w:pPr>
              <w:spacing w:after="0"/>
              <w:rPr>
                <w:sz w:val="18"/>
                <w:szCs w:val="18"/>
                <w:color w:val="auto"/>
              </w:rPr>
            </w:pPr>
          </w:p>
        </w:tc>
      </w:tr>
      <w:tr>
        <w:trPr>
          <w:trHeight w:val="216"/>
        </w:trPr>
        <w:tc>
          <w:tcPr>
            <w:tcW w:w="19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January 2019</w:t>
            </w:r>
          </w:p>
        </w:tc>
        <w:tc>
          <w:tcPr>
            <w:tcW w:w="3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8"/>
              </w:rPr>
              <w:t>4.22%</w:t>
            </w:r>
          </w:p>
        </w:tc>
        <w:tc>
          <w:tcPr>
            <w:tcW w:w="140" w:type="dxa"/>
            <w:vAlign w:val="bottom"/>
          </w:tcPr>
          <w:p>
            <w:pPr>
              <w:spacing w:after="0"/>
              <w:rPr>
                <w:sz w:val="18"/>
                <w:szCs w:val="18"/>
                <w:color w:val="auto"/>
              </w:rPr>
            </w:pPr>
          </w:p>
        </w:tc>
      </w:tr>
      <w:tr>
        <w:trPr>
          <w:trHeight w:val="216"/>
        </w:trPr>
        <w:tc>
          <w:tcPr>
            <w:tcW w:w="1920" w:type="dxa"/>
            <w:vAlign w:val="bottom"/>
            <w:shd w:val="clear" w:color="auto" w:fill="EEEEEE"/>
          </w:tcPr>
          <w:p>
            <w:pPr>
              <w:jc w:val="center"/>
              <w:ind w:left="570"/>
              <w:spacing w:after="0"/>
              <w:rPr>
                <w:sz w:val="20"/>
                <w:szCs w:val="20"/>
                <w:color w:val="auto"/>
              </w:rPr>
            </w:pPr>
            <w:r>
              <w:rPr>
                <w:rFonts w:ascii="Times New Roman" w:cs="Times New Roman" w:eastAsia="Times New Roman" w:hAnsi="Times New Roman"/>
                <w:sz w:val="18"/>
                <w:szCs w:val="18"/>
                <w:color w:val="auto"/>
                <w:w w:val="99"/>
              </w:rPr>
              <w:t>April 2019</w:t>
            </w:r>
          </w:p>
        </w:tc>
        <w:tc>
          <w:tcPr>
            <w:tcW w:w="3640" w:type="dxa"/>
            <w:vAlign w:val="bottom"/>
            <w:gridSpan w:val="3"/>
            <w:shd w:val="clear" w:color="auto" w:fill="EEEEEE"/>
          </w:tcPr>
          <w:p>
            <w:pPr>
              <w:jc w:val="center"/>
              <w:ind w:left="930"/>
              <w:spacing w:after="0"/>
              <w:rPr>
                <w:sz w:val="20"/>
                <w:szCs w:val="20"/>
                <w:color w:val="auto"/>
              </w:rPr>
            </w:pPr>
            <w:r>
              <w:rPr>
                <w:rFonts w:ascii="Times New Roman" w:cs="Times New Roman" w:eastAsia="Times New Roman" w:hAnsi="Times New Roman"/>
                <w:sz w:val="18"/>
                <w:szCs w:val="18"/>
                <w:color w:val="auto"/>
                <w:w w:val="98"/>
              </w:rPr>
              <w:t>3.95%</w:t>
            </w:r>
          </w:p>
        </w:tc>
        <w:tc>
          <w:tcPr>
            <w:tcW w:w="140" w:type="dxa"/>
            <w:vAlign w:val="bottom"/>
            <w:shd w:val="clear" w:color="auto" w:fill="EEEEEE"/>
          </w:tcPr>
          <w:p>
            <w:pPr>
              <w:spacing w:after="0"/>
              <w:rPr>
                <w:sz w:val="18"/>
                <w:szCs w:val="18"/>
                <w:color w:val="auto"/>
              </w:rPr>
            </w:pPr>
          </w:p>
        </w:tc>
      </w:tr>
      <w:tr>
        <w:trPr>
          <w:trHeight w:val="234"/>
        </w:trPr>
        <w:tc>
          <w:tcPr>
            <w:tcW w:w="19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July 2019</w:t>
            </w:r>
          </w:p>
        </w:tc>
        <w:tc>
          <w:tcPr>
            <w:tcW w:w="3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8"/>
              </w:rPr>
              <w:t>3.36%</w:t>
            </w:r>
          </w:p>
        </w:tc>
        <w:tc>
          <w:tcPr>
            <w:tcW w:w="140" w:type="dxa"/>
            <w:vAlign w:val="bottom"/>
          </w:tcPr>
          <w:p>
            <w:pPr>
              <w:spacing w:after="0"/>
              <w:rPr>
                <w:sz w:val="20"/>
                <w:szCs w:val="20"/>
                <w:color w:val="auto"/>
              </w:rPr>
            </w:pPr>
          </w:p>
        </w:tc>
      </w:tr>
    </w:tbl>
    <w:p>
      <w:pPr>
        <w:spacing w:after="0" w:line="17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increased by $2,000. The average balance of the outstanding subordinated debt decreased 9.1% to $15.1 million for the three months ended September 30, 2019 compared to $16.7 million for the three months ended September 30, 2018. However, the average yield of subordinated notes increased to 9.8% in the three-month period ended September 30, 2019 compared to 8.8% in the prior period.</w:t>
      </w:r>
    </w:p>
    <w:p>
      <w:pPr>
        <w:spacing w:after="0" w:line="17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Interest expense on warehouse debt increased by $580,000, or 31.8%, for the three months ended September 30, 2019 compared to the prior period. The average rate on the debt decreased to 9.8% in the three-month period ended September 30, 2019 compared to 12.4% in the prior period. However, the decrease was offset by higher outstanding warehouse debt balance in the current period.</w:t>
      </w:r>
    </w:p>
    <w:p>
      <w:pPr>
        <w:spacing w:after="0" w:line="17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On May 16, 2018, we completed a $40.0 million securitization of residual interests from previously issued securitizations. Interest expense on this residual interest financing was $956,000 for the three months ended September 30, 2019 compared to $936,000 in the prior year period.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 w:name="page31"/>
    <w:bookmarkEnd w:id="30"/>
    <w:p>
      <w:pPr>
        <w:ind w:left="28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6"/>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18"/>
                <w:szCs w:val="18"/>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Yield/Rate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Balance (1)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3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Yield/Rate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1080"/>
              <w:spacing w:after="0" w:line="161" w:lineRule="exact"/>
              <w:rPr>
                <w:sz w:val="20"/>
                <w:szCs w:val="20"/>
                <w:color w:val="auto"/>
              </w:rPr>
            </w:pPr>
            <w:r>
              <w:rPr>
                <w:rFonts w:ascii="Times New Roman" w:cs="Times New Roman" w:eastAsia="Times New Roman" w:hAnsi="Times New Roman"/>
                <w:sz w:val="16"/>
                <w:szCs w:val="16"/>
                <w:b w:val="1"/>
                <w:bCs w:val="1"/>
                <w:color w:val="auto"/>
              </w:rPr>
              <w:t>Interest Earning Assets</w:t>
            </w: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Finance receivables gross (2)</w:t>
            </w:r>
          </w:p>
        </w:tc>
        <w:tc>
          <w:tcPr>
            <w:tcW w:w="1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1,105,087</w:t>
            </w:r>
          </w:p>
        </w:tc>
        <w:tc>
          <w:tcPr>
            <w:tcW w:w="420" w:type="dxa"/>
            <w:vAlign w:val="bottom"/>
            <w:gridSpan w:val="2"/>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50,625</w:t>
            </w:r>
          </w:p>
        </w:tc>
        <w:tc>
          <w:tcPr>
            <w:tcW w:w="142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18.3%</w:t>
            </w:r>
          </w:p>
        </w:tc>
        <w:tc>
          <w:tcPr>
            <w:tcW w:w="3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1,787,427</w:t>
            </w:r>
          </w:p>
        </w:tc>
        <w:tc>
          <w:tcPr>
            <w:tcW w:w="180" w:type="dxa"/>
            <w:vAlign w:val="bottom"/>
            <w:shd w:val="clear" w:color="auto" w:fill="EEEEEE"/>
          </w:tcPr>
          <w:p>
            <w:pPr>
              <w:spacing w:after="0"/>
              <w:rPr>
                <w:sz w:val="17"/>
                <w:szCs w:val="17"/>
                <w:color w:val="auto"/>
              </w:rPr>
            </w:pPr>
          </w:p>
        </w:tc>
        <w:tc>
          <w:tcPr>
            <w:tcW w:w="320" w:type="dxa"/>
            <w:vAlign w:val="bottom"/>
            <w:gridSpan w:val="2"/>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80,135</w:t>
            </w:r>
          </w:p>
        </w:tc>
        <w:tc>
          <w:tcPr>
            <w:tcW w:w="14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Finance receivables at fair value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1,304,012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32,903</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547,468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13,482</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6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96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2,409,099</w:t>
            </w:r>
          </w:p>
        </w:tc>
        <w:tc>
          <w:tcPr>
            <w:tcW w:w="22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83,528</w:t>
            </w:r>
          </w:p>
        </w:tc>
        <w:tc>
          <w:tcPr>
            <w:tcW w:w="160" w:type="dxa"/>
            <w:vAlign w:val="bottom"/>
            <w:tcBorders>
              <w:top w:val="single" w:sz="8" w:color="EEEEEE"/>
            </w:tcBorders>
            <w:shd w:val="clear" w:color="auto" w:fill="EEEEEE"/>
          </w:tcPr>
          <w:p>
            <w:pPr>
              <w:spacing w:after="0"/>
              <w:rPr>
                <w:sz w:val="17"/>
                <w:szCs w:val="17"/>
                <w:color w:val="auto"/>
              </w:rPr>
            </w:pPr>
          </w:p>
        </w:tc>
        <w:tc>
          <w:tcPr>
            <w:tcW w:w="1420" w:type="dxa"/>
            <w:vAlign w:val="bottom"/>
            <w:tcBorders>
              <w:top w:val="single" w:sz="8" w:color="EEEEEE"/>
            </w:tcBorders>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13.9%</w:t>
            </w:r>
          </w:p>
        </w:tc>
        <w:tc>
          <w:tcPr>
            <w:tcW w:w="18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2,334,895</w:t>
            </w: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93,617</w:t>
            </w:r>
          </w:p>
        </w:tc>
        <w:tc>
          <w:tcPr>
            <w:tcW w:w="1440" w:type="dxa"/>
            <w:vAlign w:val="bottom"/>
            <w:tcBorders>
              <w:top w:val="single" w:sz="8" w:color="EEEEEE"/>
            </w:tcBorders>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FFFFFF"/>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gridSpan w:val="5"/>
            <w:shd w:val="clear" w:color="auto" w:fill="EEEEEE"/>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Interest Bearing Liabilities</w:t>
            </w:r>
          </w:p>
        </w:tc>
        <w:tc>
          <w:tcPr>
            <w:tcW w:w="140" w:type="dxa"/>
            <w:vAlign w:val="bottom"/>
            <w:shd w:val="clear" w:color="auto" w:fill="EEEEEE"/>
          </w:tcPr>
          <w:p>
            <w:pPr>
              <w:spacing w:after="0"/>
              <w:rPr>
                <w:sz w:val="14"/>
                <w:szCs w:val="14"/>
                <w:color w:val="auto"/>
              </w:rPr>
            </w:pPr>
          </w:p>
        </w:tc>
        <w:tc>
          <w:tcPr>
            <w:tcW w:w="900" w:type="dxa"/>
            <w:vAlign w:val="bottom"/>
            <w:shd w:val="clear" w:color="auto" w:fill="EEEEEE"/>
          </w:tcPr>
          <w:p>
            <w:pPr>
              <w:jc w:val="right"/>
              <w:spacing w:after="0" w:line="162" w:lineRule="exact"/>
              <w:rPr>
                <w:sz w:val="20"/>
                <w:szCs w:val="20"/>
                <w:color w:val="auto"/>
              </w:rPr>
            </w:pPr>
            <w:r>
              <w:rPr>
                <w:rFonts w:ascii="Times New Roman" w:cs="Times New Roman" w:eastAsia="Times New Roman" w:hAnsi="Times New Roman"/>
                <w:sz w:val="16"/>
                <w:szCs w:val="16"/>
                <w:color w:val="FFFFFF"/>
              </w:rPr>
              <w:t>$</w:t>
            </w:r>
          </w:p>
        </w:tc>
        <w:tc>
          <w:tcPr>
            <w:tcW w:w="22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84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04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9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84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02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62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Warehouse lines of credit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2,407</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9.8%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Residual interest financing</w:t>
            </w:r>
          </w:p>
        </w:tc>
        <w:tc>
          <w:tcPr>
            <w:tcW w:w="140" w:type="dxa"/>
            <w:vAlign w:val="bottom"/>
            <w:shd w:val="clear" w:color="auto" w:fill="EEEEEE"/>
          </w:tcPr>
          <w:p>
            <w:pPr>
              <w:spacing w:after="0"/>
              <w:rPr>
                <w:sz w:val="17"/>
                <w:szCs w:val="17"/>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956</w:t>
            </w:r>
          </w:p>
        </w:tc>
        <w:tc>
          <w:tcPr>
            <w:tcW w:w="142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9.6%</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4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Securitization trust debt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2,165,927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24,208</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2,128,142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22,678</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Subordinated renewable notes</w:t>
            </w: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15,133</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369</w:t>
            </w:r>
          </w:p>
        </w:tc>
        <w:tc>
          <w:tcPr>
            <w:tcW w:w="142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9.8%</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4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2,319,580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27,940</w:t>
            </w:r>
          </w:p>
        </w:tc>
        <w:tc>
          <w:tcPr>
            <w:tcW w:w="160" w:type="dxa"/>
            <w:vAlign w:val="bottom"/>
            <w:vMerge w:val="continue"/>
          </w:tcPr>
          <w:p>
            <w:pPr>
              <w:spacing w:after="0"/>
              <w:rPr>
                <w:sz w:val="22"/>
                <w:szCs w:val="22"/>
                <w:color w:val="auto"/>
              </w:rPr>
            </w:pPr>
          </w:p>
        </w:tc>
        <w:tc>
          <w:tcPr>
            <w:tcW w:w="1420" w:type="dxa"/>
            <w:vAlign w:val="bottom"/>
            <w:gridSpan w:val="3"/>
            <w:vMerge w:val="continue"/>
          </w:tcPr>
          <w:p>
            <w:pPr>
              <w:spacing w:after="0"/>
              <w:rPr>
                <w:sz w:val="22"/>
                <w:szCs w:val="22"/>
                <w:color w:val="auto"/>
              </w:rPr>
            </w:pP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2,243,603</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25,808</w:t>
            </w:r>
          </w:p>
        </w:tc>
        <w:tc>
          <w:tcPr>
            <w:tcW w:w="14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162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96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auto"/>
            </w:tcBorders>
            <w:shd w:val="clear" w:color="auto" w:fill="EEEEEE"/>
          </w:tcPr>
          <w:p>
            <w:pPr>
              <w:spacing w:after="0"/>
              <w:rPr>
                <w:sz w:val="16"/>
                <w:szCs w:val="16"/>
                <w:color w:val="auto"/>
              </w:rPr>
            </w:pPr>
          </w:p>
        </w:tc>
        <w:tc>
          <w:tcPr>
            <w:tcW w:w="900" w:type="dxa"/>
            <w:vAlign w:val="bottom"/>
            <w:tcBorders>
              <w:top w:val="single" w:sz="8" w:color="auto"/>
            </w:tcBorders>
            <w:shd w:val="clear" w:color="auto" w:fill="EEEEEE"/>
          </w:tcPr>
          <w:p>
            <w:pPr>
              <w:spacing w:after="0"/>
              <w:rPr>
                <w:sz w:val="16"/>
                <w:szCs w:val="16"/>
                <w:color w:val="auto"/>
              </w:rPr>
            </w:pPr>
          </w:p>
        </w:tc>
        <w:tc>
          <w:tcPr>
            <w:tcW w:w="220" w:type="dxa"/>
            <w:vAlign w:val="bottom"/>
            <w:tcBorders>
              <w:top w:val="single" w:sz="8" w:color="EEEEEE"/>
            </w:tcBorders>
            <w:shd w:val="clear" w:color="auto" w:fill="EEEEEE"/>
          </w:tcPr>
          <w:p>
            <w:pPr>
              <w:spacing w:after="0"/>
              <w:rPr>
                <w:sz w:val="16"/>
                <w:szCs w:val="16"/>
                <w:color w:val="auto"/>
              </w:rPr>
            </w:pPr>
          </w:p>
        </w:tc>
        <w:tc>
          <w:tcPr>
            <w:tcW w:w="200" w:type="dxa"/>
            <w:vAlign w:val="bottom"/>
            <w:tcBorders>
              <w:top w:val="single" w:sz="8" w:color="EEEEEE"/>
              <w:bottom w:val="single" w:sz="8" w:color="auto"/>
            </w:tcBorders>
            <w:shd w:val="clear" w:color="auto" w:fill="EEEEEE"/>
          </w:tcPr>
          <w:p>
            <w:pPr>
              <w:spacing w:after="0"/>
              <w:rPr>
                <w:sz w:val="16"/>
                <w:szCs w:val="16"/>
                <w:color w:val="auto"/>
              </w:rPr>
            </w:pPr>
          </w:p>
        </w:tc>
        <w:tc>
          <w:tcPr>
            <w:tcW w:w="840" w:type="dxa"/>
            <w:vAlign w:val="bottom"/>
            <w:tcBorders>
              <w:top w:val="single" w:sz="8" w:color="EEEEEE"/>
              <w:bottom w:val="single" w:sz="8" w:color="auto"/>
            </w:tcBorders>
            <w:shd w:val="clear" w:color="auto" w:fill="EEEEEE"/>
          </w:tcPr>
          <w:p>
            <w:pPr>
              <w:spacing w:after="0"/>
              <w:rPr>
                <w:sz w:val="16"/>
                <w:szCs w:val="16"/>
                <w:color w:val="auto"/>
              </w:rPr>
            </w:pPr>
          </w:p>
        </w:tc>
        <w:tc>
          <w:tcPr>
            <w:tcW w:w="160" w:type="dxa"/>
            <w:vAlign w:val="bottom"/>
            <w:tcBorders>
              <w:top w:val="single" w:sz="8" w:color="EEEEEE"/>
            </w:tcBorders>
            <w:shd w:val="clear" w:color="auto" w:fill="EEEEEE"/>
          </w:tcPr>
          <w:p>
            <w:pPr>
              <w:spacing w:after="0"/>
              <w:rPr>
                <w:sz w:val="16"/>
                <w:szCs w:val="16"/>
                <w:color w:val="auto"/>
              </w:rPr>
            </w:pPr>
          </w:p>
        </w:tc>
        <w:tc>
          <w:tcPr>
            <w:tcW w:w="200" w:type="dxa"/>
            <w:vAlign w:val="bottom"/>
            <w:tcBorders>
              <w:top w:val="single" w:sz="8" w:color="EEEEEE"/>
            </w:tcBorders>
            <w:shd w:val="clear" w:color="auto" w:fill="EEEEEE"/>
          </w:tcPr>
          <w:p>
            <w:pPr>
              <w:spacing w:after="0"/>
              <w:rPr>
                <w:sz w:val="16"/>
                <w:szCs w:val="16"/>
                <w:color w:val="auto"/>
              </w:rPr>
            </w:pPr>
          </w:p>
        </w:tc>
        <w:tc>
          <w:tcPr>
            <w:tcW w:w="104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auto"/>
            </w:tcBorders>
            <w:shd w:val="clear" w:color="auto" w:fill="EEEEEE"/>
          </w:tcPr>
          <w:p>
            <w:pPr>
              <w:spacing w:after="0"/>
              <w:rPr>
                <w:sz w:val="16"/>
                <w:szCs w:val="16"/>
                <w:color w:val="auto"/>
              </w:rPr>
            </w:pPr>
          </w:p>
        </w:tc>
        <w:tc>
          <w:tcPr>
            <w:tcW w:w="900" w:type="dxa"/>
            <w:vAlign w:val="bottom"/>
            <w:tcBorders>
              <w:top w:val="single" w:sz="8" w:color="auto"/>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bottom w:val="single" w:sz="8" w:color="auto"/>
            </w:tcBorders>
            <w:shd w:val="clear" w:color="auto" w:fill="EEEEEE"/>
          </w:tcPr>
          <w:p>
            <w:pPr>
              <w:spacing w:after="0"/>
              <w:rPr>
                <w:sz w:val="16"/>
                <w:szCs w:val="16"/>
                <w:color w:val="auto"/>
              </w:rPr>
            </w:pPr>
          </w:p>
        </w:tc>
        <w:tc>
          <w:tcPr>
            <w:tcW w:w="840" w:type="dxa"/>
            <w:vAlign w:val="bottom"/>
            <w:tcBorders>
              <w:top w:val="single" w:sz="8" w:color="EEEEEE"/>
              <w:bottom w:val="single" w:sz="8" w:color="auto"/>
            </w:tcBorders>
            <w:shd w:val="clear" w:color="auto" w:fill="EEEEEE"/>
          </w:tcPr>
          <w:p>
            <w:pPr>
              <w:spacing w:after="0"/>
              <w:rPr>
                <w:sz w:val="16"/>
                <w:szCs w:val="16"/>
                <w:color w:val="auto"/>
              </w:rPr>
            </w:pPr>
          </w:p>
        </w:tc>
        <w:tc>
          <w:tcPr>
            <w:tcW w:w="1440" w:type="dxa"/>
            <w:vAlign w:val="bottom"/>
            <w:tcBorders>
              <w:top w:val="single" w:sz="8" w:color="EEEEEE"/>
            </w:tcBorders>
            <w:gridSpan w:val="3"/>
            <w:shd w:val="clear" w:color="auto" w:fill="EEEEEE"/>
          </w:tcPr>
          <w:p>
            <w:pPr>
              <w:jc w:val="right"/>
              <w:ind w:right="100"/>
              <w:spacing w:after="0" w:line="180" w:lineRule="exact"/>
              <w:rPr>
                <w:sz w:val="20"/>
                <w:szCs w:val="20"/>
                <w:color w:val="auto"/>
              </w:rPr>
            </w:pPr>
            <w:r>
              <w:rPr>
                <w:rFonts w:ascii="Times New Roman" w:cs="Times New Roman" w:eastAsia="Times New Roman" w:hAnsi="Times New Roman"/>
                <w:sz w:val="16"/>
                <w:szCs w:val="16"/>
                <w:color w:val="FFFFFF"/>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540" w:type="dxa"/>
            <w:vAlign w:val="bottom"/>
            <w:tcBorders>
              <w:bottom w:val="single" w:sz="8" w:color="EEEEEE"/>
            </w:tcBorders>
            <w:gridSpan w:val="5"/>
          </w:tcPr>
          <w:p>
            <w:pPr>
              <w:spacing w:after="0"/>
              <w:rPr>
                <w:sz w:val="20"/>
                <w:szCs w:val="20"/>
                <w:color w:val="auto"/>
              </w:rPr>
            </w:pPr>
            <w:r>
              <w:rPr>
                <w:rFonts w:ascii="Times New Roman" w:cs="Times New Roman" w:eastAsia="Times New Roman" w:hAnsi="Times New Roman"/>
                <w:sz w:val="16"/>
                <w:szCs w:val="16"/>
                <w:color w:val="auto"/>
              </w:rPr>
              <w:t>Net interest income/spread</w:t>
            </w:r>
          </w:p>
        </w:tc>
        <w:tc>
          <w:tcPr>
            <w:tcW w:w="140" w:type="dxa"/>
            <w:vAlign w:val="bottom"/>
            <w:tcBorders>
              <w:bottom w:val="single" w:sz="8" w:color="EEEEEE"/>
            </w:tcBorders>
          </w:tcPr>
          <w:p>
            <w:pPr>
              <w:spacing w:after="0"/>
              <w:rPr>
                <w:sz w:val="21"/>
                <w:szCs w:val="21"/>
                <w:color w:val="auto"/>
              </w:rPr>
            </w:pPr>
          </w:p>
        </w:tc>
        <w:tc>
          <w:tcPr>
            <w:tcW w:w="9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FFFFFF"/>
              </w:rPr>
              <w:t>$</w:t>
            </w:r>
          </w:p>
        </w:tc>
        <w:tc>
          <w:tcPr>
            <w:tcW w:w="220" w:type="dxa"/>
            <w:vAlign w:val="bottom"/>
            <w:tcBorders>
              <w:bottom w:val="single" w:sz="8" w:color="EEEEEE"/>
            </w:tcBorders>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55,588</w:t>
            </w:r>
          </w:p>
        </w:tc>
        <w:tc>
          <w:tcPr>
            <w:tcW w:w="160" w:type="dxa"/>
            <w:vAlign w:val="bottom"/>
            <w:tcBorders>
              <w:bottom w:val="single" w:sz="8" w:color="EEEEEE"/>
            </w:tcBorders>
          </w:tcPr>
          <w:p>
            <w:pPr>
              <w:spacing w:after="0"/>
              <w:rPr>
                <w:sz w:val="21"/>
                <w:szCs w:val="21"/>
                <w:color w:val="auto"/>
              </w:rPr>
            </w:pPr>
          </w:p>
        </w:tc>
        <w:tc>
          <w:tcPr>
            <w:tcW w:w="200" w:type="dxa"/>
            <w:vAlign w:val="bottom"/>
            <w:tcBorders>
              <w:bottom w:val="single" w:sz="8" w:color="EEEEEE"/>
            </w:tcBorders>
          </w:tcPr>
          <w:p>
            <w:pPr>
              <w:spacing w:after="0"/>
              <w:rPr>
                <w:sz w:val="21"/>
                <w:szCs w:val="21"/>
                <w:color w:val="auto"/>
              </w:rPr>
            </w:pPr>
          </w:p>
        </w:tc>
        <w:tc>
          <w:tcPr>
            <w:tcW w:w="1040" w:type="dxa"/>
            <w:vAlign w:val="bottom"/>
            <w:tcBorders>
              <w:bottom w:val="single" w:sz="8" w:color="EEEEEE"/>
            </w:tcBorders>
          </w:tcPr>
          <w:p>
            <w:pPr>
              <w:spacing w:after="0"/>
              <w:rPr>
                <w:sz w:val="21"/>
                <w:szCs w:val="21"/>
                <w:color w:val="auto"/>
              </w:rPr>
            </w:pPr>
          </w:p>
        </w:tc>
        <w:tc>
          <w:tcPr>
            <w:tcW w:w="180" w:type="dxa"/>
            <w:vAlign w:val="bottom"/>
            <w:tcBorders>
              <w:bottom w:val="single" w:sz="8" w:color="EEEEEE"/>
            </w:tcBorders>
          </w:tcPr>
          <w:p>
            <w:pPr>
              <w:spacing w:after="0"/>
              <w:rPr>
                <w:sz w:val="21"/>
                <w:szCs w:val="21"/>
                <w:color w:val="auto"/>
              </w:rPr>
            </w:pPr>
          </w:p>
        </w:tc>
        <w:tc>
          <w:tcPr>
            <w:tcW w:w="180" w:type="dxa"/>
            <w:vAlign w:val="bottom"/>
            <w:tcBorders>
              <w:bottom w:val="single" w:sz="8" w:color="EEEEEE"/>
            </w:tcBorders>
          </w:tcPr>
          <w:p>
            <w:pPr>
              <w:spacing w:after="0"/>
              <w:rPr>
                <w:sz w:val="21"/>
                <w:szCs w:val="21"/>
                <w:color w:val="auto"/>
              </w:rPr>
            </w:pPr>
          </w:p>
        </w:tc>
        <w:tc>
          <w:tcPr>
            <w:tcW w:w="120" w:type="dxa"/>
            <w:vAlign w:val="bottom"/>
            <w:tcBorders>
              <w:bottom w:val="single" w:sz="8" w:color="EEEEEE"/>
            </w:tcBorders>
          </w:tcPr>
          <w:p>
            <w:pPr>
              <w:spacing w:after="0"/>
              <w:rPr>
                <w:sz w:val="21"/>
                <w:szCs w:val="21"/>
                <w:color w:val="auto"/>
              </w:rPr>
            </w:pPr>
          </w:p>
        </w:tc>
        <w:tc>
          <w:tcPr>
            <w:tcW w:w="900" w:type="dxa"/>
            <w:vAlign w:val="bottom"/>
            <w:tcBorders>
              <w:bottom w:val="single" w:sz="8" w:color="EEEEEE"/>
            </w:tcBorders>
          </w:tcPr>
          <w:p>
            <w:pPr>
              <w:spacing w:after="0"/>
              <w:rPr>
                <w:sz w:val="21"/>
                <w:szCs w:val="21"/>
                <w:color w:val="auto"/>
              </w:rPr>
            </w:pPr>
          </w:p>
        </w:tc>
        <w:tc>
          <w:tcPr>
            <w:tcW w:w="180" w:type="dxa"/>
            <w:vAlign w:val="bottom"/>
            <w:tcBorders>
              <w:bottom w:val="single" w:sz="8" w:color="EEEEEE"/>
            </w:tcBorders>
          </w:tcPr>
          <w:p>
            <w:pPr>
              <w:spacing w:after="0"/>
              <w:rPr>
                <w:sz w:val="21"/>
                <w:szCs w:val="21"/>
                <w:color w:val="auto"/>
              </w:rPr>
            </w:pPr>
          </w:p>
        </w:tc>
        <w:tc>
          <w:tcPr>
            <w:tcW w:w="140" w:type="dxa"/>
            <w:vAlign w:val="bottom"/>
            <w:tcBorders>
              <w:bottom w:val="single" w:sz="8" w:color="EEEEEE"/>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67,809</w:t>
            </w:r>
          </w:p>
        </w:tc>
        <w:tc>
          <w:tcPr>
            <w:tcW w:w="320" w:type="dxa"/>
            <w:vAlign w:val="bottom"/>
            <w:tcBorders>
              <w:bottom w:val="single" w:sz="8" w:color="EEEEEE"/>
            </w:tcBorders>
          </w:tcPr>
          <w:p>
            <w:pPr>
              <w:spacing w:after="0"/>
              <w:rPr>
                <w:sz w:val="21"/>
                <w:szCs w:val="21"/>
                <w:color w:val="auto"/>
              </w:rPr>
            </w:pPr>
          </w:p>
        </w:tc>
        <w:tc>
          <w:tcPr>
            <w:tcW w:w="1020" w:type="dxa"/>
            <w:vAlign w:val="bottom"/>
            <w:tcBorders>
              <w:bottom w:val="single" w:sz="8" w:color="EEEEEE"/>
            </w:tcBorders>
          </w:tcPr>
          <w:p>
            <w:pPr>
              <w:spacing w:after="0"/>
              <w:rPr>
                <w:sz w:val="21"/>
                <w:szCs w:val="21"/>
                <w:color w:val="auto"/>
              </w:rPr>
            </w:pPr>
          </w:p>
        </w:tc>
        <w:tc>
          <w:tcPr>
            <w:tcW w:w="100" w:type="dxa"/>
            <w:vAlign w:val="bottom"/>
            <w:tcBorders>
              <w:bottom w:val="single" w:sz="8" w:color="EEEEEE"/>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5"/>
            <w:shd w:val="clear" w:color="auto" w:fill="EEEEEE"/>
          </w:tcPr>
          <w:p>
            <w:pPr>
              <w:spacing w:after="0" w:line="180" w:lineRule="exact"/>
              <w:rPr>
                <w:sz w:val="20"/>
                <w:szCs w:val="20"/>
                <w:color w:val="auto"/>
              </w:rPr>
            </w:pPr>
            <w:r>
              <w:rPr>
                <w:rFonts w:ascii="Times New Roman" w:cs="Times New Roman" w:eastAsia="Times New Roman" w:hAnsi="Times New Roman"/>
                <w:sz w:val="16"/>
                <w:szCs w:val="16"/>
                <w:color w:val="auto"/>
              </w:rPr>
              <w:t>Net interest yield (3)</w:t>
            </w:r>
          </w:p>
        </w:tc>
        <w:tc>
          <w:tcPr>
            <w:tcW w:w="140" w:type="dxa"/>
            <w:vAlign w:val="bottom"/>
            <w:shd w:val="clear" w:color="auto" w:fill="EEEEEE"/>
          </w:tcPr>
          <w:p>
            <w:pPr>
              <w:spacing w:after="0"/>
              <w:rPr>
                <w:sz w:val="16"/>
                <w:szCs w:val="16"/>
                <w:color w:val="auto"/>
              </w:rPr>
            </w:pPr>
          </w:p>
        </w:tc>
        <w:tc>
          <w:tcPr>
            <w:tcW w:w="900" w:type="dxa"/>
            <w:vAlign w:val="bottom"/>
            <w:shd w:val="clear" w:color="auto" w:fill="EEEEEE"/>
          </w:tcPr>
          <w:p>
            <w:pPr>
              <w:jc w:val="right"/>
              <w:spacing w:after="0" w:line="180" w:lineRule="exact"/>
              <w:rPr>
                <w:sz w:val="20"/>
                <w:szCs w:val="20"/>
                <w:color w:val="auto"/>
              </w:rPr>
            </w:pPr>
            <w:r>
              <w:rPr>
                <w:rFonts w:ascii="Times New Roman" w:cs="Times New Roman" w:eastAsia="Times New Roman" w:hAnsi="Times New Roman"/>
                <w:sz w:val="16"/>
                <w:szCs w:val="16"/>
                <w:color w:val="FFFFFF"/>
              </w:rPr>
              <w:t>$</w:t>
            </w:r>
          </w:p>
        </w:tc>
        <w:tc>
          <w:tcPr>
            <w:tcW w:w="2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8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20" w:type="dxa"/>
            <w:vAlign w:val="bottom"/>
            <w:gridSpan w:val="3"/>
            <w:shd w:val="clear" w:color="auto" w:fill="EEEEEE"/>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18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40" w:type="dxa"/>
            <w:vAlign w:val="bottom"/>
            <w:shd w:val="clear" w:color="auto" w:fill="EEEEEE"/>
          </w:tcPr>
          <w:p>
            <w:pPr>
              <w:spacing w:after="0"/>
              <w:rPr>
                <w:sz w:val="16"/>
                <w:szCs w:val="16"/>
                <w:color w:val="auto"/>
              </w:rPr>
            </w:pPr>
          </w:p>
        </w:tc>
        <w:tc>
          <w:tcPr>
            <w:tcW w:w="1440" w:type="dxa"/>
            <w:vAlign w:val="bottom"/>
            <w:gridSpan w:val="3"/>
            <w:shd w:val="clear" w:color="auto" w:fill="EEEEEE"/>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Ratio of average interest earning assets to average</w:t>
            </w:r>
          </w:p>
        </w:tc>
        <w:tc>
          <w:tcPr>
            <w:tcW w:w="14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8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EEEEEE"/>
          </w:tcPr>
          <w:p>
            <w:pPr>
              <w:ind w:left="80"/>
              <w:spacing w:after="0"/>
              <w:rPr>
                <w:sz w:val="20"/>
                <w:szCs w:val="20"/>
                <w:color w:val="auto"/>
              </w:rPr>
            </w:pPr>
            <w:r>
              <w:rPr>
                <w:rFonts w:ascii="Times New Roman" w:cs="Times New Roman" w:eastAsia="Times New Roman" w:hAnsi="Times New Roman"/>
                <w:sz w:val="16"/>
                <w:szCs w:val="16"/>
                <w:color w:val="auto"/>
              </w:rPr>
              <w:t>interest bearing liabilities</w:t>
            </w: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FFFFFF"/>
              </w:rPr>
              <w:t>$</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540" w:type="dxa"/>
            <w:vAlign w:val="bottom"/>
            <w:gridSpan w:val="5"/>
          </w:tcPr>
          <w:p>
            <w:pPr>
              <w:spacing w:after="0" w:line="245" w:lineRule="exact"/>
              <w:rPr>
                <w:sz w:val="20"/>
                <w:szCs w:val="20"/>
                <w:color w:val="auto"/>
              </w:rPr>
            </w:pPr>
            <w:r>
              <w:rPr>
                <w:rFonts w:ascii="Times New Roman" w:cs="Times New Roman" w:eastAsia="Times New Roman" w:hAnsi="Times New Roman"/>
                <w:sz w:val="22"/>
                <w:szCs w:val="22"/>
                <w:color w:val="auto"/>
              </w:rPr>
              <w:t>_________________________</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deferred fees and direct costs.</w:t>
      </w:r>
    </w:p>
    <w:p>
      <w:pPr>
        <w:spacing w:after="0" w:line="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20" w:firstLine="527"/>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Interest Earning Assets </w:t>
      </w:r>
      <w:r>
        <w:rPr>
          <w:rFonts w:ascii="Times New Roman" w:cs="Times New Roman" w:eastAsia="Times New Roman" w:hAnsi="Times New Roman"/>
          <w:sz w:val="18"/>
          <w:szCs w:val="18"/>
          <w:color w:val="auto"/>
        </w:rPr>
        <w:t>Finance receivables gross Finance receivables at fair value</w:t>
      </w:r>
    </w:p>
    <w:p>
      <w:pPr>
        <w:spacing w:after="0" w:line="198" w:lineRule="exact"/>
        <w:rPr>
          <w:sz w:val="20"/>
          <w:szCs w:val="20"/>
          <w:color w:val="auto"/>
        </w:rPr>
      </w:pPr>
    </w:p>
    <w:p>
      <w:pPr>
        <w:ind w:firstLine="391"/>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Interest Bearing Liabilities </w:t>
      </w:r>
      <w:r>
        <w:rPr>
          <w:rFonts w:ascii="Times New Roman" w:cs="Times New Roman" w:eastAsia="Times New Roman" w:hAnsi="Times New Roman"/>
          <w:sz w:val="18"/>
          <w:szCs w:val="18"/>
          <w:color w:val="auto"/>
        </w:rPr>
        <w:t>Warehouse lines of credit Residual interest financing Securitization trust debt Subordinated renewable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income/spread</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p>
      <w:pPr>
        <w:spacing w:after="0" w:line="31"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Compared to September 30,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60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16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0" w:type="dxa"/>
            <w:vAlign w:val="bottom"/>
          </w:tcPr>
          <w:p>
            <w:pPr>
              <w:spacing w:after="0"/>
              <w:rPr>
                <w:sz w:val="1"/>
                <w:szCs w:val="1"/>
                <w:color w:val="auto"/>
              </w:rPr>
            </w:pPr>
          </w:p>
        </w:tc>
      </w:tr>
      <w:tr>
        <w:trPr>
          <w:trHeight w:val="232"/>
        </w:trPr>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FFFFFF"/>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18,769</w:t>
            </w:r>
          </w:p>
        </w:tc>
        <w:tc>
          <w:tcPr>
            <w:tcW w:w="1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191"/>
        </w:trPr>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(10,089)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(13,415)</w:t>
            </w: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3,326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FFFFFF"/>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w:t>
            </w: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30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30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-1457325</wp:posOffset>
            </wp:positionV>
            <wp:extent cx="50685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-1174115</wp:posOffset>
            </wp:positionV>
            <wp:extent cx="506857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68570" cy="14605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-891540</wp:posOffset>
            </wp:positionV>
            <wp:extent cx="506857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-616585</wp:posOffset>
            </wp:positionV>
            <wp:extent cx="506857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68570" cy="14605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-325120</wp:posOffset>
            </wp:positionV>
            <wp:extent cx="506857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620"/>
            <w:col w:w="8340"/>
          </w:cols>
          <w:pgMar w:left="240" w:top="796"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31" w:name="page32"/>
    <w:bookmarkEnd w:id="31"/>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reduction in the annualized yield on our finance receivables for the three months ended September 30, 2019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$1,304.0 million for the three months ended September 30, 2019 compared to $547.5 million in the prior year period.</w:t>
      </w:r>
    </w:p>
    <w:p>
      <w:pPr>
        <w:spacing w:after="0" w:line="180"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In the three-month period ended September 30, 2019, the net present value of the forecasted cash flows for the receivables acquired in the first quarter of 2018 exceeded the carrying value by $604,000, which we have recorded as a mark to market value of that pool of receivables.</w:t>
      </w:r>
    </w:p>
    <w:p>
      <w:pPr>
        <w:spacing w:after="0" w:line="162" w:lineRule="exact"/>
        <w:rPr>
          <w:sz w:val="20"/>
          <w:szCs w:val="20"/>
          <w:color w:val="auto"/>
        </w:rPr>
      </w:pPr>
    </w:p>
    <w:p>
      <w:pPr>
        <w:jc w:val="both"/>
        <w:ind w:firstLine="270"/>
        <w:spacing w:after="0" w:line="253" w:lineRule="auto"/>
        <w:rPr>
          <w:sz w:val="20"/>
          <w:szCs w:val="20"/>
          <w:color w:val="auto"/>
        </w:rPr>
      </w:pPr>
      <w:r>
        <w:rPr>
          <w:rFonts w:ascii="Times New Roman" w:cs="Times New Roman" w:eastAsia="Times New Roman" w:hAnsi="Times New Roman"/>
          <w:sz w:val="18"/>
          <w:szCs w:val="18"/>
          <w:color w:val="auto"/>
        </w:rPr>
        <w:t>Provision for credit losses was $19.9 million for the three months ended September 30, 2019, a decrease of $12.1 million, or 37.8% compared to the prior year and represented 24.0%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The allowance applies only to our finance receivables originated through December 2017, which we refer to as our legacy portfolio. Since no receivables have been added to the legacy portfolio since December 2017, it has seasoned to the point where its weighted age is 39 months at September 30, 2019. The age of the legacy portfolio, its continuously declining balance and the significant variance of the relative credit performance of the vintage pools that make up the legacy portfolio have contributed to lower provisions for credit losses and lower levels of the allowance for finance credit losses.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93"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$30,000 to $4.4 million during the three months ended September 30, 2019 and represented 5.3% of total operating expenses. Although our sales staff was slightly lower as of September 30, 2019 compared September 30, 2018, we have gradually shifted to more field sales representatives as compared to in-house sales representatives. Field sales representatives are somewhat more costly than in-house sales representatives, but we feel will ultimately be more effective. The increase in sales expense can also be attributed to the increase in the volume of contact purchases. We purchased 14,353 contracts representing $262.1 million in receivables during the three-month period ending September 30, 2019 compared to 12,853 contracts representing $225.3 million in receivables in the prior period.</w:t>
      </w:r>
    </w:p>
    <w:p>
      <w:pPr>
        <w:spacing w:after="0" w:line="185"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Occupancy expenses decreased by $175,000 or 9.0%, to $1.8 million compared to $1.9 million in the previous year and represented 2.1% of total operating expenses.</w:t>
      </w:r>
    </w:p>
    <w:p>
      <w:pPr>
        <w:spacing w:after="0" w:line="16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by $20,000 or 7.8%, to $276,000 compared to $256,000 in the previous year and represented 0.3% of total operating expenses.</w:t>
      </w:r>
    </w:p>
    <w:p>
      <w:pPr>
        <w:spacing w:after="0" w:line="16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2019 we recorded income tax expense of $991,000, representing a 35.0% effective income tax rate. In the prior year period, we recorded $1.5 million in income tax expense, representing a 32.0% effective income tax 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nine months ended September 30, 2019 with the nine months ended September 30, 2018</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nine months ended September 30, 2019, our revenues were $260.1 million, a decrease of $38.5 million, or 12.9%,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$298.6 million. The primary reason for the decrease in revenues is a decrease in interest income. Interest income for the nine months ended September 30, 2019 decreased $37.7 million, or 12.9%, to $253.8 million from $291.5 million in the prior year. The primary reason for the decrease in interest income is the lower interest yield on the receivables measured at fair value. The interest yield on receivables measured at fair value is reduced to take account of expected losses and is therefore less than the yield on other finance receivables. The table below shows the outstanding and average balances of our portfolio held by consolidated subsidiaries for the nine months ended September 30, 2019 and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0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42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1,268,190</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170,126</w:t>
            </w:r>
          </w:p>
        </w:tc>
        <w:tc>
          <w:tcPr>
            <w:tcW w:w="170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1,990,289</w:t>
            </w:r>
          </w:p>
        </w:tc>
        <w:tc>
          <w:tcPr>
            <w:tcW w:w="200" w:type="dxa"/>
            <w:vAlign w:val="bottom"/>
            <w:shd w:val="clear" w:color="auto" w:fill="EEEEEE"/>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265,713</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Finance receivables measured at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1,131,888</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83,696</w:t>
            </w: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341,967</w:t>
            </w:r>
          </w:p>
        </w:tc>
        <w:tc>
          <w:tcPr>
            <w:tcW w:w="20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25,822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2,400,078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253,822</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2,332,256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291,535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2019, other income of $6.3 million decreased by $767,000, or 10.9% compared to the prior year. The nine-month period ended September 30, 2019 includes a decrease of $1.3 million in revenue associated with direct mail and other related products and services that we offer to our dealers. This decrease was partially offset by an increase of $670,000 in payments from third-party providers of convenience fees paid by our customers for web based and other electronic payments.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provision for credit losses, interest expense,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5"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7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33" w:name="page34"/>
    <w:bookmarkEnd w:id="33"/>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Total operating expenses were $251.8 million for the nine months ended September 30, 2019, compared to $284.6 million for the prior period, a decrease of $32.8 million, or 11.5%. The decrease is primarily due to a decrease in provision for credit losses, offsetting increases in interest expense and general and administrative expenses.</w:t>
      </w:r>
    </w:p>
    <w:p>
      <w:pPr>
        <w:spacing w:after="0" w:line="17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Employee costs decreased by $258,000 or 0.4%, to $59.0 million during the nine months ended September 30, 2019, representing 23.4% of total operating expenses, from $59.3 million for the prior year, or 20.8% of total operating expenses. The decrease in employee costs were primarily a result of a decrease of $1.3 million in stock compensation expense offset by other increases in employee costs related to higher headcounts in 2019. The table below summarizes our employees by category as well as contract purchases and units in our managed portfolio as of, and for the nine-month periods ended, September 30, 2019 and 2018:</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4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6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755.3</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650.6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42,534</w:t>
            </w:r>
          </w:p>
        </w:tc>
        <w:tc>
          <w:tcPr>
            <w:tcW w:w="140" w:type="dxa"/>
            <w:vAlign w:val="bottom"/>
          </w:tcPr>
          <w:p>
            <w:pPr>
              <w:spacing w:after="0"/>
              <w:rPr>
                <w:sz w:val="18"/>
                <w:szCs w:val="18"/>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6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2,412.6</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2,342.9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177,575</w:t>
            </w:r>
          </w:p>
        </w:tc>
        <w:tc>
          <w:tcPr>
            <w:tcW w:w="14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8"/>
                <w:szCs w:val="18"/>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5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0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$25.1 million, an increase of $2.4 million, or 10.5% compared to the previous year and represented 10.0% of total operating expenses.</w:t>
      </w:r>
    </w:p>
    <w:p>
      <w:pPr>
        <w:spacing w:after="0" w:line="17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Interest expense for the nine months ended September 30, 2019 increased by $7.9 million to $82.9 million, or 10.5% and represented 32.9% of total operating expenses, compared to $75.1 million in the previous year, when it was 26.4%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4" w:name="page35"/>
    <w:bookmarkEnd w:id="34"/>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Interest on securitization trust debt increased by $5.9 million, or 8.8%, for the nine months ended September 30, 2019 compared to the prior period. The average balance of securitization trust debt increased to $2,178.4 million for the nine months ended September 30, 2019 compared to $2,137.5 million for the nine months ended September 30, 2018. In addition, the blended interest rates on new term securitizations have generally increased since 2017. As a result, the cost of securitization debt during the nine-month period ended September 30, 2019 was 4.4%, compared to 4.2% in the prior year period. For any particular quarterly securitization transaction, the blended cost of funds is ultimately the result of many factors including the market interest rates for risk-free securities (against which our bonds are priced), and the margin over those benchmarks that investors are willing to accept, which in turn is influenced by investor demand for our bonds at the time of the securitization. These and other factors have resulted in a general trend toward higher securitization trust debt interest costs. The blended interest rates of our recent securitizations are summarized in the table below:</w:t>
      </w:r>
    </w:p>
    <w:p>
      <w:pPr>
        <w:spacing w:after="0" w:line="18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Term Securitizations</w:t>
      </w:r>
    </w:p>
    <w:tbl>
      <w:tblPr>
        <w:tblLayout w:type="fixed"/>
        <w:tblInd w:w="288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2"/>
          </w:tcPr>
          <w:p>
            <w:pPr>
              <w:jc w:val="center"/>
              <w:ind w:right="180"/>
              <w:spacing w:after="0" w:line="203" w:lineRule="exact"/>
              <w:rPr>
                <w:sz w:val="20"/>
                <w:szCs w:val="20"/>
                <w:color w:val="auto"/>
              </w:rPr>
            </w:pPr>
            <w:r>
              <w:rPr>
                <w:rFonts w:ascii="Times New Roman" w:cs="Times New Roman" w:eastAsia="Times New Roman" w:hAnsi="Times New Roman"/>
                <w:sz w:val="18"/>
                <w:szCs w:val="18"/>
                <w:b w:val="1"/>
                <w:bCs w:val="1"/>
                <w:color w:val="auto"/>
                <w:w w:val="99"/>
              </w:rPr>
              <w:t>Blended Cost of</w:t>
            </w:r>
          </w:p>
        </w:tc>
      </w:tr>
      <w:tr>
        <w:trPr>
          <w:trHeight w:val="238"/>
        </w:trPr>
        <w:tc>
          <w:tcPr>
            <w:tcW w:w="2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Funds</w:t>
            </w:r>
          </w:p>
        </w:tc>
      </w:tr>
      <w:tr>
        <w:trPr>
          <w:trHeight w:val="210"/>
        </w:trPr>
        <w:tc>
          <w:tcPr>
            <w:tcW w:w="2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940" w:type="dxa"/>
            <w:vAlign w:val="bottom"/>
            <w:gridSpan w:val="2"/>
            <w:shd w:val="clear" w:color="auto" w:fill="EEEEEE"/>
          </w:tcPr>
          <w:p>
            <w:pPr>
              <w:jc w:val="center"/>
              <w:ind w:right="340"/>
              <w:spacing w:after="0"/>
              <w:rPr>
                <w:sz w:val="20"/>
                <w:szCs w:val="20"/>
                <w:color w:val="auto"/>
              </w:rPr>
            </w:pPr>
            <w:r>
              <w:rPr>
                <w:rFonts w:ascii="Times New Roman" w:cs="Times New Roman" w:eastAsia="Times New Roman" w:hAnsi="Times New Roman"/>
                <w:sz w:val="18"/>
                <w:szCs w:val="18"/>
                <w:color w:val="auto"/>
                <w:w w:val="99"/>
              </w:rPr>
              <w:t>January 2017</w:t>
            </w:r>
          </w:p>
        </w:tc>
        <w:tc>
          <w:tcPr>
            <w:tcW w:w="2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3.91%</w:t>
            </w:r>
          </w:p>
        </w:tc>
        <w:tc>
          <w:tcPr>
            <w:tcW w:w="140" w:type="dxa"/>
            <w:vAlign w:val="bottom"/>
            <w:shd w:val="clear" w:color="auto" w:fill="EEEEEE"/>
          </w:tcPr>
          <w:p>
            <w:pPr>
              <w:spacing w:after="0"/>
              <w:rPr>
                <w:sz w:val="18"/>
                <w:szCs w:val="18"/>
                <w:color w:val="auto"/>
              </w:rPr>
            </w:pPr>
          </w:p>
        </w:tc>
      </w:tr>
      <w:tr>
        <w:trPr>
          <w:trHeight w:val="216"/>
        </w:trPr>
        <w:tc>
          <w:tcPr>
            <w:tcW w:w="2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April 2017</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3.45%</w:t>
            </w:r>
          </w:p>
        </w:tc>
        <w:tc>
          <w:tcPr>
            <w:tcW w:w="140" w:type="dxa"/>
            <w:vAlign w:val="bottom"/>
          </w:tcPr>
          <w:p>
            <w:pPr>
              <w:spacing w:after="0"/>
              <w:rPr>
                <w:sz w:val="18"/>
                <w:szCs w:val="18"/>
                <w:color w:val="auto"/>
              </w:rPr>
            </w:pPr>
          </w:p>
        </w:tc>
      </w:tr>
      <w:tr>
        <w:trPr>
          <w:trHeight w:val="216"/>
        </w:trPr>
        <w:tc>
          <w:tcPr>
            <w:tcW w:w="2940" w:type="dxa"/>
            <w:vAlign w:val="bottom"/>
            <w:gridSpan w:val="2"/>
            <w:shd w:val="clear" w:color="auto" w:fill="EEEEEE"/>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July 2017</w:t>
            </w:r>
          </w:p>
        </w:tc>
        <w:tc>
          <w:tcPr>
            <w:tcW w:w="2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3.52%</w:t>
            </w:r>
          </w:p>
        </w:tc>
        <w:tc>
          <w:tcPr>
            <w:tcW w:w="140" w:type="dxa"/>
            <w:vAlign w:val="bottom"/>
            <w:shd w:val="clear" w:color="auto" w:fill="EEEEEE"/>
          </w:tcPr>
          <w:p>
            <w:pPr>
              <w:spacing w:after="0"/>
              <w:rPr>
                <w:sz w:val="18"/>
                <w:szCs w:val="18"/>
                <w:color w:val="auto"/>
              </w:rPr>
            </w:pPr>
          </w:p>
        </w:tc>
      </w:tr>
      <w:tr>
        <w:trPr>
          <w:trHeight w:val="216"/>
        </w:trPr>
        <w:tc>
          <w:tcPr>
            <w:tcW w:w="2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October 2017</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3.39%</w:t>
            </w:r>
          </w:p>
        </w:tc>
        <w:tc>
          <w:tcPr>
            <w:tcW w:w="140" w:type="dxa"/>
            <w:vAlign w:val="bottom"/>
          </w:tcPr>
          <w:p>
            <w:pPr>
              <w:spacing w:after="0"/>
              <w:rPr>
                <w:sz w:val="18"/>
                <w:szCs w:val="18"/>
                <w:color w:val="auto"/>
              </w:rPr>
            </w:pPr>
          </w:p>
        </w:tc>
      </w:tr>
      <w:tr>
        <w:trPr>
          <w:trHeight w:val="216"/>
        </w:trPr>
        <w:tc>
          <w:tcPr>
            <w:tcW w:w="2940" w:type="dxa"/>
            <w:vAlign w:val="bottom"/>
            <w:gridSpan w:val="2"/>
            <w:shd w:val="clear" w:color="auto" w:fill="EEEEEE"/>
          </w:tcPr>
          <w:p>
            <w:pPr>
              <w:jc w:val="center"/>
              <w:ind w:right="340"/>
              <w:spacing w:after="0"/>
              <w:rPr>
                <w:sz w:val="20"/>
                <w:szCs w:val="20"/>
                <w:color w:val="auto"/>
              </w:rPr>
            </w:pPr>
            <w:r>
              <w:rPr>
                <w:rFonts w:ascii="Times New Roman" w:cs="Times New Roman" w:eastAsia="Times New Roman" w:hAnsi="Times New Roman"/>
                <w:sz w:val="18"/>
                <w:szCs w:val="18"/>
                <w:color w:val="auto"/>
                <w:w w:val="99"/>
              </w:rPr>
              <w:t>January 2018</w:t>
            </w:r>
          </w:p>
        </w:tc>
        <w:tc>
          <w:tcPr>
            <w:tcW w:w="2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3.46%</w:t>
            </w:r>
          </w:p>
        </w:tc>
        <w:tc>
          <w:tcPr>
            <w:tcW w:w="140" w:type="dxa"/>
            <w:vAlign w:val="bottom"/>
            <w:shd w:val="clear" w:color="auto" w:fill="EEEEEE"/>
          </w:tcPr>
          <w:p>
            <w:pPr>
              <w:spacing w:after="0"/>
              <w:rPr>
                <w:sz w:val="18"/>
                <w:szCs w:val="18"/>
                <w:color w:val="auto"/>
              </w:rPr>
            </w:pPr>
          </w:p>
        </w:tc>
      </w:tr>
      <w:tr>
        <w:trPr>
          <w:trHeight w:val="216"/>
        </w:trPr>
        <w:tc>
          <w:tcPr>
            <w:tcW w:w="2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April 2018</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3.98%</w:t>
            </w:r>
          </w:p>
        </w:tc>
        <w:tc>
          <w:tcPr>
            <w:tcW w:w="140" w:type="dxa"/>
            <w:vAlign w:val="bottom"/>
          </w:tcPr>
          <w:p>
            <w:pPr>
              <w:spacing w:after="0"/>
              <w:rPr>
                <w:sz w:val="18"/>
                <w:szCs w:val="18"/>
                <w:color w:val="auto"/>
              </w:rPr>
            </w:pPr>
          </w:p>
        </w:tc>
      </w:tr>
      <w:tr>
        <w:trPr>
          <w:trHeight w:val="216"/>
        </w:trPr>
        <w:tc>
          <w:tcPr>
            <w:tcW w:w="2940" w:type="dxa"/>
            <w:vAlign w:val="bottom"/>
            <w:gridSpan w:val="2"/>
            <w:shd w:val="clear" w:color="auto" w:fill="EEEEEE"/>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July 2018</w:t>
            </w:r>
          </w:p>
        </w:tc>
        <w:tc>
          <w:tcPr>
            <w:tcW w:w="2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4.18%</w:t>
            </w:r>
          </w:p>
        </w:tc>
        <w:tc>
          <w:tcPr>
            <w:tcW w:w="140" w:type="dxa"/>
            <w:vAlign w:val="bottom"/>
            <w:shd w:val="clear" w:color="auto" w:fill="EEEEEE"/>
          </w:tcPr>
          <w:p>
            <w:pPr>
              <w:spacing w:after="0"/>
              <w:rPr>
                <w:sz w:val="18"/>
                <w:szCs w:val="18"/>
                <w:color w:val="auto"/>
              </w:rPr>
            </w:pPr>
          </w:p>
        </w:tc>
      </w:tr>
      <w:tr>
        <w:trPr>
          <w:trHeight w:val="216"/>
        </w:trPr>
        <w:tc>
          <w:tcPr>
            <w:tcW w:w="2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October 2018</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40" w:type="dxa"/>
            <w:vAlign w:val="bottom"/>
          </w:tcPr>
          <w:p>
            <w:pPr>
              <w:spacing w:after="0"/>
              <w:rPr>
                <w:sz w:val="18"/>
                <w:szCs w:val="18"/>
                <w:color w:val="auto"/>
              </w:rPr>
            </w:pPr>
          </w:p>
        </w:tc>
      </w:tr>
      <w:tr>
        <w:trPr>
          <w:trHeight w:val="216"/>
        </w:trPr>
        <w:tc>
          <w:tcPr>
            <w:tcW w:w="2940" w:type="dxa"/>
            <w:vAlign w:val="bottom"/>
            <w:gridSpan w:val="2"/>
            <w:shd w:val="clear" w:color="auto" w:fill="EEEEEE"/>
          </w:tcPr>
          <w:p>
            <w:pPr>
              <w:jc w:val="center"/>
              <w:ind w:right="340"/>
              <w:spacing w:after="0"/>
              <w:rPr>
                <w:sz w:val="20"/>
                <w:szCs w:val="20"/>
                <w:color w:val="auto"/>
              </w:rPr>
            </w:pPr>
            <w:r>
              <w:rPr>
                <w:rFonts w:ascii="Times New Roman" w:cs="Times New Roman" w:eastAsia="Times New Roman" w:hAnsi="Times New Roman"/>
                <w:sz w:val="18"/>
                <w:szCs w:val="18"/>
                <w:color w:val="auto"/>
                <w:w w:val="99"/>
              </w:rPr>
              <w:t>January 2019</w:t>
            </w:r>
          </w:p>
        </w:tc>
        <w:tc>
          <w:tcPr>
            <w:tcW w:w="2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4.22%</w:t>
            </w:r>
          </w:p>
        </w:tc>
        <w:tc>
          <w:tcPr>
            <w:tcW w:w="140" w:type="dxa"/>
            <w:vAlign w:val="bottom"/>
            <w:shd w:val="clear" w:color="auto" w:fill="EEEEEE"/>
          </w:tcPr>
          <w:p>
            <w:pPr>
              <w:spacing w:after="0"/>
              <w:rPr>
                <w:sz w:val="18"/>
                <w:szCs w:val="18"/>
                <w:color w:val="auto"/>
              </w:rPr>
            </w:pPr>
          </w:p>
        </w:tc>
      </w:tr>
      <w:tr>
        <w:trPr>
          <w:trHeight w:val="216"/>
        </w:trPr>
        <w:tc>
          <w:tcPr>
            <w:tcW w:w="2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April 2019</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3.95%</w:t>
            </w:r>
          </w:p>
        </w:tc>
        <w:tc>
          <w:tcPr>
            <w:tcW w:w="140" w:type="dxa"/>
            <w:vAlign w:val="bottom"/>
          </w:tcPr>
          <w:p>
            <w:pPr>
              <w:spacing w:after="0"/>
              <w:rPr>
                <w:sz w:val="18"/>
                <w:szCs w:val="18"/>
                <w:color w:val="auto"/>
              </w:rPr>
            </w:pPr>
          </w:p>
        </w:tc>
      </w:tr>
      <w:tr>
        <w:trPr>
          <w:trHeight w:val="216"/>
        </w:trPr>
        <w:tc>
          <w:tcPr>
            <w:tcW w:w="2940" w:type="dxa"/>
            <w:vAlign w:val="bottom"/>
            <w:gridSpan w:val="2"/>
            <w:shd w:val="clear" w:color="auto" w:fill="EEEEEE"/>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July 2019</w:t>
            </w:r>
          </w:p>
        </w:tc>
        <w:tc>
          <w:tcPr>
            <w:tcW w:w="26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3.36%</w:t>
            </w:r>
          </w:p>
        </w:tc>
        <w:tc>
          <w:tcPr>
            <w:tcW w:w="14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decreased by $41,000, or 3.9%. The decrease is primarily due to a decrease in the average outstanding balance on our subordinated renewable notes from $16.4 million in the prior year period to $14.5 million in the current period. The average yield on these notes increased to 9.3% from 8.6% in the prior year.</w:t>
      </w:r>
    </w:p>
    <w:p>
      <w:pPr>
        <w:spacing w:after="0" w:line="17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On May 16, 2018, we completed a $40.0 million securitization of residual interests from previously issued securitizations. Interest expense on this residual interest financing was $2.9 million for the nine months ended September 30, 2019 compared to $1.4 million in the prior year period.</w:t>
      </w:r>
    </w:p>
    <w:p>
      <w:pPr>
        <w:spacing w:after="0" w:line="162"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Interest expense on warehouse lines of credit debt increased by $537,000, or 9.2%, for the nine months ended September 30, 2019 compared to the prior period. The average outstanding balance was $85.3 million compared to $64.6 million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 w:name="page36"/>
    <w:bookmarkEnd w:id="35"/>
    <w:p>
      <w:pPr>
        <w:ind w:left="28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nine-month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gridSpan w:val="6"/>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Yield/Rate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Balance (1)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3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Yield/Rate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1080"/>
              <w:spacing w:after="0" w:line="161" w:lineRule="exact"/>
              <w:rPr>
                <w:sz w:val="20"/>
                <w:szCs w:val="20"/>
                <w:color w:val="auto"/>
              </w:rPr>
            </w:pPr>
            <w:r>
              <w:rPr>
                <w:rFonts w:ascii="Times New Roman" w:cs="Times New Roman" w:eastAsia="Times New Roman" w:hAnsi="Times New Roman"/>
                <w:sz w:val="16"/>
                <w:szCs w:val="16"/>
                <w:b w:val="1"/>
                <w:bCs w:val="1"/>
                <w:color w:val="auto"/>
              </w:rPr>
              <w:t>Interest Earning Assets</w:t>
            </w: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Finance receivables gross (2)</w:t>
            </w:r>
          </w:p>
        </w:tc>
        <w:tc>
          <w:tcPr>
            <w:tcW w:w="1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1,233,413</w:t>
            </w:r>
          </w:p>
        </w:tc>
        <w:tc>
          <w:tcPr>
            <w:tcW w:w="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6"/>
                <w:szCs w:val="16"/>
                <w:color w:val="auto"/>
              </w:rPr>
              <w:t>170,125</w:t>
            </w:r>
          </w:p>
        </w:tc>
        <w:tc>
          <w:tcPr>
            <w:tcW w:w="12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18.4%</w:t>
            </w:r>
          </w:p>
        </w:tc>
        <w:tc>
          <w:tcPr>
            <w:tcW w:w="3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1,990,289</w:t>
            </w:r>
          </w:p>
        </w:tc>
        <w:tc>
          <w:tcPr>
            <w:tcW w:w="160" w:type="dxa"/>
            <w:vAlign w:val="bottom"/>
            <w:shd w:val="clear" w:color="auto" w:fill="EEEEEE"/>
          </w:tcPr>
          <w:p>
            <w:pPr>
              <w:spacing w:after="0"/>
              <w:rPr>
                <w:sz w:val="17"/>
                <w:szCs w:val="17"/>
                <w:color w:val="auto"/>
              </w:rPr>
            </w:pPr>
          </w:p>
        </w:tc>
        <w:tc>
          <w:tcPr>
            <w:tcW w:w="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265,713</w:t>
            </w:r>
          </w:p>
        </w:tc>
        <w:tc>
          <w:tcPr>
            <w:tcW w:w="14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Finance receivables at fair value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1,131,888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83,696</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25,822</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6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96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2,365,301</w:t>
            </w:r>
          </w:p>
        </w:tc>
        <w:tc>
          <w:tcPr>
            <w:tcW w:w="22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253,821</w:t>
            </w:r>
          </w:p>
        </w:tc>
        <w:tc>
          <w:tcPr>
            <w:tcW w:w="360" w:type="dxa"/>
            <w:vAlign w:val="bottom"/>
            <w:tcBorders>
              <w:top w:val="single" w:sz="8" w:color="EEEEEE"/>
            </w:tcBorders>
            <w:shd w:val="clear" w:color="auto" w:fill="EEEEEE"/>
          </w:tcPr>
          <w:p>
            <w:pPr>
              <w:spacing w:after="0"/>
              <w:rPr>
                <w:sz w:val="17"/>
                <w:szCs w:val="17"/>
                <w:color w:val="auto"/>
              </w:rPr>
            </w:pPr>
          </w:p>
        </w:tc>
        <w:tc>
          <w:tcPr>
            <w:tcW w:w="1220" w:type="dxa"/>
            <w:vAlign w:val="bottom"/>
            <w:tcBorders>
              <w:top w:val="single" w:sz="8" w:color="EEEEEE"/>
            </w:tcBorders>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14.3%</w:t>
            </w:r>
          </w:p>
        </w:tc>
        <w:tc>
          <w:tcPr>
            <w:tcW w:w="18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2,332,256</w:t>
            </w: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291,535</w:t>
            </w:r>
          </w:p>
        </w:tc>
        <w:tc>
          <w:tcPr>
            <w:tcW w:w="1440" w:type="dxa"/>
            <w:vAlign w:val="bottom"/>
            <w:tcBorders>
              <w:top w:val="single" w:sz="8" w:color="EEEEEE"/>
            </w:tcBorders>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FFFFFF"/>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gridSpan w:val="5"/>
            <w:shd w:val="clear" w:color="auto" w:fill="EEEEEE"/>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Interest Bearing Liabilities</w:t>
            </w:r>
          </w:p>
        </w:tc>
        <w:tc>
          <w:tcPr>
            <w:tcW w:w="140" w:type="dxa"/>
            <w:vAlign w:val="bottom"/>
            <w:shd w:val="clear" w:color="auto" w:fill="EEEEEE"/>
          </w:tcPr>
          <w:p>
            <w:pPr>
              <w:spacing w:after="0"/>
              <w:rPr>
                <w:sz w:val="14"/>
                <w:szCs w:val="14"/>
                <w:color w:val="auto"/>
              </w:rPr>
            </w:pPr>
          </w:p>
        </w:tc>
        <w:tc>
          <w:tcPr>
            <w:tcW w:w="900" w:type="dxa"/>
            <w:vAlign w:val="bottom"/>
            <w:shd w:val="clear" w:color="auto" w:fill="EEEEEE"/>
          </w:tcPr>
          <w:p>
            <w:pPr>
              <w:jc w:val="right"/>
              <w:spacing w:after="0" w:line="162" w:lineRule="exact"/>
              <w:rPr>
                <w:sz w:val="20"/>
                <w:szCs w:val="20"/>
                <w:color w:val="auto"/>
              </w:rPr>
            </w:pPr>
            <w:r>
              <w:rPr>
                <w:rFonts w:ascii="Times New Roman" w:cs="Times New Roman" w:eastAsia="Times New Roman" w:hAnsi="Times New Roman"/>
                <w:sz w:val="16"/>
                <w:szCs w:val="16"/>
                <w:color w:val="FFFFFF"/>
              </w:rPr>
              <w:t>$</w:t>
            </w:r>
          </w:p>
        </w:tc>
        <w:tc>
          <w:tcPr>
            <w:tcW w:w="22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840" w:type="dxa"/>
            <w:vAlign w:val="bottom"/>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104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90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84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02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62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Warehouse lines of credit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6,387</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Residual interest financing</w:t>
            </w:r>
          </w:p>
        </w:tc>
        <w:tc>
          <w:tcPr>
            <w:tcW w:w="140" w:type="dxa"/>
            <w:vAlign w:val="bottom"/>
            <w:shd w:val="clear" w:color="auto" w:fill="EEEEEE"/>
          </w:tcPr>
          <w:p>
            <w:pPr>
              <w:spacing w:after="0"/>
              <w:rPr>
                <w:sz w:val="17"/>
                <w:szCs w:val="17"/>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6"/>
                <w:szCs w:val="16"/>
                <w:color w:val="auto"/>
              </w:rPr>
              <w:t>2,867</w:t>
            </w:r>
          </w:p>
        </w:tc>
        <w:tc>
          <w:tcPr>
            <w:tcW w:w="12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9.6%</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20,220</w:t>
            </w: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4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Securitization trust debt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2,178,437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72,662</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2,137,549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66,762</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Subordinated renewable notes</w:t>
            </w: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14,513</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6"/>
                <w:szCs w:val="16"/>
                <w:color w:val="auto"/>
              </w:rPr>
              <w:t>1,017</w:t>
            </w:r>
          </w:p>
        </w:tc>
        <w:tc>
          <w:tcPr>
            <w:tcW w:w="12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9.3%</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16,357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4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2,318,239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82,933</w:t>
            </w:r>
          </w:p>
        </w:tc>
        <w:tc>
          <w:tcPr>
            <w:tcW w:w="360" w:type="dxa"/>
            <w:vAlign w:val="bottom"/>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2,238,681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75,057</w:t>
            </w:r>
          </w:p>
        </w:tc>
        <w:tc>
          <w:tcPr>
            <w:tcW w:w="14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162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96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auto"/>
            </w:tcBorders>
            <w:shd w:val="clear" w:color="auto" w:fill="EEEEEE"/>
          </w:tcPr>
          <w:p>
            <w:pPr>
              <w:spacing w:after="0"/>
              <w:rPr>
                <w:sz w:val="16"/>
                <w:szCs w:val="16"/>
                <w:color w:val="auto"/>
              </w:rPr>
            </w:pPr>
          </w:p>
        </w:tc>
        <w:tc>
          <w:tcPr>
            <w:tcW w:w="900" w:type="dxa"/>
            <w:vAlign w:val="bottom"/>
            <w:tcBorders>
              <w:top w:val="single" w:sz="8" w:color="auto"/>
            </w:tcBorders>
            <w:shd w:val="clear" w:color="auto" w:fill="EEEEEE"/>
          </w:tcPr>
          <w:p>
            <w:pPr>
              <w:spacing w:after="0"/>
              <w:rPr>
                <w:sz w:val="16"/>
                <w:szCs w:val="16"/>
                <w:color w:val="auto"/>
              </w:rPr>
            </w:pPr>
          </w:p>
        </w:tc>
        <w:tc>
          <w:tcPr>
            <w:tcW w:w="220" w:type="dxa"/>
            <w:vAlign w:val="bottom"/>
            <w:tcBorders>
              <w:top w:val="single" w:sz="8" w:color="EEEEEE"/>
            </w:tcBorders>
            <w:shd w:val="clear" w:color="auto" w:fill="EEEEEE"/>
          </w:tcPr>
          <w:p>
            <w:pPr>
              <w:spacing w:after="0"/>
              <w:rPr>
                <w:sz w:val="16"/>
                <w:szCs w:val="16"/>
                <w:color w:val="auto"/>
              </w:rPr>
            </w:pPr>
          </w:p>
        </w:tc>
        <w:tc>
          <w:tcPr>
            <w:tcW w:w="200" w:type="dxa"/>
            <w:vAlign w:val="bottom"/>
            <w:tcBorders>
              <w:top w:val="single" w:sz="8" w:color="EEEEEE"/>
            </w:tcBorders>
            <w:shd w:val="clear" w:color="auto" w:fill="EEEEEE"/>
          </w:tcPr>
          <w:p>
            <w:pPr>
              <w:spacing w:after="0"/>
              <w:rPr>
                <w:sz w:val="16"/>
                <w:szCs w:val="16"/>
                <w:color w:val="auto"/>
              </w:rPr>
            </w:pPr>
          </w:p>
        </w:tc>
        <w:tc>
          <w:tcPr>
            <w:tcW w:w="840" w:type="dxa"/>
            <w:vAlign w:val="bottom"/>
            <w:tcBorders>
              <w:top w:val="single" w:sz="8" w:color="EEEEEE"/>
            </w:tcBorders>
            <w:shd w:val="clear" w:color="auto" w:fill="EEEEEE"/>
          </w:tcPr>
          <w:p>
            <w:pPr>
              <w:spacing w:after="0"/>
              <w:rPr>
                <w:sz w:val="16"/>
                <w:szCs w:val="16"/>
                <w:color w:val="auto"/>
              </w:rPr>
            </w:pPr>
          </w:p>
        </w:tc>
        <w:tc>
          <w:tcPr>
            <w:tcW w:w="360" w:type="dxa"/>
            <w:vAlign w:val="bottom"/>
            <w:tcBorders>
              <w:top w:val="single" w:sz="8" w:color="EEEEEE"/>
            </w:tcBorders>
            <w:shd w:val="clear" w:color="auto" w:fill="EEEEEE"/>
          </w:tcPr>
          <w:p>
            <w:pPr>
              <w:spacing w:after="0"/>
              <w:rPr>
                <w:sz w:val="16"/>
                <w:szCs w:val="16"/>
                <w:color w:val="auto"/>
              </w:rPr>
            </w:pPr>
          </w:p>
        </w:tc>
        <w:tc>
          <w:tcPr>
            <w:tcW w:w="104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auto"/>
            </w:tcBorders>
            <w:shd w:val="clear" w:color="auto" w:fill="EEEEEE"/>
          </w:tcPr>
          <w:p>
            <w:pPr>
              <w:spacing w:after="0"/>
              <w:rPr>
                <w:sz w:val="16"/>
                <w:szCs w:val="16"/>
                <w:color w:val="auto"/>
              </w:rPr>
            </w:pPr>
          </w:p>
        </w:tc>
        <w:tc>
          <w:tcPr>
            <w:tcW w:w="900" w:type="dxa"/>
            <w:vAlign w:val="bottom"/>
            <w:tcBorders>
              <w:top w:val="single" w:sz="8" w:color="auto"/>
            </w:tcBorders>
            <w:shd w:val="clear" w:color="auto" w:fill="EEEEEE"/>
          </w:tcPr>
          <w:p>
            <w:pPr>
              <w:spacing w:after="0"/>
              <w:rPr>
                <w:sz w:val="16"/>
                <w:szCs w:val="16"/>
                <w:color w:val="auto"/>
              </w:rPr>
            </w:pPr>
          </w:p>
        </w:tc>
        <w:tc>
          <w:tcPr>
            <w:tcW w:w="160" w:type="dxa"/>
            <w:vAlign w:val="bottom"/>
            <w:tcBorders>
              <w:top w:val="single" w:sz="8" w:color="EEEEEE"/>
            </w:tcBorders>
            <w:shd w:val="clear" w:color="auto" w:fill="EEEEEE"/>
          </w:tcPr>
          <w:p>
            <w:pPr>
              <w:spacing w:after="0"/>
              <w:rPr>
                <w:sz w:val="16"/>
                <w:szCs w:val="16"/>
                <w:color w:val="auto"/>
              </w:rPr>
            </w:pPr>
          </w:p>
        </w:tc>
        <w:tc>
          <w:tcPr>
            <w:tcW w:w="16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840" w:type="dxa"/>
            <w:vAlign w:val="bottom"/>
            <w:tcBorders>
              <w:top w:val="single" w:sz="8" w:color="EEEEEE"/>
            </w:tcBorders>
            <w:shd w:val="clear" w:color="auto" w:fill="EEEEEE"/>
          </w:tcPr>
          <w:p>
            <w:pPr>
              <w:spacing w:after="0"/>
              <w:rPr>
                <w:sz w:val="16"/>
                <w:szCs w:val="16"/>
                <w:color w:val="auto"/>
              </w:rPr>
            </w:pPr>
          </w:p>
        </w:tc>
        <w:tc>
          <w:tcPr>
            <w:tcW w:w="1440" w:type="dxa"/>
            <w:vAlign w:val="bottom"/>
            <w:tcBorders>
              <w:top w:val="single" w:sz="8" w:color="EEEEEE"/>
            </w:tcBorders>
            <w:gridSpan w:val="3"/>
            <w:shd w:val="clear" w:color="auto" w:fill="EEEEEE"/>
          </w:tcPr>
          <w:p>
            <w:pPr>
              <w:jc w:val="right"/>
              <w:ind w:right="100"/>
              <w:spacing w:after="0" w:line="180" w:lineRule="exact"/>
              <w:rPr>
                <w:sz w:val="20"/>
                <w:szCs w:val="20"/>
                <w:color w:val="auto"/>
              </w:rPr>
            </w:pPr>
            <w:r>
              <w:rPr>
                <w:rFonts w:ascii="Times New Roman" w:cs="Times New Roman" w:eastAsia="Times New Roman" w:hAnsi="Times New Roman"/>
                <w:sz w:val="16"/>
                <w:szCs w:val="16"/>
                <w:color w:val="FFFFFF"/>
              </w:rPr>
              <w:t>$</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interest income/spread</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FFFFFF"/>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170,888</w:t>
            </w: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216,478</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tcBorders>
              <w:top w:val="single" w:sz="8" w:color="EEEEEE"/>
            </w:tcBorders>
            <w:gridSpan w:val="5"/>
            <w:shd w:val="clear" w:color="auto" w:fill="EEEEEE"/>
          </w:tcPr>
          <w:p>
            <w:pPr>
              <w:spacing w:after="0" w:line="180" w:lineRule="exact"/>
              <w:rPr>
                <w:sz w:val="20"/>
                <w:szCs w:val="20"/>
                <w:color w:val="auto"/>
              </w:rPr>
            </w:pPr>
            <w:r>
              <w:rPr>
                <w:rFonts w:ascii="Times New Roman" w:cs="Times New Roman" w:eastAsia="Times New Roman" w:hAnsi="Times New Roman"/>
                <w:sz w:val="16"/>
                <w:szCs w:val="16"/>
                <w:color w:val="auto"/>
              </w:rPr>
              <w:t>Net interest yield (3)</w:t>
            </w:r>
          </w:p>
        </w:tc>
        <w:tc>
          <w:tcPr>
            <w:tcW w:w="140" w:type="dxa"/>
            <w:vAlign w:val="bottom"/>
            <w:tcBorders>
              <w:top w:val="single" w:sz="8" w:color="EEEEEE"/>
            </w:tcBorders>
            <w:shd w:val="clear" w:color="auto" w:fill="EEEEEE"/>
          </w:tcPr>
          <w:p>
            <w:pPr>
              <w:spacing w:after="0"/>
              <w:rPr>
                <w:sz w:val="16"/>
                <w:szCs w:val="16"/>
                <w:color w:val="auto"/>
              </w:rPr>
            </w:pPr>
          </w:p>
        </w:tc>
        <w:tc>
          <w:tcPr>
            <w:tcW w:w="900" w:type="dxa"/>
            <w:vAlign w:val="bottom"/>
            <w:tcBorders>
              <w:top w:val="single" w:sz="8" w:color="EEEEEE"/>
            </w:tcBorders>
            <w:shd w:val="clear" w:color="auto" w:fill="EEEEEE"/>
          </w:tcPr>
          <w:p>
            <w:pPr>
              <w:jc w:val="right"/>
              <w:spacing w:after="0" w:line="180" w:lineRule="exact"/>
              <w:rPr>
                <w:sz w:val="20"/>
                <w:szCs w:val="20"/>
                <w:color w:val="auto"/>
              </w:rPr>
            </w:pPr>
            <w:r>
              <w:rPr>
                <w:rFonts w:ascii="Times New Roman" w:cs="Times New Roman" w:eastAsia="Times New Roman" w:hAnsi="Times New Roman"/>
                <w:sz w:val="16"/>
                <w:szCs w:val="16"/>
                <w:color w:val="FFFFFF"/>
              </w:rPr>
              <w:t>$</w:t>
            </w:r>
          </w:p>
        </w:tc>
        <w:tc>
          <w:tcPr>
            <w:tcW w:w="220" w:type="dxa"/>
            <w:vAlign w:val="bottom"/>
            <w:tcBorders>
              <w:top w:val="single" w:sz="8" w:color="EEEEEE"/>
            </w:tcBorders>
            <w:shd w:val="clear" w:color="auto" w:fill="EEEEEE"/>
          </w:tcPr>
          <w:p>
            <w:pPr>
              <w:spacing w:after="0"/>
              <w:rPr>
                <w:sz w:val="16"/>
                <w:szCs w:val="16"/>
                <w:color w:val="auto"/>
              </w:rPr>
            </w:pPr>
          </w:p>
        </w:tc>
        <w:tc>
          <w:tcPr>
            <w:tcW w:w="200" w:type="dxa"/>
            <w:vAlign w:val="bottom"/>
            <w:tcBorders>
              <w:top w:val="single" w:sz="8" w:color="auto"/>
            </w:tcBorders>
            <w:shd w:val="clear" w:color="auto" w:fill="EEEEEE"/>
          </w:tcPr>
          <w:p>
            <w:pPr>
              <w:spacing w:after="0"/>
              <w:rPr>
                <w:sz w:val="16"/>
                <w:szCs w:val="16"/>
                <w:color w:val="auto"/>
              </w:rPr>
            </w:pPr>
          </w:p>
        </w:tc>
        <w:tc>
          <w:tcPr>
            <w:tcW w:w="840" w:type="dxa"/>
            <w:vAlign w:val="bottom"/>
            <w:tcBorders>
              <w:top w:val="single" w:sz="8" w:color="auto"/>
            </w:tcBorders>
            <w:shd w:val="clear" w:color="auto" w:fill="EEEEEE"/>
          </w:tcPr>
          <w:p>
            <w:pPr>
              <w:spacing w:after="0"/>
              <w:rPr>
                <w:sz w:val="16"/>
                <w:szCs w:val="16"/>
                <w:color w:val="auto"/>
              </w:rPr>
            </w:pPr>
          </w:p>
        </w:tc>
        <w:tc>
          <w:tcPr>
            <w:tcW w:w="360" w:type="dxa"/>
            <w:vAlign w:val="bottom"/>
            <w:tcBorders>
              <w:top w:val="single" w:sz="8" w:color="EEEEEE"/>
            </w:tcBorders>
            <w:shd w:val="clear" w:color="auto" w:fill="EEEEEE"/>
          </w:tcPr>
          <w:p>
            <w:pPr>
              <w:spacing w:after="0"/>
              <w:rPr>
                <w:sz w:val="16"/>
                <w:szCs w:val="16"/>
                <w:color w:val="auto"/>
              </w:rPr>
            </w:pPr>
          </w:p>
        </w:tc>
        <w:tc>
          <w:tcPr>
            <w:tcW w:w="1220" w:type="dxa"/>
            <w:vAlign w:val="bottom"/>
            <w:tcBorders>
              <w:top w:val="single" w:sz="8" w:color="EEEEEE"/>
            </w:tcBorders>
            <w:gridSpan w:val="2"/>
            <w:shd w:val="clear" w:color="auto" w:fill="EEEEEE"/>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18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900" w:type="dxa"/>
            <w:vAlign w:val="bottom"/>
            <w:tcBorders>
              <w:top w:val="single" w:sz="8" w:color="EEEEEE"/>
            </w:tcBorders>
            <w:shd w:val="clear" w:color="auto" w:fill="EEEEEE"/>
          </w:tcPr>
          <w:p>
            <w:pPr>
              <w:spacing w:after="0"/>
              <w:rPr>
                <w:sz w:val="16"/>
                <w:szCs w:val="16"/>
                <w:color w:val="auto"/>
              </w:rPr>
            </w:pPr>
          </w:p>
        </w:tc>
        <w:tc>
          <w:tcPr>
            <w:tcW w:w="160" w:type="dxa"/>
            <w:vAlign w:val="bottom"/>
            <w:tcBorders>
              <w:top w:val="single" w:sz="8" w:color="EEEEEE"/>
            </w:tcBorders>
            <w:shd w:val="clear" w:color="auto" w:fill="EEEEEE"/>
          </w:tcPr>
          <w:p>
            <w:pPr>
              <w:spacing w:after="0"/>
              <w:rPr>
                <w:sz w:val="16"/>
                <w:szCs w:val="16"/>
                <w:color w:val="auto"/>
              </w:rPr>
            </w:pPr>
          </w:p>
        </w:tc>
        <w:tc>
          <w:tcPr>
            <w:tcW w:w="16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840" w:type="dxa"/>
            <w:vAlign w:val="bottom"/>
            <w:tcBorders>
              <w:top w:val="single" w:sz="8" w:color="auto"/>
            </w:tcBorders>
            <w:shd w:val="clear" w:color="auto" w:fill="EEEEEE"/>
          </w:tcPr>
          <w:p>
            <w:pPr>
              <w:spacing w:after="0"/>
              <w:rPr>
                <w:sz w:val="16"/>
                <w:szCs w:val="16"/>
                <w:color w:val="auto"/>
              </w:rPr>
            </w:pPr>
          </w:p>
        </w:tc>
        <w:tc>
          <w:tcPr>
            <w:tcW w:w="1440" w:type="dxa"/>
            <w:vAlign w:val="bottom"/>
            <w:tcBorders>
              <w:top w:val="single" w:sz="8" w:color="EEEEEE"/>
            </w:tcBorders>
            <w:gridSpan w:val="3"/>
            <w:shd w:val="clear" w:color="auto" w:fill="EEEEEE"/>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Ratio of average interest earning assets to average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interest bearing liabilities</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FFFFFF"/>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72"/>
        </w:trPr>
        <w:tc>
          <w:tcPr>
            <w:tcW w:w="35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_________________________</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800" w:hanging="441"/>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7"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deferred fees and direct costs.</w:t>
      </w:r>
    </w:p>
    <w:p>
      <w:pPr>
        <w:spacing w:after="0" w:line="9" w:lineRule="exact"/>
        <w:rPr>
          <w:rFonts w:ascii="Times New Roman" w:cs="Times New Roman" w:eastAsia="Times New Roman" w:hAnsi="Times New Roman"/>
          <w:sz w:val="18"/>
          <w:szCs w:val="18"/>
          <w:color w:val="auto"/>
        </w:rPr>
      </w:pPr>
    </w:p>
    <w:p>
      <w:pPr>
        <w:ind w:left="800" w:hanging="441"/>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2019</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6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Compared to September 30, 2018</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60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16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3"/>
            <w:vMerge w:val="restart"/>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FFFFFF"/>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gross</w:t>
            </w:r>
          </w:p>
        </w:tc>
        <w:tc>
          <w:tcPr>
            <w:tcW w:w="240" w:type="dxa"/>
            <w:vAlign w:val="bottom"/>
            <w:shd w:val="clear" w:color="auto" w:fill="EEEEEE"/>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(95,588)</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(99,227)</w:t>
            </w: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3,639</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receivables at fair value</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59,647</w:t>
            </w:r>
          </w:p>
        </w:tc>
        <w:tc>
          <w:tcPr>
            <w:tcW w:w="1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(37,714)</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(39,580)</w:t>
            </w:r>
          </w:p>
        </w:tc>
        <w:tc>
          <w:tcPr>
            <w:tcW w:w="3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Borders>
              <w:top w:val="single" w:sz="8" w:color="EEEEEE"/>
            </w:tcBorders>
            <w:shd w:val="clear" w:color="auto" w:fill="EEEEEE"/>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5"/>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240" w:type="dxa"/>
            <w:vAlign w:val="bottom"/>
          </w:tcPr>
          <w:p>
            <w:pPr>
              <w:spacing w:after="0"/>
              <w:rPr>
                <w:sz w:val="15"/>
                <w:szCs w:val="15"/>
                <w:color w:val="auto"/>
              </w:rPr>
            </w:pPr>
          </w:p>
        </w:tc>
        <w:tc>
          <w:tcPr>
            <w:tcW w:w="13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FFFFFF"/>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1,879</w:t>
            </w: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1,357</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2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5,900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1,277</w:t>
            </w: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4,623</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3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tcBorders>
              <w:top w:val="single" w:sz="8" w:color="EEEEEE"/>
            </w:tcBorders>
            <w:shd w:val="clear" w:color="auto" w:fill="EEEEEE"/>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(45,590</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(43,974</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6" w:name="page37"/>
    <w:bookmarkEnd w:id="36"/>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reduction in the annualized yield on our finance receivables for the nine months ended September 30, 2019 compared to the prior year period is a result of the lower interest yield on the receivables measured at fair value. The interest yield on receivables measured at fair value is reduced to take account of expected losses and is therefore less than the yield on other finance receivables.</w:t>
      </w:r>
    </w:p>
    <w:p>
      <w:pPr>
        <w:spacing w:after="0" w:line="17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In the nine-month period ended September 30, 2019, the net present value of the forecasted cash flows for the receivables acquired in the first quarter of 2018 exceeded the carrying value by $604,000, which we have recorded as a mark to market value of that pool of receivables.</w:t>
      </w:r>
    </w:p>
    <w:p>
      <w:pPr>
        <w:spacing w:after="0" w:line="162" w:lineRule="exact"/>
        <w:rPr>
          <w:sz w:val="20"/>
          <w:szCs w:val="20"/>
          <w:color w:val="auto"/>
        </w:rPr>
      </w:pPr>
    </w:p>
    <w:p>
      <w:pPr>
        <w:jc w:val="both"/>
        <w:ind w:firstLine="270"/>
        <w:spacing w:after="0" w:line="253" w:lineRule="auto"/>
        <w:rPr>
          <w:sz w:val="20"/>
          <w:szCs w:val="20"/>
          <w:color w:val="auto"/>
        </w:rPr>
      </w:pPr>
      <w:r>
        <w:rPr>
          <w:rFonts w:ascii="Times New Roman" w:cs="Times New Roman" w:eastAsia="Times New Roman" w:hAnsi="Times New Roman"/>
          <w:sz w:val="18"/>
          <w:szCs w:val="18"/>
          <w:color w:val="auto"/>
        </w:rPr>
        <w:t>Provision for credit losses was $64.3 million for the nine months ended September 30, 2019, a decrease of $43.7 million, or 40.4% compared to the prior year and represented 25.5%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The allowance applies only to our finance receivables originated through December 2017, which we refer to as our legacy portfolio. Since no receivables have been added to the legacy portfolio since December 2017, it has seasoned to the point where its weighted age is 39 months at September 30, 2019. The age of the legacy portfolio, its continuously declining balance and the significant variance of the relative credit performance of the vintage pools that make up the legacy portfolio have contributed to lower provisions for credit losses and lower levels of the allowance for finance credit losses.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93"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$701,000, or 5.3%, to $13.9 million during the nine months ended September 30, 2019, compared to $13.2 million in the prior year period, and represented 5.5% of total operating expenses. For the nine months ended September 30, 2019, we purchased 42,534 contracts representing $755.3 million in receivables compared to 38,749 contracts representing $650.6 million in receivables in the prior period. In addition, in recent months, we have gradually shifted to more field sales representatives as compared to in-house sales representatives. Field sales representatives are somewhat more costly than in-house sales representatives, but we feel will ultimately be more effective.</w:t>
      </w:r>
    </w:p>
    <w:p>
      <w:pPr>
        <w:spacing w:after="0" w:line="18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Occupancy expenses increased by $101,000 or 1.8%, to $5.7 million compared to $5.6 million in the previous year and represented 2.3% of total operating expenses.</w:t>
      </w:r>
    </w:p>
    <w:p>
      <w:pPr>
        <w:spacing w:after="0" w:line="16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by $43,000 or 5.8%, to $789,000 compared to $746,000 in the previous year and represented 0.2% of total operating expenses.</w:t>
      </w:r>
    </w:p>
    <w:p>
      <w:pPr>
        <w:spacing w:after="0" w:line="162"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we recorded income tax expense of $2.9 million, representing a 35.0% effective income tax rate. In the prior year period, we recorded $4.4 million in income tax expense, representing a 31.7% effective income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Experience</w:t>
      </w:r>
    </w:p>
    <w:p>
      <w:pPr>
        <w:spacing w:after="0" w:line="229"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9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Delinquency Experience </w:t>
      </w:r>
      <w:r>
        <w:rPr>
          <w:rFonts w:ascii="Times New Roman" w:cs="Times New Roman" w:eastAsia="Times New Roman" w:hAnsi="Times New Roman"/>
          <w:sz w:val="18"/>
          <w:szCs w:val="18"/>
          <w:color w:val="auto"/>
        </w:rPr>
        <w:t>Gross servicing portfolio (1) Period of delinquency (2) 31-60 days</w:t>
      </w:r>
    </w:p>
    <w:p>
      <w:pPr>
        <w:ind w:left="100"/>
        <w:spacing w:after="0"/>
        <w:rPr>
          <w:sz w:val="20"/>
          <w:szCs w:val="20"/>
          <w:color w:val="auto"/>
        </w:rPr>
      </w:pPr>
      <w:r>
        <w:rPr>
          <w:rFonts w:ascii="Times New Roman" w:cs="Times New Roman" w:eastAsia="Times New Roman" w:hAnsi="Times New Roman"/>
          <w:sz w:val="18"/>
          <w:szCs w:val="18"/>
          <w:color w:val="auto"/>
        </w:rPr>
        <w:t>61-90 days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91+ days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delinquencies (2)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in repossession (3)</w:t>
      </w:r>
    </w:p>
    <w:p>
      <w:pPr>
        <w:spacing w:after="0" w:line="9" w:lineRule="exact"/>
        <w:rPr>
          <w:sz w:val="20"/>
          <w:szCs w:val="20"/>
          <w:color w:val="auto"/>
        </w:rPr>
      </w:pPr>
    </w:p>
    <w:p>
      <w:pPr>
        <w:ind w:left="100" w:right="560" w:hanging="89"/>
        <w:spacing w:after="0" w:line="271" w:lineRule="auto"/>
        <w:rPr>
          <w:sz w:val="20"/>
          <w:szCs w:val="20"/>
          <w:color w:val="auto"/>
        </w:rPr>
      </w:pPr>
      <w:r>
        <w:rPr>
          <w:rFonts w:ascii="Times New Roman" w:cs="Times New Roman" w:eastAsia="Times New Roman" w:hAnsi="Times New Roman"/>
          <w:sz w:val="18"/>
          <w:szCs w:val="18"/>
          <w:color w:val="auto"/>
        </w:rPr>
        <w:t>Total delinquencies and amount in repossession (2)</w:t>
      </w:r>
    </w:p>
    <w:p>
      <w:pPr>
        <w:ind w:left="100" w:right="240" w:hanging="89"/>
        <w:spacing w:after="0" w:line="282" w:lineRule="auto"/>
        <w:rPr>
          <w:sz w:val="20"/>
          <w:szCs w:val="20"/>
          <w:color w:val="auto"/>
        </w:rPr>
      </w:pPr>
      <w:r>
        <w:rPr>
          <w:rFonts w:ascii="Times New Roman" w:cs="Times New Roman" w:eastAsia="Times New Roman" w:hAnsi="Times New Roman"/>
          <w:sz w:val="18"/>
          <w:szCs w:val="18"/>
          <w:color w:val="auto"/>
        </w:rPr>
        <w:t>Delinquencies as a percentage of gross servicing portfolio</w:t>
      </w:r>
    </w:p>
    <w:p>
      <w:pPr>
        <w:spacing w:after="0" w:line="200" w:lineRule="exact"/>
        <w:rPr>
          <w:sz w:val="20"/>
          <w:szCs w:val="20"/>
          <w:color w:val="auto"/>
        </w:rPr>
      </w:pPr>
    </w:p>
    <w:p>
      <w:pPr>
        <w:spacing w:after="0" w:line="218" w:lineRule="exact"/>
        <w:rPr>
          <w:sz w:val="20"/>
          <w:szCs w:val="20"/>
          <w:color w:val="auto"/>
        </w:rPr>
      </w:pPr>
    </w:p>
    <w:p>
      <w:pPr>
        <w:ind w:left="100" w:right="260" w:hanging="89"/>
        <w:spacing w:after="0" w:line="264" w:lineRule="auto"/>
        <w:rPr>
          <w:sz w:val="20"/>
          <w:szCs w:val="20"/>
          <w:color w:val="auto"/>
        </w:rPr>
      </w:pPr>
      <w:r>
        <w:rPr>
          <w:rFonts w:ascii="Times New Roman" w:cs="Times New Roman" w:eastAsia="Times New Roman" w:hAnsi="Times New Roman"/>
          <w:sz w:val="18"/>
          <w:szCs w:val="18"/>
          <w:color w:val="auto"/>
        </w:rPr>
        <w:t>Total delinquencies and amount in repossession as a percentage of gross servicing portfolio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Experience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with one extension, accruing</w:t>
      </w:r>
    </w:p>
    <w:p>
      <w:pPr>
        <w:spacing w:after="0" w:line="31" w:lineRule="exact"/>
        <w:rPr>
          <w:sz w:val="20"/>
          <w:szCs w:val="20"/>
          <w:color w:val="auto"/>
        </w:rPr>
      </w:pPr>
    </w:p>
    <w:p>
      <w:pPr>
        <w:ind w:left="100" w:right="200" w:hanging="89"/>
        <w:spacing w:after="0" w:line="282" w:lineRule="auto"/>
        <w:rPr>
          <w:sz w:val="20"/>
          <w:szCs w:val="20"/>
          <w:color w:val="auto"/>
        </w:rPr>
      </w:pPr>
      <w:r>
        <w:rPr>
          <w:rFonts w:ascii="Times New Roman" w:cs="Times New Roman" w:eastAsia="Times New Roman" w:hAnsi="Times New Roman"/>
          <w:sz w:val="18"/>
          <w:szCs w:val="18"/>
          <w:color w:val="auto"/>
        </w:rPr>
        <w:t>Contracts with two or more extensions, accruing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with one extension, non-accrual</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w:t>
      </w:r>
    </w:p>
    <w:p>
      <w:pPr>
        <w:spacing w:after="0" w:line="31" w:lineRule="exact"/>
        <w:rPr>
          <w:sz w:val="20"/>
          <w:szCs w:val="20"/>
          <w:color w:val="auto"/>
        </w:rPr>
      </w:pPr>
    </w:p>
    <w:p>
      <w:pPr>
        <w:ind w:left="100" w:right="200" w:hanging="89"/>
        <w:spacing w:after="0" w:line="282" w:lineRule="auto"/>
        <w:rPr>
          <w:sz w:val="20"/>
          <w:szCs w:val="20"/>
          <w:color w:val="auto"/>
        </w:rPr>
      </w:pPr>
      <w:r>
        <w:rPr>
          <w:rFonts w:ascii="Times New Roman" w:cs="Times New Roman" w:eastAsia="Times New Roman" w:hAnsi="Times New Roman"/>
          <w:sz w:val="18"/>
          <w:szCs w:val="18"/>
          <w:color w:val="auto"/>
        </w:rPr>
        <w:t>Contracts with two or more extensions, non-accrual (4)</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63"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8"/>
          <w:szCs w:val="18"/>
          <w:b w:val="1"/>
          <w:bCs w:val="1"/>
          <w:color w:val="auto"/>
        </w:rPr>
        <w:t>Total Owned Portfolio</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7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 2018</w:t>
            </w:r>
          </w:p>
        </w:tc>
        <w:tc>
          <w:tcPr>
            <w:tcW w:w="236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01"/>
        </w:trPr>
        <w:tc>
          <w:tcPr>
            <w:tcW w:w="1220" w:type="dxa"/>
            <w:vAlign w:val="bottom"/>
            <w:tcBorders>
              <w:top w:val="single" w:sz="8" w:color="auto"/>
            </w:tcBorders>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top w:val="single" w:sz="8" w:color="auto"/>
            </w:tcBorders>
            <w:gridSpan w:val="2"/>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top w:val="single" w:sz="8" w:color="auto"/>
            </w:tcBorders>
            <w:gridSpan w:val="2"/>
          </w:tcPr>
          <w:p>
            <w:pPr>
              <w:jc w:val="center"/>
              <w:ind w:right="160"/>
              <w:spacing w:after="0" w:line="201"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8"/>
        </w:trPr>
        <w:tc>
          <w:tcPr>
            <w:tcW w:w="1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2"/>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0"/>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177,575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2,412,638</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174,584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2,342,889</w:t>
            </w:r>
          </w:p>
        </w:tc>
        <w:tc>
          <w:tcPr>
            <w:tcW w:w="3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176,042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2,380,847</w:t>
            </w:r>
          </w:p>
        </w:tc>
      </w:tr>
      <w:tr>
        <w:trPr>
          <w:trHeight w:val="414"/>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195,016</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144,842</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13,182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183,974</w:t>
            </w:r>
          </w:p>
        </w:tc>
      </w:tr>
      <w:tr>
        <w:trPr>
          <w:trHeight w:val="230"/>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94,603</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62,642</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74,485</w:t>
            </w:r>
          </w:p>
        </w:tc>
      </w:tr>
      <w:tr>
        <w:trPr>
          <w:trHeight w:val="234"/>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39,476</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29,729</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35,520</w:t>
            </w:r>
          </w:p>
        </w:tc>
      </w:tr>
      <w:tr>
        <w:trPr>
          <w:trHeight w:val="205"/>
        </w:trPr>
        <w:tc>
          <w:tcPr>
            <w:tcW w:w="10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24,039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329,095</w:t>
            </w:r>
          </w:p>
        </w:tc>
        <w:tc>
          <w:tcPr>
            <w:tcW w:w="360" w:type="dxa"/>
            <w:vAlign w:val="bottom"/>
          </w:tcPr>
          <w:p>
            <w:pPr>
              <w:spacing w:after="0"/>
              <w:rPr>
                <w:sz w:val="17"/>
                <w:szCs w:val="17"/>
                <w:color w:val="auto"/>
              </w:rPr>
            </w:pPr>
          </w:p>
        </w:tc>
        <w:tc>
          <w:tcPr>
            <w:tcW w:w="10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17,721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237,213</w:t>
            </w:r>
          </w:p>
        </w:tc>
        <w:tc>
          <w:tcPr>
            <w:tcW w:w="3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21,617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293,979</w:t>
            </w:r>
          </w:p>
        </w:tc>
      </w:tr>
      <w:tr>
        <w:trPr>
          <w:trHeight w:val="23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50,779</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33,989</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36,480</w:t>
            </w:r>
          </w:p>
        </w:tc>
      </w:tr>
      <w:tr>
        <w:trPr>
          <w:trHeight w:val="20"/>
        </w:trPr>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439"/>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379,874</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20,357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271,202</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24,457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330,459</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08"/>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13.6%</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FFFFFF"/>
              </w:rPr>
              <w:t>.</w:t>
            </w: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FFFFFF"/>
              </w:rPr>
              <w:t>.</w:t>
            </w:r>
          </w:p>
        </w:tc>
      </w:tr>
      <w:tr>
        <w:trPr>
          <w:trHeight w:val="689"/>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15.7%</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47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337,383</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27,476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366,400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27,192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364,575</w:t>
            </w:r>
          </w:p>
        </w:tc>
      </w:tr>
      <w:tr>
        <w:trPr>
          <w:trHeight w:val="47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54,182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681,939</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61,692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833,005</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61,977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828,573</w:t>
            </w:r>
          </w:p>
        </w:tc>
      </w:tr>
      <w:tr>
        <w:trPr>
          <w:trHeight w:val="228"/>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1,019,322</w:t>
            </w:r>
          </w:p>
        </w:tc>
        <w:tc>
          <w:tcPr>
            <w:tcW w:w="3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1,199,405</w:t>
            </w: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1,193,148</w:t>
            </w:r>
          </w:p>
        </w:tc>
      </w:tr>
      <w:tr>
        <w:trPr>
          <w:trHeight w:val="454"/>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13,636</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8,311</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r>
      <w:tr>
        <w:trPr>
          <w:trHeight w:val="473"/>
        </w:trPr>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56,347</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3,498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45,238</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-3781425</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-3507105</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-3232150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-2949575</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-2658110</wp:posOffset>
            </wp:positionV>
            <wp:extent cx="7246620"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-2057400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-1783080</wp:posOffset>
            </wp:positionV>
            <wp:extent cx="7246620" cy="437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-1208405</wp:posOffset>
            </wp:positionV>
            <wp:extent cx="72466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-745490</wp:posOffset>
            </wp:positionV>
            <wp:extent cx="72466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-299720</wp:posOffset>
            </wp:positionV>
            <wp:extent cx="724662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40" w:space="400"/>
            <w:col w:w="7980"/>
          </w:cols>
          <w:pgMar w:left="240" w:top="792"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5,519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69,983</w:t>
            </w:r>
          </w:p>
        </w:tc>
        <w:tc>
          <w:tcPr>
            <w:tcW w:w="12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4,198</w:t>
            </w:r>
          </w:p>
        </w:tc>
        <w:tc>
          <w:tcPr>
            <w:tcW w:w="1520" w:type="dxa"/>
            <w:vAlign w:val="bottom"/>
            <w:gridSpan w:val="3"/>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53,549</w:t>
            </w:r>
          </w:p>
        </w:tc>
        <w:tc>
          <w:tcPr>
            <w:tcW w:w="118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4,744</w:t>
            </w:r>
          </w:p>
        </w:tc>
        <w:tc>
          <w:tcPr>
            <w:tcW w:w="1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61,430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contracts with extensions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84,737</w:t>
            </w: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1,089,305</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93,366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1,252,954</w:t>
            </w:r>
          </w:p>
        </w:tc>
        <w:tc>
          <w:tcPr>
            <w:tcW w:w="3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93,913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1,254,578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800" w:hanging="441"/>
        <w:spacing w:after="0" w:line="250" w:lineRule="auto"/>
        <w:tabs>
          <w:tab w:leader="none" w:pos="8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Times New Roman" w:cs="Times New Roman" w:eastAsia="Times New Roman" w:hAnsi="Times New Roman"/>
          <w:sz w:val="18"/>
          <w:szCs w:val="18"/>
          <w:i w:val="1"/>
          <w:iCs w:val="1"/>
          <w:color w:val="auto"/>
        </w:rPr>
      </w:pPr>
    </w:p>
    <w:p>
      <w:pPr>
        <w:jc w:val="both"/>
        <w:ind w:left="800" w:hanging="441"/>
        <w:spacing w:after="0" w:line="250" w:lineRule="auto"/>
        <w:tabs>
          <w:tab w:leader="none" w:pos="8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800" w:hanging="441"/>
        <w:spacing w:after="0"/>
        <w:tabs>
          <w:tab w:leader="none" w:pos="8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800" w:hanging="441"/>
        <w:spacing w:after="0"/>
        <w:tabs>
          <w:tab w:leader="none" w:pos="8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Net Charge-Off Experience (1)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Owned Portfolio</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80" w:type="dxa"/>
            <w:vAlign w:val="bottom"/>
          </w:tcPr>
          <w:p>
            <w:pPr>
              <w:spacing w:after="0"/>
              <w:rPr>
                <w:sz w:val="19"/>
                <w:szCs w:val="19"/>
                <w:color w:val="auto"/>
              </w:rPr>
            </w:pPr>
          </w:p>
        </w:tc>
        <w:tc>
          <w:tcPr>
            <w:tcW w:w="15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2,400,078</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2,332,256</w:t>
            </w:r>
          </w:p>
        </w:tc>
        <w:tc>
          <w:tcPr>
            <w:tcW w:w="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2,341,954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Annualized net charge-offs as a percentage of average servicing portfolio (2)</w:t>
            </w:r>
          </w:p>
        </w:tc>
        <w:tc>
          <w:tcPr>
            <w:tcW w:w="1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800" w:hanging="441"/>
        <w:spacing w:after="0" w:line="249" w:lineRule="auto"/>
        <w:tabs>
          <w:tab w:leader="none" w:pos="8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 net of unearned income on pre-computed automobile contracts.</w:t>
      </w:r>
    </w:p>
    <w:p>
      <w:pPr>
        <w:jc w:val="both"/>
        <w:ind w:left="800" w:hanging="441"/>
        <w:spacing w:after="0" w:line="254" w:lineRule="auto"/>
        <w:tabs>
          <w:tab w:leader="none" w:pos="8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2019 and September 30, 2018 percentages represent nine months ended September 30, 2019 and September 30, 2018 annualized. December 31, 2018 represents 12 months ended December 31,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84"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89"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9" w:name="page40"/>
    <w:bookmarkEnd w:id="39"/>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We believe that a prudent extension program is an integral component to mitigating losses in our portfolio of sub-prime automobile receivables. The table below summarizes the status, as of September 30, 2019, for accounts that received extensions from 2008 through 2018 (2019 extension data are not included at this time due to insufficient passage of time for meaningful evaluation of results):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0"/>
              </w:rPr>
              <w:t>Avg</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Active or</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Active or</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 Charged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Months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Paid Off at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Paid Off at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Charged Off</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Off &gt; 6</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Charged Off</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 Charged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 Charge</w:t>
            </w:r>
          </w:p>
        </w:tc>
      </w:tr>
      <w:tr>
        <w:trPr>
          <w:trHeight w:val="216"/>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Period of</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Extensions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30,</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&gt; 6 Months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Months After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&lt;= 6 Months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Off &lt;= 6 Months</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Off Post</w:t>
            </w:r>
          </w:p>
        </w:tc>
      </w:tr>
      <w:tr>
        <w:trPr>
          <w:trHeight w:val="234"/>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Granted</w:t>
            </w:r>
          </w:p>
        </w:tc>
        <w:tc>
          <w:tcPr>
            <w:tcW w:w="1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After Extension</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Extension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After Extension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After Extension</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Extension</w:t>
            </w:r>
          </w:p>
        </w:tc>
      </w:tr>
      <w:tr>
        <w:trPr>
          <w:trHeight w:val="54"/>
        </w:trPr>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10"/>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1200" w:type="dxa"/>
            <w:vAlign w:val="bottom"/>
            <w:tcBorders>
              <w:bottom w:val="single" w:sz="8" w:color="EEEEEE"/>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35,588</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10,710</w:t>
            </w:r>
          </w:p>
        </w:tc>
        <w:tc>
          <w:tcPr>
            <w:tcW w:w="120" w:type="dxa"/>
            <w:vAlign w:val="bottom"/>
            <w:tcBorders>
              <w:bottom w:val="single" w:sz="8" w:color="EEEEEE"/>
            </w:tcBorders>
            <w:shd w:val="clear" w:color="auto" w:fill="EEEEEE"/>
          </w:tcPr>
          <w:p>
            <w:pPr>
              <w:spacing w:after="0"/>
              <w:rPr>
                <w:sz w:val="21"/>
                <w:szCs w:val="21"/>
                <w:color w:val="auto"/>
              </w:rPr>
            </w:pPr>
          </w:p>
        </w:tc>
        <w:tc>
          <w:tcPr>
            <w:tcW w:w="1200" w:type="dxa"/>
            <w:vAlign w:val="bottom"/>
            <w:tcBorders>
              <w:bottom w:val="single" w:sz="8" w:color="EEEEEE"/>
            </w:tcBorders>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20,059</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EEEEEE"/>
            </w:tcBorders>
            <w:shd w:val="clear" w:color="auto" w:fill="EEEEEE"/>
          </w:tcPr>
          <w:p>
            <w:pPr>
              <w:spacing w:after="0"/>
              <w:rPr>
                <w:sz w:val="21"/>
                <w:szCs w:val="21"/>
                <w:color w:val="auto"/>
              </w:rPr>
            </w:pPr>
          </w:p>
        </w:tc>
        <w:tc>
          <w:tcPr>
            <w:tcW w:w="1240" w:type="dxa"/>
            <w:vAlign w:val="bottom"/>
            <w:tcBorders>
              <w:bottom w:val="single" w:sz="8" w:color="EEEEEE"/>
            </w:tcBorders>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rPr>
              <w:t>4,819</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8"/>
              </w:rPr>
              <w:t>13.5%</w:t>
            </w:r>
          </w:p>
        </w:tc>
        <w:tc>
          <w:tcPr>
            <w:tcW w:w="120" w:type="dxa"/>
            <w:vAlign w:val="bottom"/>
            <w:tcBorders>
              <w:bottom w:val="single" w:sz="8" w:color="EEEEEE"/>
            </w:tcBorders>
            <w:shd w:val="clear" w:color="auto" w:fill="EEEEEE"/>
          </w:tcPr>
          <w:p>
            <w:pPr>
              <w:spacing w:after="0"/>
              <w:rPr>
                <w:sz w:val="21"/>
                <w:szCs w:val="21"/>
                <w:color w:val="auto"/>
              </w:rPr>
            </w:pPr>
          </w:p>
        </w:tc>
        <w:tc>
          <w:tcPr>
            <w:tcW w:w="760" w:type="dxa"/>
            <w:vAlign w:val="bottom"/>
            <w:tcBorders>
              <w:bottom w:val="single" w:sz="8" w:color="EEEEEE"/>
            </w:tcBorders>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99"/>
              </w:rPr>
              <w:t>19</w:t>
            </w:r>
          </w:p>
        </w:tc>
        <w:tc>
          <w:tcPr>
            <w:tcW w:w="60" w:type="dxa"/>
            <w:vAlign w:val="bottom"/>
            <w:tcBorders>
              <w:bottom w:val="single" w:sz="8" w:color="EEEEEE"/>
            </w:tcBorders>
            <w:shd w:val="clear" w:color="auto" w:fill="EEEEEE"/>
          </w:tcPr>
          <w:p>
            <w:pPr>
              <w:spacing w:after="0"/>
              <w:rPr>
                <w:sz w:val="21"/>
                <w:szCs w:val="21"/>
                <w:color w:val="auto"/>
              </w:rPr>
            </w:pPr>
          </w:p>
        </w:tc>
      </w:tr>
      <w:tr>
        <w:trPr>
          <w:trHeight w:val="234"/>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0"/>
                <w:szCs w:val="20"/>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32,226</w:t>
            </w:r>
          </w:p>
        </w:tc>
        <w:tc>
          <w:tcPr>
            <w:tcW w:w="100" w:type="dxa"/>
            <w:vAlign w:val="bottom"/>
          </w:tcPr>
          <w:p>
            <w:pPr>
              <w:spacing w:after="0"/>
              <w:rPr>
                <w:sz w:val="20"/>
                <w:szCs w:val="20"/>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10,274</w:t>
            </w:r>
          </w:p>
        </w:tc>
        <w:tc>
          <w:tcPr>
            <w:tcW w:w="12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16,168</w:t>
            </w:r>
          </w:p>
        </w:tc>
        <w:tc>
          <w:tcPr>
            <w:tcW w:w="10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0"/>
                <w:szCs w:val="20"/>
                <w:color w:val="auto"/>
              </w:rPr>
            </w:pP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tcPr>
          <w:p>
            <w:pPr>
              <w:spacing w:after="0"/>
              <w:rPr>
                <w:sz w:val="20"/>
                <w:szCs w:val="20"/>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17.9%</w:t>
            </w:r>
          </w:p>
        </w:tc>
        <w:tc>
          <w:tcPr>
            <w:tcW w:w="120" w:type="dxa"/>
            <w:vAlign w:val="bottom"/>
          </w:tcPr>
          <w:p>
            <w:pPr>
              <w:spacing w:after="0"/>
              <w:rPr>
                <w:sz w:val="20"/>
                <w:szCs w:val="20"/>
                <w:color w:val="auto"/>
              </w:rPr>
            </w:pPr>
          </w:p>
        </w:tc>
        <w:tc>
          <w:tcPr>
            <w:tcW w:w="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17</w:t>
            </w:r>
          </w:p>
        </w:tc>
        <w:tc>
          <w:tcPr>
            <w:tcW w:w="60" w:type="dxa"/>
            <w:vAlign w:val="bottom"/>
          </w:tcPr>
          <w:p>
            <w:pPr>
              <w:spacing w:after="0"/>
              <w:rPr>
                <w:sz w:val="20"/>
                <w:szCs w:val="20"/>
                <w:color w:val="auto"/>
              </w:rPr>
            </w:pPr>
          </w:p>
        </w:tc>
      </w:tr>
      <w:tr>
        <w:trPr>
          <w:trHeight w:val="36"/>
        </w:trPr>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1200" w:type="dxa"/>
            <w:vAlign w:val="bottom"/>
            <w:tcBorders>
              <w:bottom w:val="single" w:sz="8" w:color="EEEEEE"/>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26,167</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12,165</w:t>
            </w:r>
          </w:p>
        </w:tc>
        <w:tc>
          <w:tcPr>
            <w:tcW w:w="120" w:type="dxa"/>
            <w:vAlign w:val="bottom"/>
            <w:tcBorders>
              <w:bottom w:val="single" w:sz="8" w:color="EEEEEE"/>
            </w:tcBorders>
            <w:shd w:val="clear" w:color="auto" w:fill="EEEEEE"/>
          </w:tcPr>
          <w:p>
            <w:pPr>
              <w:spacing w:after="0"/>
              <w:rPr>
                <w:sz w:val="21"/>
                <w:szCs w:val="21"/>
                <w:color w:val="auto"/>
              </w:rPr>
            </w:pPr>
          </w:p>
        </w:tc>
        <w:tc>
          <w:tcPr>
            <w:tcW w:w="1200" w:type="dxa"/>
            <w:vAlign w:val="bottom"/>
            <w:tcBorders>
              <w:bottom w:val="single" w:sz="8" w:color="EEEEEE"/>
            </w:tcBorders>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12,003</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EEEEEE"/>
            </w:tcBorders>
            <w:shd w:val="clear" w:color="auto" w:fill="EEEEEE"/>
          </w:tcPr>
          <w:p>
            <w:pPr>
              <w:spacing w:after="0"/>
              <w:rPr>
                <w:sz w:val="21"/>
                <w:szCs w:val="21"/>
                <w:color w:val="auto"/>
              </w:rPr>
            </w:pPr>
          </w:p>
        </w:tc>
        <w:tc>
          <w:tcPr>
            <w:tcW w:w="1240" w:type="dxa"/>
            <w:vAlign w:val="bottom"/>
            <w:tcBorders>
              <w:bottom w:val="single" w:sz="8" w:color="EEEEEE"/>
            </w:tcBorders>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EEEEEE"/>
            </w:tcBorders>
            <w:shd w:val="clear" w:color="auto" w:fill="EEEEEE"/>
          </w:tcPr>
          <w:p>
            <w:pPr>
              <w:spacing w:after="0"/>
              <w:rPr>
                <w:sz w:val="21"/>
                <w:szCs w:val="21"/>
                <w:color w:val="auto"/>
              </w:rPr>
            </w:pPr>
          </w:p>
        </w:tc>
        <w:tc>
          <w:tcPr>
            <w:tcW w:w="760" w:type="dxa"/>
            <w:vAlign w:val="bottom"/>
            <w:tcBorders>
              <w:bottom w:val="single" w:sz="8" w:color="EEEEEE"/>
            </w:tcBorders>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99"/>
              </w:rPr>
              <w:t>19</w:t>
            </w:r>
          </w:p>
        </w:tc>
        <w:tc>
          <w:tcPr>
            <w:tcW w:w="60" w:type="dxa"/>
            <w:vAlign w:val="bottom"/>
            <w:tcBorders>
              <w:bottom w:val="single" w:sz="8" w:color="EEEEEE"/>
            </w:tcBorders>
            <w:shd w:val="clear" w:color="auto" w:fill="EEEEEE"/>
          </w:tcPr>
          <w:p>
            <w:pPr>
              <w:spacing w:after="0"/>
              <w:rPr>
                <w:sz w:val="21"/>
                <w:szCs w:val="21"/>
                <w:color w:val="auto"/>
              </w:rPr>
            </w:pPr>
          </w:p>
        </w:tc>
      </w:tr>
      <w:tr>
        <w:trPr>
          <w:trHeight w:val="234"/>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20"/>
                <w:szCs w:val="20"/>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18,786</w:t>
            </w:r>
          </w:p>
        </w:tc>
        <w:tc>
          <w:tcPr>
            <w:tcW w:w="100" w:type="dxa"/>
            <w:vAlign w:val="bottom"/>
          </w:tcPr>
          <w:p>
            <w:pPr>
              <w:spacing w:after="0"/>
              <w:rPr>
                <w:sz w:val="20"/>
                <w:szCs w:val="20"/>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10,975</w:t>
            </w:r>
          </w:p>
        </w:tc>
        <w:tc>
          <w:tcPr>
            <w:tcW w:w="12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20"/>
                <w:szCs w:val="20"/>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6,879</w:t>
            </w:r>
          </w:p>
        </w:tc>
        <w:tc>
          <w:tcPr>
            <w:tcW w:w="10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932</w:t>
            </w:r>
          </w:p>
        </w:tc>
        <w:tc>
          <w:tcPr>
            <w:tcW w:w="100" w:type="dxa"/>
            <w:vAlign w:val="bottom"/>
          </w:tcPr>
          <w:p>
            <w:pPr>
              <w:spacing w:after="0"/>
              <w:rPr>
                <w:sz w:val="20"/>
                <w:szCs w:val="20"/>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19</w:t>
            </w:r>
          </w:p>
        </w:tc>
        <w:tc>
          <w:tcPr>
            <w:tcW w:w="60" w:type="dxa"/>
            <w:vAlign w:val="bottom"/>
          </w:tcPr>
          <w:p>
            <w:pPr>
              <w:spacing w:after="0"/>
              <w:rPr>
                <w:sz w:val="20"/>
                <w:szCs w:val="20"/>
                <w:color w:val="auto"/>
              </w:rPr>
            </w:pPr>
          </w:p>
        </w:tc>
      </w:tr>
      <w:tr>
        <w:trPr>
          <w:trHeight w:val="36"/>
        </w:trPr>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1200" w:type="dxa"/>
            <w:vAlign w:val="bottom"/>
            <w:tcBorders>
              <w:bottom w:val="single" w:sz="8" w:color="EEEEEE"/>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18,783</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11,332</w:t>
            </w:r>
          </w:p>
        </w:tc>
        <w:tc>
          <w:tcPr>
            <w:tcW w:w="120" w:type="dxa"/>
            <w:vAlign w:val="bottom"/>
            <w:tcBorders>
              <w:bottom w:val="single" w:sz="8" w:color="EEEEEE"/>
            </w:tcBorders>
            <w:shd w:val="clear" w:color="auto" w:fill="EEEEEE"/>
          </w:tcPr>
          <w:p>
            <w:pPr>
              <w:spacing w:after="0"/>
              <w:rPr>
                <w:sz w:val="21"/>
                <w:szCs w:val="21"/>
                <w:color w:val="auto"/>
              </w:rPr>
            </w:pPr>
          </w:p>
        </w:tc>
        <w:tc>
          <w:tcPr>
            <w:tcW w:w="1200" w:type="dxa"/>
            <w:vAlign w:val="bottom"/>
            <w:tcBorders>
              <w:bottom w:val="single" w:sz="8" w:color="EEEEEE"/>
            </w:tcBorders>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98"/>
              </w:rPr>
              <w:t>6,655</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EEEEEE"/>
            </w:tcBorders>
            <w:shd w:val="clear" w:color="auto" w:fill="EEEEEE"/>
          </w:tcPr>
          <w:p>
            <w:pPr>
              <w:spacing w:after="0"/>
              <w:rPr>
                <w:sz w:val="21"/>
                <w:szCs w:val="21"/>
                <w:color w:val="auto"/>
              </w:rPr>
            </w:pPr>
          </w:p>
        </w:tc>
        <w:tc>
          <w:tcPr>
            <w:tcW w:w="1240" w:type="dxa"/>
            <w:vAlign w:val="bottom"/>
            <w:tcBorders>
              <w:bottom w:val="single" w:sz="8" w:color="EEEEEE"/>
            </w:tcBorders>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96"/>
              </w:rPr>
              <w:t>796</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EEEEEE"/>
            </w:tcBorders>
            <w:shd w:val="clear" w:color="auto" w:fill="EEEEEE"/>
          </w:tcPr>
          <w:p>
            <w:pPr>
              <w:spacing w:after="0"/>
              <w:rPr>
                <w:sz w:val="21"/>
                <w:szCs w:val="21"/>
                <w:color w:val="auto"/>
              </w:rPr>
            </w:pPr>
          </w:p>
        </w:tc>
        <w:tc>
          <w:tcPr>
            <w:tcW w:w="760" w:type="dxa"/>
            <w:vAlign w:val="bottom"/>
            <w:tcBorders>
              <w:bottom w:val="single" w:sz="8" w:color="EEEEEE"/>
            </w:tcBorders>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99"/>
              </w:rPr>
              <w:t>18</w:t>
            </w:r>
          </w:p>
        </w:tc>
        <w:tc>
          <w:tcPr>
            <w:tcW w:w="60" w:type="dxa"/>
            <w:vAlign w:val="bottom"/>
            <w:tcBorders>
              <w:bottom w:val="single" w:sz="8" w:color="EEEEEE"/>
            </w:tcBorders>
            <w:shd w:val="clear" w:color="auto" w:fill="EEEEEE"/>
          </w:tcPr>
          <w:p>
            <w:pPr>
              <w:spacing w:after="0"/>
              <w:rPr>
                <w:sz w:val="21"/>
                <w:szCs w:val="21"/>
                <w:color w:val="auto"/>
              </w:rPr>
            </w:pPr>
          </w:p>
        </w:tc>
      </w:tr>
      <w:tr>
        <w:trPr>
          <w:trHeight w:val="234"/>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23,398</w:t>
            </w:r>
          </w:p>
        </w:tc>
        <w:tc>
          <w:tcPr>
            <w:tcW w:w="100" w:type="dxa"/>
            <w:vAlign w:val="bottom"/>
          </w:tcPr>
          <w:p>
            <w:pPr>
              <w:spacing w:after="0"/>
              <w:rPr>
                <w:sz w:val="20"/>
                <w:szCs w:val="20"/>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11,314</w:t>
            </w:r>
          </w:p>
        </w:tc>
        <w:tc>
          <w:tcPr>
            <w:tcW w:w="12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0"/>
                <w:szCs w:val="20"/>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11,108</w:t>
            </w:r>
          </w:p>
        </w:tc>
        <w:tc>
          <w:tcPr>
            <w:tcW w:w="10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0"/>
                <w:szCs w:val="20"/>
                <w:color w:val="auto"/>
              </w:rPr>
            </w:pP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976</w:t>
            </w:r>
          </w:p>
        </w:tc>
        <w:tc>
          <w:tcPr>
            <w:tcW w:w="100" w:type="dxa"/>
            <w:vAlign w:val="bottom"/>
          </w:tcPr>
          <w:p>
            <w:pPr>
              <w:spacing w:after="0"/>
              <w:rPr>
                <w:sz w:val="20"/>
                <w:szCs w:val="20"/>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22</w:t>
            </w:r>
          </w:p>
        </w:tc>
        <w:tc>
          <w:tcPr>
            <w:tcW w:w="60" w:type="dxa"/>
            <w:vAlign w:val="bottom"/>
          </w:tcPr>
          <w:p>
            <w:pPr>
              <w:spacing w:after="0"/>
              <w:rPr>
                <w:sz w:val="20"/>
                <w:szCs w:val="20"/>
                <w:color w:val="auto"/>
              </w:rPr>
            </w:pPr>
          </w:p>
        </w:tc>
      </w:tr>
      <w:tr>
        <w:trPr>
          <w:trHeight w:val="36"/>
        </w:trPr>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1200" w:type="dxa"/>
            <w:vAlign w:val="bottom"/>
            <w:tcBorders>
              <w:bottom w:val="single" w:sz="8" w:color="EEEEEE"/>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25,773</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11,105</w:t>
            </w:r>
          </w:p>
        </w:tc>
        <w:tc>
          <w:tcPr>
            <w:tcW w:w="120" w:type="dxa"/>
            <w:vAlign w:val="bottom"/>
            <w:tcBorders>
              <w:bottom w:val="single" w:sz="8" w:color="EEEEEE"/>
            </w:tcBorders>
            <w:shd w:val="clear" w:color="auto" w:fill="EEEEEE"/>
          </w:tcPr>
          <w:p>
            <w:pPr>
              <w:spacing w:after="0"/>
              <w:rPr>
                <w:sz w:val="21"/>
                <w:szCs w:val="21"/>
                <w:color w:val="auto"/>
              </w:rPr>
            </w:pPr>
          </w:p>
        </w:tc>
        <w:tc>
          <w:tcPr>
            <w:tcW w:w="1200" w:type="dxa"/>
            <w:vAlign w:val="bottom"/>
            <w:tcBorders>
              <w:bottom w:val="single" w:sz="8" w:color="EEEEEE"/>
            </w:tcBorders>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13,842</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EEEEEE"/>
            </w:tcBorders>
            <w:shd w:val="clear" w:color="auto" w:fill="EEEEEE"/>
          </w:tcPr>
          <w:p>
            <w:pPr>
              <w:spacing w:after="0"/>
              <w:rPr>
                <w:sz w:val="21"/>
                <w:szCs w:val="21"/>
                <w:color w:val="auto"/>
              </w:rPr>
            </w:pPr>
          </w:p>
        </w:tc>
        <w:tc>
          <w:tcPr>
            <w:tcW w:w="1240" w:type="dxa"/>
            <w:vAlign w:val="bottom"/>
            <w:tcBorders>
              <w:bottom w:val="single" w:sz="8" w:color="EEEEEE"/>
            </w:tcBorders>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96"/>
              </w:rPr>
              <w:t>826</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EEEEEE"/>
            </w:tcBorders>
            <w:shd w:val="clear" w:color="auto" w:fill="EEEEEE"/>
          </w:tcPr>
          <w:p>
            <w:pPr>
              <w:spacing w:after="0"/>
              <w:rPr>
                <w:sz w:val="21"/>
                <w:szCs w:val="21"/>
                <w:color w:val="auto"/>
              </w:rPr>
            </w:pPr>
          </w:p>
        </w:tc>
        <w:tc>
          <w:tcPr>
            <w:tcW w:w="760" w:type="dxa"/>
            <w:vAlign w:val="bottom"/>
            <w:tcBorders>
              <w:bottom w:val="single" w:sz="8" w:color="EEEEEE"/>
            </w:tcBorders>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99"/>
              </w:rPr>
              <w:t>23</w:t>
            </w:r>
          </w:p>
        </w:tc>
        <w:tc>
          <w:tcPr>
            <w:tcW w:w="60" w:type="dxa"/>
            <w:vAlign w:val="bottom"/>
            <w:tcBorders>
              <w:bottom w:val="single" w:sz="8" w:color="EEEEEE"/>
            </w:tcBorders>
            <w:shd w:val="clear" w:color="auto" w:fill="EEEEEE"/>
          </w:tcPr>
          <w:p>
            <w:pPr>
              <w:spacing w:after="0"/>
              <w:rPr>
                <w:sz w:val="21"/>
                <w:szCs w:val="21"/>
                <w:color w:val="auto"/>
              </w:rPr>
            </w:pPr>
          </w:p>
        </w:tc>
      </w:tr>
      <w:tr>
        <w:trPr>
          <w:trHeight w:val="234"/>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53,319</w:t>
            </w:r>
          </w:p>
        </w:tc>
        <w:tc>
          <w:tcPr>
            <w:tcW w:w="100" w:type="dxa"/>
            <w:vAlign w:val="bottom"/>
          </w:tcPr>
          <w:p>
            <w:pPr>
              <w:spacing w:after="0"/>
              <w:rPr>
                <w:sz w:val="20"/>
                <w:szCs w:val="20"/>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25,404</w:t>
            </w:r>
          </w:p>
        </w:tc>
        <w:tc>
          <w:tcPr>
            <w:tcW w:w="12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26,833</w:t>
            </w:r>
          </w:p>
        </w:tc>
        <w:tc>
          <w:tcPr>
            <w:tcW w:w="10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0"/>
                <w:szCs w:val="20"/>
                <w:color w:val="auto"/>
              </w:rPr>
            </w:pP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0"/>
                <w:szCs w:val="20"/>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22</w:t>
            </w:r>
          </w:p>
        </w:tc>
        <w:tc>
          <w:tcPr>
            <w:tcW w:w="60" w:type="dxa"/>
            <w:vAlign w:val="bottom"/>
          </w:tcPr>
          <w:p>
            <w:pPr>
              <w:spacing w:after="0"/>
              <w:rPr>
                <w:sz w:val="20"/>
                <w:szCs w:val="20"/>
                <w:color w:val="auto"/>
              </w:rPr>
            </w:pPr>
          </w:p>
        </w:tc>
      </w:tr>
      <w:tr>
        <w:trPr>
          <w:trHeight w:val="36"/>
        </w:trPr>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1200" w:type="dxa"/>
            <w:vAlign w:val="bottom"/>
            <w:tcBorders>
              <w:bottom w:val="single" w:sz="8" w:color="EEEEEE"/>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80,897</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45,756</w:t>
            </w:r>
          </w:p>
        </w:tc>
        <w:tc>
          <w:tcPr>
            <w:tcW w:w="120" w:type="dxa"/>
            <w:vAlign w:val="bottom"/>
            <w:tcBorders>
              <w:bottom w:val="single" w:sz="8" w:color="EEEEEE"/>
            </w:tcBorders>
            <w:shd w:val="clear" w:color="auto" w:fill="EEEEEE"/>
          </w:tcPr>
          <w:p>
            <w:pPr>
              <w:spacing w:after="0"/>
              <w:rPr>
                <w:sz w:val="21"/>
                <w:szCs w:val="21"/>
                <w:color w:val="auto"/>
              </w:rPr>
            </w:pPr>
          </w:p>
        </w:tc>
        <w:tc>
          <w:tcPr>
            <w:tcW w:w="1200" w:type="dxa"/>
            <w:vAlign w:val="bottom"/>
            <w:tcBorders>
              <w:bottom w:val="single" w:sz="8" w:color="EEEEEE"/>
            </w:tcBorders>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33,208</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EEEEEE"/>
            </w:tcBorders>
            <w:shd w:val="clear" w:color="auto" w:fill="EEEEEE"/>
          </w:tcPr>
          <w:p>
            <w:pPr>
              <w:spacing w:after="0"/>
              <w:rPr>
                <w:sz w:val="21"/>
                <w:szCs w:val="21"/>
                <w:color w:val="auto"/>
              </w:rPr>
            </w:pPr>
          </w:p>
        </w:tc>
        <w:tc>
          <w:tcPr>
            <w:tcW w:w="1240" w:type="dxa"/>
            <w:vAlign w:val="bottom"/>
            <w:tcBorders>
              <w:bottom w:val="single" w:sz="8" w:color="EEEEEE"/>
            </w:tcBorders>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bottom w:val="single" w:sz="8" w:color="EEEEEE"/>
            </w:tcBorders>
            <w:shd w:val="clear" w:color="auto" w:fill="EEEEEE"/>
          </w:tcPr>
          <w:p>
            <w:pPr>
              <w:spacing w:after="0"/>
              <w:rPr>
                <w:sz w:val="21"/>
                <w:szCs w:val="21"/>
                <w:color w:val="auto"/>
              </w:rPr>
            </w:pPr>
          </w:p>
        </w:tc>
        <w:tc>
          <w:tcPr>
            <w:tcW w:w="1220" w:type="dxa"/>
            <w:vAlign w:val="bottom"/>
            <w:tcBorders>
              <w:bottom w:val="single" w:sz="8" w:color="EEEEEE"/>
            </w:tcBorders>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EEEEEE"/>
            </w:tcBorders>
            <w:shd w:val="clear" w:color="auto" w:fill="EEEEEE"/>
          </w:tcPr>
          <w:p>
            <w:pPr>
              <w:spacing w:after="0"/>
              <w:rPr>
                <w:sz w:val="21"/>
                <w:szCs w:val="21"/>
                <w:color w:val="auto"/>
              </w:rPr>
            </w:pPr>
          </w:p>
        </w:tc>
        <w:tc>
          <w:tcPr>
            <w:tcW w:w="760" w:type="dxa"/>
            <w:vAlign w:val="bottom"/>
            <w:tcBorders>
              <w:bottom w:val="single" w:sz="8" w:color="EEEEEE"/>
            </w:tcBorders>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99"/>
              </w:rPr>
              <w:t>19</w:t>
            </w:r>
          </w:p>
        </w:tc>
        <w:tc>
          <w:tcPr>
            <w:tcW w:w="60" w:type="dxa"/>
            <w:vAlign w:val="bottom"/>
            <w:tcBorders>
              <w:bottom w:val="single" w:sz="8" w:color="EEEEEE"/>
            </w:tcBorders>
            <w:shd w:val="clear" w:color="auto" w:fill="EEEEEE"/>
          </w:tcPr>
          <w:p>
            <w:pPr>
              <w:spacing w:after="0"/>
              <w:rPr>
                <w:sz w:val="21"/>
                <w:szCs w:val="21"/>
                <w:color w:val="auto"/>
              </w:rPr>
            </w:pPr>
          </w:p>
        </w:tc>
      </w:tr>
      <w:tr>
        <w:trPr>
          <w:trHeight w:val="234"/>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133,881</w:t>
            </w:r>
          </w:p>
        </w:tc>
        <w:tc>
          <w:tcPr>
            <w:tcW w:w="100" w:type="dxa"/>
            <w:vAlign w:val="bottom"/>
          </w:tcPr>
          <w:p>
            <w:pPr>
              <w:spacing w:after="0"/>
              <w:rPr>
                <w:sz w:val="20"/>
                <w:szCs w:val="20"/>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84,120</w:t>
            </w:r>
          </w:p>
        </w:tc>
        <w:tc>
          <w:tcPr>
            <w:tcW w:w="12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42,801</w:t>
            </w:r>
          </w:p>
        </w:tc>
        <w:tc>
          <w:tcPr>
            <w:tcW w:w="10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0"/>
                <w:szCs w:val="20"/>
                <w:color w:val="auto"/>
              </w:rPr>
            </w:pP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6,926</w:t>
            </w:r>
          </w:p>
        </w:tc>
        <w:tc>
          <w:tcPr>
            <w:tcW w:w="100" w:type="dxa"/>
            <w:vAlign w:val="bottom"/>
          </w:tcPr>
          <w:p>
            <w:pPr>
              <w:spacing w:after="0"/>
              <w:rPr>
                <w:sz w:val="20"/>
                <w:szCs w:val="20"/>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14</w:t>
            </w:r>
          </w:p>
        </w:tc>
        <w:tc>
          <w:tcPr>
            <w:tcW w:w="60" w:type="dxa"/>
            <w:vAlign w:val="bottom"/>
          </w:tcPr>
          <w:p>
            <w:pPr>
              <w:spacing w:after="0"/>
              <w:rPr>
                <w:sz w:val="20"/>
                <w:szCs w:val="20"/>
                <w:color w:val="auto"/>
              </w:rPr>
            </w:pPr>
          </w:p>
        </w:tc>
      </w:tr>
      <w:tr>
        <w:trPr>
          <w:trHeight w:val="36"/>
        </w:trPr>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6"/>
        </w:trPr>
        <w:tc>
          <w:tcPr>
            <w:tcW w:w="120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121,531</w:t>
            </w: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95,240</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20,284</w:t>
            </w: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EEEEEE"/>
          </w:tcPr>
          <w:p>
            <w:pPr>
              <w:spacing w:after="0"/>
              <w:rPr>
                <w:sz w:val="18"/>
                <w:szCs w:val="18"/>
                <w:color w:val="auto"/>
              </w:rPr>
            </w:pPr>
          </w:p>
        </w:tc>
        <w:tc>
          <w:tcPr>
            <w:tcW w:w="76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shd w:val="clear" w:color="auto" w:fill="EEEEEE"/>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07"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For example, of the accounts granted extensions in 2012, 60.3% were either paid in full or active and performing at September 30, 2019.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0"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4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5,152</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10,460</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177,094</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174,425</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174,738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2.9%</w:t>
            </w:r>
          </w:p>
        </w:tc>
        <w:tc>
          <w:tcPr>
            <w:tcW w:w="1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6.0%</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_________________________</w:t>
            </w: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September 30, 2019</w:t>
            </w:r>
          </w:p>
        </w:tc>
        <w:tc>
          <w:tcPr>
            <w:tcW w:w="29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September 30, 2018</w:t>
            </w:r>
          </w:p>
        </w:tc>
        <w:tc>
          <w:tcPr>
            <w:tcW w:w="270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December 31, 2018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6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Contracts</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Amount</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Contracts</w:t>
            </w:r>
          </w:p>
        </w:tc>
        <w:tc>
          <w:tcPr>
            <w:tcW w:w="1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Contracts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tcBorders>
              <w:top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(Dollars in thousands)</w:t>
            </w: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w:t>
            </w:r>
          </w:p>
        </w:tc>
        <w:tc>
          <w:tcPr>
            <w:tcW w:w="15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26,120</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351,019</w:t>
            </w:r>
          </w:p>
        </w:tc>
        <w:tc>
          <w:tcPr>
            <w:tcW w:w="14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28,176</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374,711</w:t>
            </w: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27,991</w:t>
            </w:r>
          </w:p>
        </w:tc>
        <w:tc>
          <w:tcPr>
            <w:tcW w:w="340" w:type="dxa"/>
            <w:vAlign w:val="bottom"/>
            <w:gridSpan w:val="2"/>
            <w:shd w:val="clear" w:color="auto" w:fill="EEEEEE"/>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two extensions</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17,816</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228,337</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21,294</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285,741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three extensions</w:t>
            </w: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187,088</w:t>
            </w:r>
          </w:p>
        </w:tc>
        <w:tc>
          <w:tcPr>
            <w:tcW w:w="14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17,435</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237,743</w:t>
            </w: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17,210</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four extensions</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12,372</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157,264</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13,152</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180,657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five extensions</w:t>
            </w:r>
          </w:p>
        </w:tc>
        <w:tc>
          <w:tcPr>
            <w:tcW w:w="15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8,507</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104,396</w:t>
            </w: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114,061</w:t>
            </w: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9,189</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121,836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six extensions</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5,311</w:t>
            </w: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61,201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60,041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84,737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1,089,305</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93,366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1,252,954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93,914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1,254,602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Managed portfolio (excluding</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originated and owned by 3rd</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parties)</w:t>
            </w:r>
          </w:p>
        </w:tc>
        <w:tc>
          <w:tcPr>
            <w:tcW w:w="15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177,575</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2,412,638</w:t>
            </w:r>
          </w:p>
        </w:tc>
        <w:tc>
          <w:tcPr>
            <w:tcW w:w="360" w:type="dxa"/>
            <w:vAlign w:val="bottom"/>
            <w:shd w:val="clear" w:color="auto" w:fill="EEEEEE"/>
          </w:tcPr>
          <w:p>
            <w:pPr>
              <w:spacing w:after="0"/>
              <w:rPr>
                <w:sz w:val="20"/>
                <w:szCs w:val="20"/>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174,584</w:t>
            </w: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2,342,889</w:t>
            </w: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176,042</w:t>
            </w:r>
          </w:p>
        </w:tc>
        <w:tc>
          <w:tcPr>
            <w:tcW w:w="340" w:type="dxa"/>
            <w:vAlign w:val="bottom"/>
            <w:gridSpan w:val="2"/>
            <w:shd w:val="clear" w:color="auto" w:fill="EEEEEE"/>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2,380,847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05"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In recent years, we have experienced an increase in the number of extensions that we grant to our customers. We attribute this to a number of factors. First, in June 2014 we entered into a consent decree with the FTC that required us to make certain procedural changes in our servicing practices, which we believe have contributed to somewhat higher delinquencies and extensions compared to prior periods. Secondly, in recent years we have found it more difficult to communicate with our customers via outbound voice telephone calls, which have historically been our primary means of communicating with our customers. Consequently, we have recently developed text messaging platforms to supplement our outbound voice calling efforts. In addition, in 2016 we added features to the customer portal of our website to facilitate the process whereby the customer may request an extension. Since January of 2019, we have attempted to reduce extensions by working with our servicing staff to be more selective in granting extensions including, where appropriate, to exhaust all possibilities of payment by the customer before granting an extension.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84"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41" w:name="page42"/>
    <w:bookmarkEnd w:id="41"/>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86"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nine-month period ended September 30, 2019 was $170.0 million, an increase of $11.4 million, compared to net cash provided by operating activities for the nine-month period ended September 30, 2018 of $158.6 million. Net cash from operating activities is generally provided by net income from operations adjusted for significant non-cash items such as our provision for credit losses and interest accretion on fair value receivables.</w:t>
      </w:r>
    </w:p>
    <w:p>
      <w:pPr>
        <w:spacing w:after="0" w:line="180"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nine-month period ended September 30, 2019 was $177.7 million compared to net cash used in investing activities of $157.7 million in the prior year period. Cash provided by investing activities primarily results from principal payments and other proceeds received on finance receivables. Cash used in investing activities generally relates to purchases of automobile contracts. Purchases of finance receivables excluding acquisition fees were $755.3 million and $650.6 million during the first nine months of 2019 and 2018, respectively.</w:t>
      </w:r>
    </w:p>
    <w:p>
      <w:pPr>
        <w:spacing w:after="0" w:line="180"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2019 was $14.9 million compared to net cash used in financing activities of $4.6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2019, we issued $726.2 million in new securitization trust debt compared to $622.1 million in the same period of 2018. We repaid $723.2 million in securitization trust debt in the nine months ended September 30, 2019 compared to repayments of securitization trust debt of $671.7 million in the prior year period. In the nine months ended September 30, 2019, we had net advances on warehouse lines of credit of $20.9 million, compared to net advances of $15.0 million in the prior year’s period. On May 16, 2018, we completed a $40.0 million securitization of residual interests from previously issued securitizations.</w:t>
      </w:r>
    </w:p>
    <w:p>
      <w:pPr>
        <w:spacing w:after="0" w:line="18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2" w:name="page43"/>
    <w:bookmarkEnd w:id="42"/>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4"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September 30, 2019, we had unrestricted cash of $8.8 million and $142.8 million aggregate available borrowings under our three warehouse credit facilities (assuming the availability of sufficient eligible collateral). As of September 30, 2019, we had approximately $19.7 million of such eligible collateral. During the nine-month period ended September 30, 2019, we completed three securitizations aggregating $726.2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89"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8"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2019, we were in compliance with all such financial covenants.</w:t>
      </w:r>
    </w:p>
    <w:p>
      <w:pPr>
        <w:spacing w:after="0" w:line="184"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September 30, 2019, we had approximately $2,279.1 million of debt outstanding. Such debt consisted primarily of $2,066.5 million of securitization trust debt and $157.8 million of debt from warehouse lines of credit. Our securitization trust debt has increased by $32.2 million while our warehouse lines of credit debt has increased by $30.1 million since September 30, 2018 (each net of deferred financing costs). Since 2005, we have offered renewable subordinated notes to the public on a continuous basis, and such notes have maturities that range from six months to 10 years. We had $15.5 million and $16.9 million in subordinated renewable notes outstanding at September 30, 2019 and 2018, respectively. On May 16, 2018, we completed a $40.0 million securitization of residual interests from previously issued securitizations. At September 30, 2019, $40.0 million of this residual interest financing debt remains outstanding ($39.4 million net of deferred financing costs).</w:t>
      </w:r>
    </w:p>
    <w:p>
      <w:pPr>
        <w:spacing w:after="0" w:line="18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13, 2019.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September 30, 2019, we had approximately $2,279.1 million of debt outstanding. Such debt consisted primarily of $2,066.5 million of securitization trust debt and $157.8 million of debt from warehouse lines of credit. Our securitization trust debt has increased by $32.2 million while our warehouse lines of credit debt has increased by $30.1 million since September 30, 2018 (each net of deferred financing costs). Since 2005, we have offered renewable subordinated notes to the public on a continuous basis, and such notes have maturities that range from six months to 10 years. We had $15.5 million and $16.9 million in subordinated renewable notes outstanding at September 30, 2019 and 2018, respectively. On May 16, 2018, we completed a $40.0 million securitization of residual interests from previously issued securitizations. At September 30, 2019, $40.0 million of this residual interest financing debt remains outstanding ($39.4 million net of deferred financing costs). Our substantial indebtedness could adversely affect our financial condition by, among other things:</w:t>
      </w:r>
    </w:p>
    <w:p>
      <w:pPr>
        <w:spacing w:after="0" w:line="185" w:lineRule="exact"/>
        <w:rPr>
          <w:sz w:val="20"/>
          <w:szCs w:val="20"/>
          <w:color w:val="auto"/>
        </w:rPr>
      </w:pPr>
    </w:p>
    <w:p>
      <w:pPr>
        <w:ind w:left="780" w:hanging="259"/>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63" w:lineRule="exact"/>
        <w:rPr>
          <w:rFonts w:ascii="Times New Roman" w:cs="Times New Roman" w:eastAsia="Times New Roman" w:hAnsi="Times New Roman"/>
          <w:sz w:val="18"/>
          <w:szCs w:val="18"/>
          <w:color w:val="auto"/>
        </w:rPr>
      </w:pPr>
    </w:p>
    <w:p>
      <w:pPr>
        <w:ind w:left="780" w:hanging="259"/>
        <w:spacing w:after="0" w:line="281"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63"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63"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8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obtain necessary financing, and the terms of any such financing;</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especially as applicable to securitization trust debt;</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future provisioning for receivables losses;</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actual losses on receivables; and</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w:t>
      </w:r>
    </w:p>
    <w:p>
      <w:pPr>
        <w:spacing w:after="0" w:line="22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0"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2019, we did not repurchase shares in the open market.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July 2019</w:t>
            </w:r>
          </w:p>
        </w:tc>
        <w:tc>
          <w:tcPr>
            <w:tcW w:w="12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EEEEEE"/>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gridSpan w:val="3"/>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6,144,520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2019</w:t>
            </w:r>
          </w:p>
        </w:tc>
        <w:tc>
          <w:tcPr>
            <w:tcW w:w="120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6,144,520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September 2019</w:t>
            </w:r>
          </w:p>
        </w:tc>
        <w:tc>
          <w:tcPr>
            <w:tcW w:w="12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EEEEEE"/>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gridSpan w:val="3"/>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6,144,520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9"/>
                <w:szCs w:val="19"/>
                <w:color w:val="auto"/>
              </w:rPr>
            </w:pPr>
          </w:p>
        </w:tc>
        <w:tc>
          <w:tcPr>
            <w:tcW w:w="18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80" w:hanging="448"/>
        <w:spacing w:after="0"/>
        <w:tabs>
          <w:tab w:leader="none" w:pos="78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9" w:lineRule="exact"/>
        <w:rPr>
          <w:rFonts w:ascii="Times New Roman" w:cs="Times New Roman" w:eastAsia="Times New Roman" w:hAnsi="Times New Roman"/>
          <w:sz w:val="18"/>
          <w:szCs w:val="18"/>
          <w:i w:val="1"/>
          <w:iCs w:val="1"/>
          <w:color w:val="auto"/>
        </w:rPr>
      </w:pPr>
    </w:p>
    <w:p>
      <w:pPr>
        <w:jc w:val="both"/>
        <w:ind w:left="780" w:hanging="448"/>
        <w:spacing w:after="0" w:line="255" w:lineRule="auto"/>
        <w:tabs>
          <w:tab w:leader="none" w:pos="78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September 30, 2019, our board of directors had authorized the purchase of up to $74.5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5"/>
              </w:rPr>
              <w:t>4.14</w:t>
            </w: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Instruments defining the rights of holders of long-term debt of certain consolidated subsidiaries of the registrant are omitted pursuant to the</w:t>
            </w:r>
          </w:p>
        </w:tc>
      </w:tr>
      <w:tr>
        <w:trPr>
          <w:trHeight w:val="216"/>
        </w:trPr>
        <w:tc>
          <w:tcPr>
            <w:tcW w:w="13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exclusion set forth in subdivisions (b)(iv)(iii)(A) and (b)(v) of Item 601 of Regulation S-K (17 CFR 229.601).  The registrant agrees to</w:t>
            </w:r>
          </w:p>
        </w:tc>
      </w:tr>
      <w:tr>
        <w:trPr>
          <w:trHeight w:val="216"/>
        </w:trPr>
        <w:tc>
          <w:tcPr>
            <w:tcW w:w="13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 copies of such instruments to the United States Securities and Exchange Commission upon request.</w:t>
            </w:r>
          </w:p>
        </w:tc>
      </w:tr>
      <w:tr>
        <w:trPr>
          <w:trHeight w:val="194"/>
        </w:trPr>
        <w:tc>
          <w:tcPr>
            <w:tcW w:w="1380" w:type="dxa"/>
            <w:vAlign w:val="bottom"/>
          </w:tcPr>
          <w:p>
            <w:pPr>
              <w:jc w:val="right"/>
              <w:ind w:right="970"/>
              <w:spacing w:after="0" w:line="194" w:lineRule="exact"/>
              <w:rPr>
                <w:sz w:val="20"/>
                <w:szCs w:val="20"/>
                <w:color w:val="auto"/>
              </w:rPr>
            </w:pPr>
            <w:r>
              <w:rPr>
                <w:rFonts w:ascii="Times New Roman" w:cs="Times New Roman" w:eastAsia="Times New Roman" w:hAnsi="Times New Roman"/>
                <w:sz w:val="18"/>
                <w:szCs w:val="18"/>
                <w:color w:val="auto"/>
                <w:w w:val="95"/>
              </w:rPr>
              <w:t>31.1</w:t>
            </w:r>
          </w:p>
        </w:tc>
        <w:tc>
          <w:tcPr>
            <w:tcW w:w="10040" w:type="dxa"/>
            <w:vAlign w:val="bottom"/>
            <w:gridSpan w:val="3"/>
          </w:tcPr>
          <w:p>
            <w:pPr>
              <w:spacing w:after="0" w:line="194"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Rule 13a-14(a) Certification of the Chief Executive Officer of the registrant.</w:t>
              </w:r>
            </w:hyperlink>
          </w:p>
        </w:tc>
      </w:tr>
      <w:tr>
        <w:trPr>
          <w:trHeight w:val="196"/>
        </w:trPr>
        <w:tc>
          <w:tcPr>
            <w:tcW w:w="1380" w:type="dxa"/>
            <w:vAlign w:val="bottom"/>
          </w:tcPr>
          <w:p>
            <w:pPr>
              <w:jc w:val="right"/>
              <w:ind w:right="97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5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Rule 13a-14(a) Certification of the Chief Financial Officer of the registrant.</w:t>
              </w:r>
            </w:hyperlink>
          </w:p>
        </w:tc>
        <w:tc>
          <w:tcPr>
            <w:tcW w:w="40" w:type="dxa"/>
            <w:vAlign w:val="bottom"/>
            <w:tcBorders>
              <w:top w:val="single" w:sz="8" w:color="0000EE"/>
            </w:tcBorders>
          </w:tcPr>
          <w:p>
            <w:pPr>
              <w:spacing w:after="0"/>
              <w:rPr>
                <w:sz w:val="17"/>
                <w:szCs w:val="17"/>
                <w:color w:val="auto"/>
              </w:rPr>
            </w:pPr>
          </w:p>
        </w:tc>
        <w:tc>
          <w:tcPr>
            <w:tcW w:w="4540" w:type="dxa"/>
            <w:vAlign w:val="bottom"/>
          </w:tcPr>
          <w:p>
            <w:pPr>
              <w:spacing w:after="0"/>
              <w:rPr>
                <w:sz w:val="17"/>
                <w:szCs w:val="17"/>
                <w:color w:val="auto"/>
              </w:rPr>
            </w:pPr>
          </w:p>
        </w:tc>
      </w:tr>
    </w:tbl>
    <w:p>
      <w:pPr>
        <w:spacing w:after="0" w:line="9" w:lineRule="exact"/>
        <w:rPr>
          <w:sz w:val="20"/>
          <w:szCs w:val="20"/>
          <w:color w:val="auto"/>
        </w:rPr>
      </w:pPr>
    </w:p>
    <w:p>
      <w:pPr>
        <w:ind w:left="1380" w:hanging="1372"/>
        <w:spacing w:after="0"/>
        <w:tabs>
          <w:tab w:leader="none" w:pos="1380" w:val="left"/>
        </w:tabs>
        <w:numPr>
          <w:ilvl w:val="0"/>
          <w:numId w:val="18"/>
        </w:numPr>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u w:val="single" w:color="auto"/>
            <w:color w:val="0000EE"/>
          </w:rPr>
          <w:t>Section 1350 Certifications.</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00EE"/>
        </w:rPr>
      </w:pPr>
    </w:p>
    <w:p>
      <w:pPr>
        <w:jc w:val="both"/>
        <w:ind w:left="260" w:firstLine="311"/>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2019</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-7620</wp:posOffset>
            </wp:positionV>
            <wp:extent cx="19157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15795"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6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6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2019</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-7620</wp:posOffset>
            </wp:positionV>
            <wp:extent cx="1917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17700"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Jeffrey P. Fritz</w:t>
      </w:r>
    </w:p>
    <w:p>
      <w:pPr>
        <w:spacing w:after="0" w:line="6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6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8" w:name="page49"/>
    <w:bookmarkEnd w:id="48"/>
    <w:p>
      <w:pPr>
        <w:ind w:left="104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2019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9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1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2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158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1584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 Chief Executive Officer</w:t>
      </w:r>
    </w:p>
    <w:p>
      <w:pPr>
        <w:sectPr>
          <w:pgSz w:w="11900" w:h="16838" w:orient="portrait"/>
          <w:cols w:equalWidth="0" w:num="1">
            <w:col w:w="11420"/>
          </w:cols>
          <w:pgMar w:left="240" w:top="117" w:right="239" w:bottom="1440" w:gutter="0" w:footer="0" w:header="0"/>
        </w:sectPr>
      </w:pPr>
    </w:p>
    <w:bookmarkStart w:id="49" w:name="page50"/>
    <w:bookmarkEnd w:id="49"/>
    <w:p>
      <w:pPr>
        <w:ind w:left="104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2019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1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2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462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462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P. Fritz, Chief Financial Officer</w:t>
      </w:r>
    </w:p>
    <w:p>
      <w:pPr>
        <w:sectPr>
          <w:pgSz w:w="11900" w:h="16838" w:orient="portrait"/>
          <w:cols w:equalWidth="0" w:num="1">
            <w:col w:w="11420"/>
          </w:cols>
          <w:pgMar w:left="240" w:top="117"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September 30, 2019,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1040" w:hanging="34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40" w:hanging="34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443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443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176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76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P. Fritz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32"/>
    </w:lvl>
    <w:lvl w:ilvl="1">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2019-12-28T01:40:30Z</dcterms:created>
  <dcterms:modified xsi:type="dcterms:W3CDTF">2019-12-28T01:40:30Z</dcterms:modified>
</cp:coreProperties>
</file>