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jc w:val="center"/>
        <w:ind w:right="40"/>
        <w:spacing w:after="0" w:line="235" w:lineRule="auto"/>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13" w:lineRule="exact"/>
        <w:rPr>
          <w:sz w:val="24"/>
          <w:szCs w:val="24"/>
          <w:color w:val="auto"/>
        </w:rPr>
      </w:pPr>
    </w:p>
    <w:p>
      <w:pPr>
        <w:ind w:left="3820" w:right="1520" w:hanging="3812"/>
        <w:spacing w:after="0" w:line="486" w:lineRule="auto"/>
        <w:tabs>
          <w:tab w:leader="none" w:pos="58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2023</w:t>
      </w:r>
    </w:p>
    <w:p>
      <w:pPr>
        <w:spacing w:after="0" w:line="26" w:lineRule="exact"/>
        <w:rPr>
          <w:sz w:val="24"/>
          <w:szCs w:val="24"/>
          <w:color w:val="auto"/>
        </w:rPr>
      </w:pPr>
    </w:p>
    <w:p>
      <w:pPr>
        <w:ind w:left="3520" w:right="1500" w:hanging="3512"/>
        <w:spacing w:after="0" w:line="500" w:lineRule="auto"/>
        <w:tabs>
          <w:tab w:leader="none" w:pos="57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 to __________</w:t>
      </w:r>
    </w:p>
    <w:p>
      <w:pPr>
        <w:spacing w:after="0" w:line="1" w:lineRule="exact"/>
        <w:rPr>
          <w:rFonts w:ascii="MS PGothic" w:cs="MS PGothic" w:eastAsia="MS PGothic" w:hAnsi="MS PGothic"/>
          <w:sz w:val="18"/>
          <w:szCs w:val="18"/>
          <w:color w:val="auto"/>
          <w:highlight w:val="black"/>
        </w:rPr>
      </w:pPr>
    </w:p>
    <w:p>
      <w:pPr>
        <w:ind w:left="43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1-11416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CONSUMER PORTFOLIO SERVICES,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8"/>
              </w:rPr>
              <w:t>California</w:t>
            </w:r>
          </w:p>
        </w:tc>
        <w:tc>
          <w:tcPr>
            <w:tcW w:w="36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33-0459135</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3800 Howard Hughes Parkway, Suite 1400,</w:t>
            </w:r>
          </w:p>
        </w:tc>
        <w:tc>
          <w:tcPr>
            <w:tcW w:w="3600" w:type="dxa"/>
            <w:vAlign w:val="bottom"/>
          </w:tcPr>
          <w:p>
            <w:pPr>
              <w:spacing w:after="0"/>
              <w:rPr>
                <w:sz w:val="24"/>
                <w:szCs w:val="24"/>
                <w:color w:val="auto"/>
              </w:rPr>
            </w:pPr>
          </w:p>
        </w:tc>
      </w:tr>
      <w:tr>
        <w:trPr>
          <w:trHeight w:val="216"/>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Las Vegas, Nevada</w:t>
            </w:r>
          </w:p>
        </w:tc>
        <w:tc>
          <w:tcPr>
            <w:tcW w:w="36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89169</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753-6800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 N/A</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2"/>
        </w:trPr>
        <w:tc>
          <w:tcPr>
            <w:tcW w:w="1180" w:type="dxa"/>
            <w:vAlign w:val="bottom"/>
          </w:tcPr>
          <w:p>
            <w:pPr>
              <w:spacing w:after="0"/>
              <w:rPr>
                <w:sz w:val="24"/>
                <w:szCs w:val="24"/>
                <w:color w:val="auto"/>
              </w:rPr>
            </w:pPr>
          </w:p>
        </w:tc>
        <w:tc>
          <w:tcPr>
            <w:tcW w:w="3420" w:type="dxa"/>
            <w:vAlign w:val="bottom"/>
            <w:gridSpan w:val="2"/>
          </w:tcPr>
          <w:p>
            <w:pPr>
              <w:jc w:val="center"/>
              <w:ind w:right="206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Trading Symbol</w:t>
            </w:r>
          </w:p>
        </w:tc>
        <w:tc>
          <w:tcPr>
            <w:tcW w:w="840" w:type="dxa"/>
            <w:vAlign w:val="bottom"/>
          </w:tcPr>
          <w:p>
            <w:pPr>
              <w:spacing w:after="0"/>
              <w:rPr>
                <w:sz w:val="24"/>
                <w:szCs w:val="24"/>
                <w:color w:val="auto"/>
              </w:rPr>
            </w:pP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1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6"/>
        </w:trPr>
        <w:tc>
          <w:tcPr>
            <w:tcW w:w="46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440" w:type="dxa"/>
            <w:vAlign w:val="bottom"/>
          </w:tcPr>
          <w:p>
            <w:pPr>
              <w:spacing w:after="0"/>
              <w:rPr>
                <w:sz w:val="20"/>
                <w:szCs w:val="20"/>
                <w:color w:val="auto"/>
              </w:rPr>
            </w:pPr>
          </w:p>
        </w:tc>
        <w:tc>
          <w:tcPr>
            <w:tcW w:w="184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CPSS</w:t>
            </w:r>
          </w:p>
        </w:tc>
        <w:tc>
          <w:tcPr>
            <w:tcW w:w="43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The NASDAQ Stock Market LLC (Global Market)</w:t>
            </w:r>
          </w:p>
        </w:tc>
      </w:tr>
    </w:tbl>
    <w:p>
      <w:pPr>
        <w:spacing w:after="0" w:line="198" w:lineRule="exact"/>
        <w:rPr>
          <w:sz w:val="24"/>
          <w:szCs w:val="24"/>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ectPr>
          <w:pgSz w:w="11900" w:h="16838" w:orient="portrait"/>
          <w:cols w:equalWidth="0" w:num="1">
            <w:col w:w="11240"/>
          </w:cols>
          <w:pgMar w:left="320" w:top="229" w:right="339" w:bottom="1440" w:gutter="0" w:footer="0" w:header="0"/>
        </w:sectPr>
      </w:pPr>
    </w:p>
    <w:p>
      <w:pPr>
        <w:spacing w:after="0" w:line="133" w:lineRule="exact"/>
        <w:rPr>
          <w:sz w:val="24"/>
          <w:szCs w:val="24"/>
          <w:color w:val="auto"/>
        </w:rPr>
      </w:pPr>
    </w:p>
    <w:p>
      <w:pPr>
        <w:jc w:val="center"/>
        <w:ind w:right="9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9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jc w:val="center"/>
        <w:ind w:right="9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jc w:val="center"/>
        <w:ind w:right="168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168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03" w:lineRule="exact"/>
        <w:rPr>
          <w:sz w:val="24"/>
          <w:szCs w:val="24"/>
          <w:color w:val="auto"/>
        </w:rPr>
      </w:pPr>
    </w:p>
    <w:p>
      <w:pPr>
        <w:sectPr>
          <w:pgSz w:w="11900" w:h="16838" w:orient="portrait"/>
          <w:cols w:equalWidth="0" w:num="2">
            <w:col w:w="6580" w:space="720"/>
            <w:col w:w="3940"/>
          </w:cols>
          <w:pgMar w:left="320" w:top="229"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5, 2023 the registrant had 20,777,911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3440" w:type="dxa"/>
            <w:vAlign w:val="bottom"/>
            <w:gridSpan w:val="7"/>
            <w:vMerge w:val="restart"/>
          </w:tcPr>
          <w:p>
            <w:pPr>
              <w:spacing w:after="0"/>
              <w:rPr>
                <w:sz w:val="17"/>
                <w:szCs w:val="17"/>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60" w:type="dxa"/>
            <w:vAlign w:val="bottom"/>
            <w:tcBorders>
              <w:bottom w:val="single" w:sz="8" w:color="0000EE"/>
            </w:tcBorders>
            <w:gridSpan w:val="5"/>
            <w:vMerge w:val="continue"/>
          </w:tcPr>
          <w:p>
            <w:pPr>
              <w:spacing w:after="0"/>
              <w:rPr>
                <w:sz w:val="17"/>
                <w:szCs w:val="17"/>
                <w:color w:val="auto"/>
              </w:rPr>
            </w:pPr>
          </w:p>
        </w:tc>
        <w:tc>
          <w:tcPr>
            <w:tcW w:w="3440" w:type="dxa"/>
            <w:vAlign w:val="bottom"/>
            <w:gridSpan w:val="7"/>
            <w:vMerge w:val="continue"/>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7840" w:type="dxa"/>
            <w:vAlign w:val="bottom"/>
            <w:gridSpan w:val="14"/>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Balance Sheets as of March 31, 2023 and December 31, 2022</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860" w:type="dxa"/>
            <w:vAlign w:val="bottom"/>
            <w:tcBorders>
              <w:bottom w:val="single" w:sz="8" w:color="0000EE"/>
            </w:tcBorders>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for the three-month periods ended March 31, 2023 and 2022</w:t>
            </w:r>
          </w:p>
        </w:tc>
        <w:tc>
          <w:tcPr>
            <w:tcW w:w="500" w:type="dxa"/>
            <w:vAlign w:val="bottom"/>
            <w:gridSpan w:val="4"/>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Comprehensive Income for the three-month periods ended March 31, 2023</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6"/>
              </w:rPr>
              <w:t>and 2022</w:t>
            </w:r>
          </w:p>
        </w:tc>
        <w:tc>
          <w:tcPr>
            <w:tcW w:w="8380" w:type="dxa"/>
            <w:vAlign w:val="bottom"/>
            <w:tcBorders>
              <w:top w:val="single" w:sz="8" w:color="0000EE"/>
            </w:tcBorders>
            <w:gridSpan w:val="17"/>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three-month periods ended March 31, 2023 and 2022</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880" w:type="dxa"/>
            <w:vAlign w:val="bottom"/>
            <w:tcBorders>
              <w:top w:val="single" w:sz="8" w:color="0000EE"/>
              <w:bottom w:val="single" w:sz="8" w:color="0000EE"/>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Shareholders’ Equity for the three-month periods ended March 31, 2023</w:t>
            </w:r>
          </w:p>
        </w:tc>
        <w:tc>
          <w:tcPr>
            <w:tcW w:w="20" w:type="dxa"/>
            <w:vAlign w:val="bottom"/>
            <w:tcBorders>
              <w:top w:val="single" w:sz="8" w:color="0000EE"/>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8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6"/>
              </w:rPr>
              <w:t>and 2022</w:t>
            </w:r>
          </w:p>
        </w:tc>
        <w:tc>
          <w:tcPr>
            <w:tcW w:w="8680" w:type="dxa"/>
            <w:vAlign w:val="bottom"/>
            <w:gridSpan w:val="18"/>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4800" w:type="dxa"/>
            <w:vAlign w:val="bottom"/>
            <w:tcBorders>
              <w:bottom w:val="single" w:sz="8" w:color="0000EE"/>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4560" w:type="dxa"/>
            <w:vAlign w:val="bottom"/>
            <w:gridSpan w:val="9"/>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6460" w:type="dxa"/>
            <w:vAlign w:val="bottom"/>
            <w:tcBorders>
              <w:top w:val="single" w:sz="8" w:color="0000EE"/>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900" w:type="dxa"/>
            <w:vAlign w:val="bottom"/>
            <w:gridSpan w:val="6"/>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11"/>
          </w:tcPr>
          <w:p>
            <w:pPr>
              <w:jc w:val="center"/>
              <w:ind w:right="360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0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EE"/>
              </w:rPr>
              <w:t>Legal Proceedings</w:t>
            </w:r>
          </w:p>
        </w:tc>
        <w:tc>
          <w:tcPr>
            <w:tcW w:w="2760" w:type="dxa"/>
            <w:vAlign w:val="bottom"/>
            <w:tcBorders>
              <w:top w:val="single" w:sz="8" w:color="0000EE"/>
            </w:tcBorders>
            <w:gridSpan w:val="3"/>
          </w:tcPr>
          <w:p>
            <w:pPr>
              <w:spacing w:after="0"/>
              <w:rPr>
                <w:sz w:val="24"/>
                <w:szCs w:val="24"/>
                <w:color w:val="auto"/>
              </w:rPr>
            </w:pPr>
          </w:p>
        </w:tc>
        <w:tc>
          <w:tcPr>
            <w:tcW w:w="3600" w:type="dxa"/>
            <w:vAlign w:val="bottom"/>
            <w:gridSpan w:val="8"/>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tcPr>
          <w:p>
            <w:pPr>
              <w:spacing w:after="0"/>
              <w:rPr>
                <w:sz w:val="17"/>
                <w:szCs w:val="17"/>
                <w:color w:val="auto"/>
              </w:rPr>
            </w:pPr>
          </w:p>
        </w:tc>
        <w:tc>
          <w:tcPr>
            <w:tcW w:w="8020" w:type="dxa"/>
            <w:vAlign w:val="bottom"/>
            <w:gridSpan w:val="15"/>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000" w:type="dxa"/>
            <w:vAlign w:val="bottom"/>
            <w:gridSpan w:val="10"/>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60" w:type="dxa"/>
            <w:vAlign w:val="bottom"/>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0" w:type="dxa"/>
            <w:vAlign w:val="bottom"/>
            <w:gridSpan w:val="1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24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3"/>
          </w:tcPr>
          <w:p>
            <w:pPr>
              <w:spacing w:after="0"/>
              <w:rPr>
                <w:sz w:val="24"/>
                <w:szCs w:val="24"/>
                <w:color w:val="auto"/>
              </w:rPr>
            </w:pPr>
          </w:p>
        </w:tc>
        <w:tc>
          <w:tcPr>
            <w:tcW w:w="4040" w:type="dxa"/>
            <w:vAlign w:val="bottom"/>
            <w:tcBorders>
              <w:bottom w:val="single" w:sz="8" w:color="auto"/>
            </w:tcBorders>
            <w:gridSpan w:val="8"/>
          </w:tcPr>
          <w:p>
            <w:pPr>
              <w:jc w:val="center"/>
              <w:ind w:left="3130"/>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4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EEEEE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EEEEEE"/>
            </w:tcBorders>
          </w:tcPr>
          <w:p>
            <w:pPr>
              <w:spacing w:after="0"/>
              <w:rPr>
                <w:sz w:val="20"/>
                <w:szCs w:val="20"/>
                <w:color w:val="auto"/>
              </w:rPr>
            </w:pPr>
          </w:p>
        </w:tc>
      </w:tr>
      <w:tr>
        <w:trPr>
          <w:trHeight w:val="209"/>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10,188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13,490</w:t>
            </w: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158,895</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149,299</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2,575,117</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2,476,617</w:t>
            </w:r>
          </w:p>
        </w:tc>
      </w:tr>
      <w:tr>
        <w:trPr>
          <w:trHeight w:val="216"/>
        </w:trPr>
        <w:tc>
          <w:tcPr>
            <w:tcW w:w="74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69,533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92,304</w:t>
            </w:r>
          </w:p>
        </w:tc>
      </w:tr>
      <w:tr>
        <w:trPr>
          <w:trHeight w:val="229"/>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Allowance for finance credit losses</w:t>
            </w: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(14,728)</w:t>
            </w:r>
          </w:p>
        </w:tc>
        <w:tc>
          <w:tcPr>
            <w:tcW w:w="2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(21,753)</w:t>
            </w: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54,805</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70,551</w:t>
            </w:r>
          </w:p>
        </w:tc>
        <w:tc>
          <w:tcPr>
            <w:tcW w:w="100" w:type="dxa"/>
            <w:vAlign w:val="bottom"/>
          </w:tcPr>
          <w:p>
            <w:pPr>
              <w:spacing w:after="0"/>
              <w:rPr>
                <w:sz w:val="18"/>
                <w:szCs w:val="18"/>
                <w:color w:val="auto"/>
              </w:rPr>
            </w:pPr>
          </w:p>
        </w:tc>
      </w:tr>
      <w:tr>
        <w:trPr>
          <w:trHeight w:val="216"/>
        </w:trPr>
        <w:tc>
          <w:tcPr>
            <w:tcW w:w="74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1,660</w:t>
            </w: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9,792</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10,177</w:t>
            </w: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26,362</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30,974</w:t>
            </w:r>
          </w:p>
        </w:tc>
      </w:tr>
      <w:tr>
        <w:trPr>
          <w:trHeight w:val="223"/>
        </w:trPr>
        <w:tc>
          <w:tcPr>
            <w:tcW w:w="74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2,836,622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2,752,768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80" w:type="dxa"/>
            <w:vAlign w:val="bottom"/>
            <w:gridSpan w:val="2"/>
            <w:shd w:val="clear" w:color="auto" w:fill="EEEEEE"/>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59,825</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55,421</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285,809</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285,328</w:t>
            </w: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49,686</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49,623</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2,175,068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2,108,744</w:t>
            </w:r>
          </w:p>
        </w:tc>
      </w:tr>
      <w:tr>
        <w:trPr>
          <w:trHeight w:val="230"/>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23,443</w:t>
            </w:r>
          </w:p>
        </w:tc>
        <w:tc>
          <w:tcPr>
            <w:tcW w:w="2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25,263</w:t>
            </w:r>
          </w:p>
        </w:tc>
      </w:tr>
      <w:tr>
        <w:trPr>
          <w:trHeight w:val="209"/>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2,593,831</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2,524,379</w:t>
            </w:r>
          </w:p>
        </w:tc>
        <w:tc>
          <w:tcPr>
            <w:tcW w:w="100" w:type="dxa"/>
            <w:vAlign w:val="bottom"/>
          </w:tcPr>
          <w:p>
            <w:pPr>
              <w:spacing w:after="0"/>
              <w:rPr>
                <w:sz w:val="18"/>
                <w:szCs w:val="18"/>
                <w:color w:val="auto"/>
              </w:rPr>
            </w:pP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Preferred stock, $1 par value; authorized 4,998,130 shares; none issued</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stock, $1 par value; authorized 5,000,000 shares; none issued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Series B preferred stock, $1 par value; authorized 1,870 shares; none issued</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75,000,000 shares; 20,496,144 and 20,131,323 shares issued</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at March 31, 2023 and December 31, 2022, respectively</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29,485</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28,906</w:t>
            </w: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216,337</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202,514</w:t>
            </w: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(3,031)</w:t>
            </w:r>
          </w:p>
        </w:tc>
        <w:tc>
          <w:tcPr>
            <w:tcW w:w="2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(3,031)</w:t>
            </w:r>
          </w:p>
        </w:tc>
      </w:tr>
      <w:tr>
        <w:trPr>
          <w:trHeight w:val="210"/>
        </w:trPr>
        <w:tc>
          <w:tcPr>
            <w:tcW w:w="74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242,791</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228,389</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744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23"/>
        </w:trPr>
        <w:tc>
          <w:tcPr>
            <w:tcW w:w="744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2,836,622</w:t>
            </w:r>
          </w:p>
        </w:tc>
        <w:tc>
          <w:tcPr>
            <w:tcW w:w="22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2,752,768</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OPERATIONS (In thousands, except per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00" w:type="dxa"/>
            <w:vAlign w:val="bottom"/>
            <w:gridSpan w:val="5"/>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8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00" w:type="dxa"/>
            <w:vAlign w:val="bottom"/>
            <w:tcBorders>
              <w:bottom w:val="single" w:sz="8" w:color="EEEEEE"/>
            </w:tcBorders>
          </w:tcPr>
          <w:p>
            <w:pPr>
              <w:spacing w:after="0"/>
              <w:rPr>
                <w:sz w:val="19"/>
                <w:szCs w:val="19"/>
                <w:color w:val="auto"/>
              </w:rPr>
            </w:pPr>
          </w:p>
        </w:tc>
        <w:tc>
          <w:tcPr>
            <w:tcW w:w="176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EEEEEE"/>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EEEEEE"/>
            </w:tcBorders>
          </w:tcPr>
          <w:p>
            <w:pPr>
              <w:spacing w:after="0"/>
              <w:rPr>
                <w:sz w:val="19"/>
                <w:szCs w:val="19"/>
                <w:color w:val="auto"/>
              </w:rPr>
            </w:pPr>
          </w:p>
        </w:tc>
      </w:tr>
      <w:tr>
        <w:trPr>
          <w:trHeight w:val="210"/>
        </w:trPr>
        <w:tc>
          <w:tcPr>
            <w:tcW w:w="5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7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14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80,062</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70,060</w:t>
            </w:r>
          </w:p>
        </w:tc>
      </w:tr>
      <w:tr>
        <w:trPr>
          <w:trHeight w:val="216"/>
        </w:trPr>
        <w:tc>
          <w:tcPr>
            <w:tcW w:w="5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17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2,400</w:t>
            </w: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3,038</w:t>
            </w:r>
          </w:p>
        </w:tc>
        <w:tc>
          <w:tcPr>
            <w:tcW w:w="4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1,906</w:t>
            </w:r>
          </w:p>
        </w:tc>
      </w:tr>
      <w:tr>
        <w:trPr>
          <w:trHeight w:val="210"/>
        </w:trPr>
        <w:tc>
          <w:tcPr>
            <w:tcW w:w="5800" w:type="dxa"/>
            <w:vAlign w:val="bottom"/>
            <w:tcBorders>
              <w:top w:val="single" w:sz="8" w:color="EEEEEE"/>
            </w:tcBorders>
            <w:shd w:val="clear" w:color="auto" w:fill="EEEEEE"/>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83,100</w:t>
            </w:r>
          </w:p>
        </w:tc>
        <w:tc>
          <w:tcPr>
            <w:tcW w:w="220" w:type="dxa"/>
            <w:vAlign w:val="bottom"/>
            <w:tcBorders>
              <w:top w:val="single" w:sz="8" w:color="EEEEEE"/>
            </w:tcBorders>
            <w:shd w:val="clear" w:color="auto" w:fill="EEEEEE"/>
          </w:tcPr>
          <w:p>
            <w:pPr>
              <w:spacing w:after="0"/>
              <w:rPr>
                <w:sz w:val="18"/>
                <w:szCs w:val="18"/>
                <w:color w:val="auto"/>
              </w:rPr>
            </w:pPr>
          </w:p>
        </w:tc>
        <w:tc>
          <w:tcPr>
            <w:tcW w:w="4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74,366</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5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7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22,033</w:t>
            </w:r>
          </w:p>
        </w:tc>
        <w:tc>
          <w:tcPr>
            <w:tcW w:w="4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22,152</w:t>
            </w:r>
          </w:p>
        </w:tc>
      </w:tr>
      <w:tr>
        <w:trPr>
          <w:trHeight w:val="216"/>
        </w:trPr>
        <w:tc>
          <w:tcPr>
            <w:tcW w:w="5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11,396</w:t>
            </w:r>
          </w:p>
        </w:tc>
        <w:tc>
          <w:tcPr>
            <w:tcW w:w="4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8,231</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32,759</w:t>
            </w:r>
          </w:p>
        </w:tc>
        <w:tc>
          <w:tcPr>
            <w:tcW w:w="4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16,400</w:t>
            </w:r>
          </w:p>
        </w:tc>
      </w:tr>
      <w:tr>
        <w:trPr>
          <w:trHeight w:val="216"/>
        </w:trPr>
        <w:tc>
          <w:tcPr>
            <w:tcW w:w="5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7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(9,000)</w:t>
            </w:r>
          </w:p>
        </w:tc>
        <w:tc>
          <w:tcPr>
            <w:tcW w:w="4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(9,400)</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5,724</w:t>
            </w:r>
          </w:p>
        </w:tc>
        <w:tc>
          <w:tcPr>
            <w:tcW w:w="4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5,386</w:t>
            </w:r>
          </w:p>
        </w:tc>
      </w:tr>
      <w:tr>
        <w:trPr>
          <w:trHeight w:val="216"/>
        </w:trPr>
        <w:tc>
          <w:tcPr>
            <w:tcW w:w="5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Occupancy</w:t>
            </w:r>
          </w:p>
        </w:tc>
        <w:tc>
          <w:tcPr>
            <w:tcW w:w="17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1,526</w:t>
            </w:r>
          </w:p>
        </w:tc>
        <w:tc>
          <w:tcPr>
            <w:tcW w:w="4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1,852</w:t>
            </w: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4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r>
      <w:tr>
        <w:trPr>
          <w:trHeight w:val="209"/>
        </w:trPr>
        <w:tc>
          <w:tcPr>
            <w:tcW w:w="5800" w:type="dxa"/>
            <w:vAlign w:val="bottom"/>
            <w:tcBorders>
              <w:top w:val="single" w:sz="8" w:color="EEEEEE"/>
            </w:tcBorders>
            <w:shd w:val="clear" w:color="auto" w:fill="EEEEEE"/>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64,669</w:t>
            </w:r>
          </w:p>
        </w:tc>
        <w:tc>
          <w:tcPr>
            <w:tcW w:w="220" w:type="dxa"/>
            <w:vAlign w:val="bottom"/>
            <w:tcBorders>
              <w:top w:val="single" w:sz="8" w:color="EEEEEE"/>
            </w:tcBorders>
            <w:shd w:val="clear" w:color="auto" w:fill="EEEEEE"/>
          </w:tcPr>
          <w:p>
            <w:pPr>
              <w:spacing w:after="0"/>
              <w:rPr>
                <w:sz w:val="18"/>
                <w:szCs w:val="18"/>
                <w:color w:val="auto"/>
              </w:rPr>
            </w:pPr>
          </w:p>
        </w:tc>
        <w:tc>
          <w:tcPr>
            <w:tcW w:w="4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45,038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29,328</w:t>
            </w:r>
          </w:p>
        </w:tc>
        <w:tc>
          <w:tcPr>
            <w:tcW w:w="100" w:type="dxa"/>
            <w:vAlign w:val="bottom"/>
          </w:tcPr>
          <w:p>
            <w:pPr>
              <w:spacing w:after="0"/>
              <w:rPr>
                <w:sz w:val="18"/>
                <w:szCs w:val="18"/>
                <w:color w:val="auto"/>
              </w:rPr>
            </w:pPr>
          </w:p>
        </w:tc>
      </w:tr>
      <w:tr>
        <w:trPr>
          <w:trHeight w:val="229"/>
        </w:trPr>
        <w:tc>
          <w:tcPr>
            <w:tcW w:w="5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4,608</w:t>
            </w:r>
          </w:p>
        </w:tc>
        <w:tc>
          <w:tcPr>
            <w:tcW w:w="4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8,213</w:t>
            </w:r>
          </w:p>
        </w:tc>
      </w:tr>
      <w:tr>
        <w:trPr>
          <w:trHeight w:val="263"/>
        </w:trPr>
        <w:tc>
          <w:tcPr>
            <w:tcW w:w="580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60" w:type="dxa"/>
            <w:vAlign w:val="bottom"/>
            <w:tcBorders>
              <w:bottom w:val="single" w:sz="8" w:color="EEEEEE"/>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13,823</w:t>
            </w:r>
          </w:p>
        </w:tc>
        <w:tc>
          <w:tcPr>
            <w:tcW w:w="220" w:type="dxa"/>
            <w:vAlign w:val="bottom"/>
            <w:tcBorders>
              <w:bottom w:val="single" w:sz="8" w:color="EEEEEE"/>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100" w:type="dxa"/>
            <w:vAlign w:val="bottom"/>
            <w:tcBorders>
              <w:bottom w:val="single" w:sz="8" w:color="EEEEEE"/>
            </w:tcBorders>
          </w:tcPr>
          <w:p>
            <w:pPr>
              <w:spacing w:after="0"/>
              <w:rPr>
                <w:sz w:val="22"/>
                <w:szCs w:val="22"/>
                <w:color w:val="auto"/>
              </w:rPr>
            </w:pPr>
          </w:p>
        </w:tc>
      </w:tr>
      <w:tr>
        <w:trPr>
          <w:trHeight w:val="197"/>
        </w:trPr>
        <w:tc>
          <w:tcPr>
            <w:tcW w:w="5800" w:type="dxa"/>
            <w:vAlign w:val="bottom"/>
            <w:shd w:val="clear" w:color="auto" w:fill="EEEEEE"/>
          </w:tcPr>
          <w:p>
            <w:pPr>
              <w:spacing w:after="0"/>
              <w:rPr>
                <w:sz w:val="17"/>
                <w:szCs w:val="17"/>
                <w:color w:val="auto"/>
              </w:rPr>
            </w:pPr>
          </w:p>
        </w:tc>
        <w:tc>
          <w:tcPr>
            <w:tcW w:w="17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140" w:type="dxa"/>
            <w:vAlign w:val="bottom"/>
            <w:gridSpan w:val="2"/>
            <w:shd w:val="clear" w:color="auto" w:fill="EEEEEE"/>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0.68</w:t>
            </w:r>
          </w:p>
        </w:tc>
        <w:tc>
          <w:tcPr>
            <w:tcW w:w="460" w:type="dxa"/>
            <w:vAlign w:val="bottom"/>
            <w:shd w:val="clear" w:color="auto" w:fill="EEEEEE"/>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0.54</w:t>
            </w:r>
          </w:p>
        </w:tc>
        <w:tc>
          <w:tcPr>
            <w:tcW w:w="4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580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computing earnings per share:</w:t>
            </w: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7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20,418</w:t>
            </w:r>
          </w:p>
        </w:tc>
        <w:tc>
          <w:tcPr>
            <w:tcW w:w="4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21,221</w:t>
            </w:r>
          </w:p>
        </w:tc>
      </w:tr>
      <w:tr>
        <w:trPr>
          <w:trHeight w:val="234"/>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25,392</w:t>
            </w:r>
          </w:p>
        </w:tc>
        <w:tc>
          <w:tcPr>
            <w:tcW w:w="4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28,197</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ind w:right="40"/>
        <w:spacing w:after="0" w:line="27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0" w:type="dxa"/>
            <w:vAlign w:val="bottom"/>
            <w:gridSpan w:val="4"/>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6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6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20" w:type="dxa"/>
            <w:vAlign w:val="bottom"/>
            <w:gridSpan w:val="2"/>
            <w:shd w:val="clear" w:color="auto" w:fill="EEEEEE"/>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13,823</w:t>
            </w:r>
          </w:p>
        </w:tc>
        <w:tc>
          <w:tcPr>
            <w:tcW w:w="1100" w:type="dxa"/>
            <w:vAlign w:val="bottom"/>
            <w:shd w:val="clear" w:color="auto" w:fill="EEEEEE"/>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21,115</w:t>
            </w:r>
          </w:p>
        </w:tc>
        <w:tc>
          <w:tcPr>
            <w:tcW w:w="80" w:type="dxa"/>
            <w:vAlign w:val="bottom"/>
            <w:shd w:val="clear" w:color="auto" w:fill="EEEEEE"/>
          </w:tcPr>
          <w:p>
            <w:pPr>
              <w:spacing w:after="0"/>
              <w:rPr>
                <w:sz w:val="18"/>
                <w:szCs w:val="18"/>
                <w:color w:val="auto"/>
              </w:rPr>
            </w:pPr>
          </w:p>
        </w:tc>
      </w:tr>
      <w:tr>
        <w:trPr>
          <w:trHeight w:val="216"/>
        </w:trPr>
        <w:tc>
          <w:tcPr>
            <w:tcW w:w="6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comprehensive income/(loss); change in funded status of pension plan</w:t>
            </w:r>
          </w:p>
        </w:tc>
        <w:tc>
          <w:tcPr>
            <w:tcW w:w="1020" w:type="dxa"/>
            <w:vAlign w:val="bottom"/>
            <w:shd w:val="clear" w:color="auto" w:fill="EEEEEE"/>
          </w:tcPr>
          <w:p>
            <w:pPr>
              <w:spacing w:after="0"/>
              <w:rPr>
                <w:sz w:val="19"/>
                <w:szCs w:val="19"/>
                <w:color w:val="auto"/>
              </w:rPr>
            </w:pPr>
          </w:p>
        </w:tc>
        <w:tc>
          <w:tcPr>
            <w:tcW w:w="110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EEEEE"/>
          </w:tcPr>
          <w:p>
            <w:pPr>
              <w:spacing w:after="0"/>
              <w:rPr>
                <w:sz w:val="19"/>
                <w:szCs w:val="19"/>
                <w:color w:val="auto"/>
              </w:rPr>
            </w:pPr>
          </w:p>
        </w:tc>
        <w:tc>
          <w:tcPr>
            <w:tcW w:w="6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3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13,823</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CASH FLOWS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920" w:type="dxa"/>
            <w:vAlign w:val="bottom"/>
            <w:gridSpan w:val="4"/>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80" w:type="dxa"/>
            <w:vAlign w:val="bottom"/>
            <w:tcBorders>
              <w:bottom w:val="single" w:sz="8" w:color="EEEEEE"/>
            </w:tcBorders>
          </w:tcPr>
          <w:p>
            <w:pPr>
              <w:spacing w:after="0"/>
              <w:rPr>
                <w:sz w:val="19"/>
                <w:szCs w:val="19"/>
                <w:color w:val="auto"/>
              </w:rPr>
            </w:pPr>
          </w:p>
        </w:tc>
        <w:tc>
          <w:tcPr>
            <w:tcW w:w="780" w:type="dxa"/>
            <w:vAlign w:val="bottom"/>
            <w:tcBorders>
              <w:bottom w:val="single" w:sz="8" w:color="EEEEEE"/>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10"/>
        </w:trPr>
        <w:tc>
          <w:tcPr>
            <w:tcW w:w="6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0" w:type="dxa"/>
            <w:vAlign w:val="bottom"/>
            <w:gridSpan w:val="2"/>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13,823</w:t>
            </w:r>
          </w:p>
        </w:tc>
        <w:tc>
          <w:tcPr>
            <w:tcW w:w="102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21,115</w:t>
            </w:r>
          </w:p>
        </w:tc>
      </w:tr>
      <w:tr>
        <w:trPr>
          <w:trHeight w:val="216"/>
        </w:trPr>
        <w:tc>
          <w:tcPr>
            <w:tcW w:w="6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47,472</w:t>
            </w:r>
          </w:p>
        </w:tc>
        <w:tc>
          <w:tcPr>
            <w:tcW w:w="102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31,204</w:t>
            </w:r>
          </w:p>
        </w:tc>
      </w:tr>
      <w:tr>
        <w:trPr>
          <w:trHeight w:val="216"/>
        </w:trPr>
        <w:tc>
          <w:tcPr>
            <w:tcW w:w="6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231</w:t>
            </w: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2,403</w:t>
            </w:r>
          </w:p>
        </w:tc>
        <w:tc>
          <w:tcPr>
            <w:tcW w:w="102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1,782</w:t>
            </w:r>
          </w:p>
        </w:tc>
      </w:tr>
      <w:tr>
        <w:trPr>
          <w:trHeight w:val="216"/>
        </w:trPr>
        <w:tc>
          <w:tcPr>
            <w:tcW w:w="6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(9,000)</w:t>
            </w:r>
          </w:p>
        </w:tc>
        <w:tc>
          <w:tcPr>
            <w:tcW w:w="10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(9,400)</w:t>
            </w:r>
          </w:p>
        </w:tc>
      </w:tr>
      <w:tr>
        <w:trPr>
          <w:trHeight w:val="216"/>
        </w:trPr>
        <w:tc>
          <w:tcPr>
            <w:tcW w:w="6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912</w:t>
            </w: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Deferred tax assets, net</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385</w:t>
            </w: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662</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4,511</w:t>
            </w:r>
          </w:p>
        </w:tc>
        <w:tc>
          <w:tcPr>
            <w:tcW w:w="102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10,790</w:t>
            </w:r>
          </w:p>
        </w:tc>
      </w:tr>
      <w:tr>
        <w:trPr>
          <w:trHeight w:val="229"/>
        </w:trPr>
        <w:tc>
          <w:tcPr>
            <w:tcW w:w="678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78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4,404</w:t>
            </w:r>
          </w:p>
        </w:tc>
        <w:tc>
          <w:tcPr>
            <w:tcW w:w="102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13,340</w:t>
            </w:r>
          </w:p>
        </w:tc>
      </w:tr>
      <w:tr>
        <w:trPr>
          <w:trHeight w:val="210"/>
        </w:trPr>
        <w:tc>
          <w:tcPr>
            <w:tcW w:w="678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8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65,141</w:t>
            </w:r>
          </w:p>
        </w:tc>
        <w:tc>
          <w:tcPr>
            <w:tcW w:w="22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68,300</w:t>
            </w:r>
          </w:p>
        </w:tc>
        <w:tc>
          <w:tcPr>
            <w:tcW w:w="100" w:type="dxa"/>
            <w:vAlign w:val="bottom"/>
            <w:tcBorders>
              <w:bottom w:val="single" w:sz="8" w:color="EEEEEE"/>
            </w:tcBorders>
          </w:tcPr>
          <w:p>
            <w:pPr>
              <w:spacing w:after="0"/>
              <w:rPr>
                <w:sz w:val="18"/>
                <w:szCs w:val="18"/>
                <w:color w:val="auto"/>
              </w:rPr>
            </w:pPr>
          </w:p>
        </w:tc>
      </w:tr>
      <w:tr>
        <w:trPr>
          <w:trHeight w:val="209"/>
        </w:trPr>
        <w:tc>
          <w:tcPr>
            <w:tcW w:w="67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held for investment</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24,746</w:t>
            </w: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43,840</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finance receivables measured at fair value</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9"/>
              </w:rPr>
              <w:t>(352,598)</w:t>
            </w:r>
          </w:p>
        </w:tc>
        <w:tc>
          <w:tcPr>
            <w:tcW w:w="10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(393,407)</w:t>
            </w:r>
          </w:p>
        </w:tc>
      </w:tr>
      <w:tr>
        <w:trPr>
          <w:trHeight w:val="216"/>
        </w:trPr>
        <w:tc>
          <w:tcPr>
            <w:tcW w:w="6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206,626</w:t>
            </w: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209,844</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repossessions held in inventory</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481</w:t>
            </w:r>
          </w:p>
        </w:tc>
      </w:tr>
      <w:tr>
        <w:trPr>
          <w:trHeight w:val="229"/>
        </w:trPr>
        <w:tc>
          <w:tcPr>
            <w:tcW w:w="6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 of furniture and equipment</w:t>
            </w:r>
          </w:p>
        </w:tc>
        <w:tc>
          <w:tcPr>
            <w:tcW w:w="78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(34)</w:t>
            </w:r>
          </w:p>
        </w:tc>
        <w:tc>
          <w:tcPr>
            <w:tcW w:w="102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0"/>
        </w:trPr>
        <w:tc>
          <w:tcPr>
            <w:tcW w:w="678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8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(121,159</w:t>
            </w:r>
          </w:p>
        </w:tc>
        <w:tc>
          <w:tcPr>
            <w:tcW w:w="220" w:type="dxa"/>
            <w:vAlign w:val="bottom"/>
            <w:tcBorders>
              <w:bottom w:val="single" w:sz="8" w:color="EEEEEE"/>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(139,517</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7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securitization trust debt</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324,768</w:t>
            </w: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316,800</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subordinated renewable notes</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1,059</w:t>
            </w:r>
          </w:p>
        </w:tc>
      </w:tr>
      <w:tr>
        <w:trPr>
          <w:trHeight w:val="216"/>
        </w:trPr>
        <w:tc>
          <w:tcPr>
            <w:tcW w:w="6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on subordinated renewable notes</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(1,820)</w:t>
            </w: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(repayments of) warehouse lines of credit</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42,170</w:t>
            </w:r>
          </w:p>
        </w:tc>
      </w:tr>
      <w:tr>
        <w:trPr>
          <w:trHeight w:val="216"/>
        </w:trPr>
        <w:tc>
          <w:tcPr>
            <w:tcW w:w="6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Proceeds from (repayment of) residual interest financing debt</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(4,311)</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securitization trust debt</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9"/>
              </w:rPr>
              <w:t>(258,224)</w:t>
            </w:r>
          </w:p>
        </w:tc>
        <w:tc>
          <w:tcPr>
            <w:tcW w:w="10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(262,737)</w:t>
            </w:r>
          </w:p>
        </w:tc>
      </w:tr>
      <w:tr>
        <w:trPr>
          <w:trHeight w:val="216"/>
        </w:trPr>
        <w:tc>
          <w:tcPr>
            <w:tcW w:w="6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(2,072)</w:t>
            </w:r>
          </w:p>
        </w:tc>
        <w:tc>
          <w:tcPr>
            <w:tcW w:w="10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(3,030)</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(7,293)</w:t>
            </w:r>
          </w:p>
        </w:tc>
        <w:tc>
          <w:tcPr>
            <w:tcW w:w="10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(14,104)</w:t>
            </w:r>
          </w:p>
        </w:tc>
      </w:tr>
      <w:tr>
        <w:trPr>
          <w:trHeight w:val="230"/>
        </w:trPr>
        <w:tc>
          <w:tcPr>
            <w:tcW w:w="6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78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6,960</w:t>
            </w:r>
          </w:p>
        </w:tc>
        <w:tc>
          <w:tcPr>
            <w:tcW w:w="102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5,860</w:t>
            </w:r>
          </w:p>
        </w:tc>
      </w:tr>
      <w:tr>
        <w:trPr>
          <w:trHeight w:val="210"/>
        </w:trPr>
        <w:tc>
          <w:tcPr>
            <w:tcW w:w="678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8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62,312</w:t>
            </w:r>
          </w:p>
        </w:tc>
        <w:tc>
          <w:tcPr>
            <w:tcW w:w="22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80,945</w:t>
            </w:r>
          </w:p>
        </w:tc>
        <w:tc>
          <w:tcPr>
            <w:tcW w:w="100" w:type="dxa"/>
            <w:vAlign w:val="bottom"/>
            <w:tcBorders>
              <w:bottom w:val="single" w:sz="8" w:color="EEEEEE"/>
            </w:tcBorders>
          </w:tcPr>
          <w:p>
            <w:pPr>
              <w:spacing w:after="0"/>
              <w:rPr>
                <w:sz w:val="18"/>
                <w:szCs w:val="18"/>
                <w:color w:val="auto"/>
              </w:rPr>
            </w:pPr>
          </w:p>
        </w:tc>
      </w:tr>
      <w:tr>
        <w:trPr>
          <w:trHeight w:val="209"/>
        </w:trPr>
        <w:tc>
          <w:tcPr>
            <w:tcW w:w="6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100" w:type="dxa"/>
            <w:vAlign w:val="bottom"/>
            <w:shd w:val="clear" w:color="auto" w:fill="EEEEEE"/>
          </w:tcPr>
          <w:p>
            <w:pPr>
              <w:spacing w:after="0"/>
              <w:rPr>
                <w:sz w:val="18"/>
                <w:szCs w:val="18"/>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162,789</w:t>
            </w:r>
          </w:p>
        </w:tc>
        <w:tc>
          <w:tcPr>
            <w:tcW w:w="1020" w:type="dxa"/>
            <w:vAlign w:val="bottom"/>
          </w:tcPr>
          <w:p>
            <w:pPr>
              <w:spacing w:after="0"/>
              <w:rPr>
                <w:sz w:val="19"/>
                <w:szCs w:val="19"/>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176,548</w:t>
            </w:r>
          </w:p>
        </w:tc>
      </w:tr>
      <w:tr>
        <w:trPr>
          <w:trHeight w:val="223"/>
        </w:trPr>
        <w:tc>
          <w:tcPr>
            <w:tcW w:w="67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78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169,083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186,276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800" w:type="dxa"/>
            <w:vAlign w:val="bottom"/>
            <w:gridSpan w:val="2"/>
            <w:shd w:val="clear" w:color="auto" w:fill="EEEEEE"/>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29,658</w:t>
            </w:r>
          </w:p>
        </w:tc>
        <w:tc>
          <w:tcPr>
            <w:tcW w:w="1020" w:type="dxa"/>
            <w:vAlign w:val="bottom"/>
            <w:shd w:val="clear" w:color="auto" w:fill="EEEEEE"/>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14,380</w:t>
            </w:r>
          </w:p>
        </w:tc>
      </w:tr>
      <w:tr>
        <w:trPr>
          <w:trHeight w:val="234"/>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800" w:type="dxa"/>
            <w:vAlign w:val="bottom"/>
            <w:gridSpan w:val="2"/>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w:t>
            </w:r>
          </w:p>
        </w:tc>
        <w:tc>
          <w:tcPr>
            <w:tcW w:w="102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SHAREHOLDERS’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9"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3"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March 31,</w:t>
      </w:r>
    </w:p>
    <w:p>
      <w:pPr>
        <w:sectPr>
          <w:pgSz w:w="11900" w:h="16838" w:orient="portrait"/>
          <w:cols w:equalWidth="0" w:num="1">
            <w:col w:w="11240"/>
          </w:cols>
          <w:pgMar w:left="320" w:top="792" w:right="339" w:bottom="1440" w:gutter="0" w:footer="0" w:header="0"/>
        </w:sect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2460"/>
        <w:spacing w:after="0" w:line="250" w:lineRule="auto"/>
        <w:rPr>
          <w:sz w:val="20"/>
          <w:szCs w:val="20"/>
          <w:color w:val="auto"/>
        </w:rPr>
      </w:pPr>
      <w:r>
        <w:rPr>
          <w:rFonts w:ascii="Times New Roman" w:cs="Times New Roman" w:eastAsia="Times New Roman" w:hAnsi="Times New Roman"/>
          <w:sz w:val="18"/>
          <w:szCs w:val="18"/>
          <w:color w:val="auto"/>
        </w:rPr>
        <w:t>Common stock issued upon exercise of options and warrants Repurchase of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7"/>
        </w:trPr>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20,131</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21,144</w:t>
            </w:r>
          </w:p>
        </w:tc>
        <w:tc>
          <w:tcPr>
            <w:tcW w:w="40" w:type="dxa"/>
            <w:vAlign w:val="bottom"/>
          </w:tcPr>
          <w:p>
            <w:pPr>
              <w:spacing w:after="0"/>
              <w:rPr>
                <w:sz w:val="24"/>
                <w:szCs w:val="24"/>
                <w:color w:val="auto"/>
              </w:rPr>
            </w:pPr>
          </w:p>
        </w:tc>
      </w:tr>
      <w:tr>
        <w:trPr>
          <w:trHeight w:val="216"/>
        </w:trPr>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1,086</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(721)</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23"/>
        </w:trPr>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20,496</w:t>
            </w:r>
          </w:p>
        </w:tc>
        <w:tc>
          <w:tcPr>
            <w:tcW w:w="2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0" w:space="720"/>
            <w:col w:w="3680"/>
          </w:cols>
          <w:pgMar w:left="320" w:top="792"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20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28,906</w:t>
            </w: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55,298</w:t>
            </w:r>
          </w:p>
        </w:tc>
      </w:tr>
      <w:tr>
        <w:trPr>
          <w:trHeight w:val="216"/>
        </w:trPr>
        <w:tc>
          <w:tcPr>
            <w:tcW w:w="5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Common stock issued upon exercise of options and warrants</w:t>
            </w:r>
          </w:p>
        </w:tc>
        <w:tc>
          <w:tcPr>
            <w:tcW w:w="16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6,960</w:t>
            </w:r>
          </w:p>
        </w:tc>
        <w:tc>
          <w:tcPr>
            <w:tcW w:w="5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80" w:type="dxa"/>
            <w:vAlign w:val="bottom"/>
            <w:shd w:val="clear" w:color="auto" w:fill="EEEEEE"/>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(7,293)</w:t>
            </w:r>
          </w:p>
        </w:tc>
        <w:tc>
          <w:tcPr>
            <w:tcW w:w="58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(14,104)</w:t>
            </w:r>
          </w:p>
        </w:tc>
      </w:tr>
      <w:tr>
        <w:trPr>
          <w:trHeight w:val="229"/>
        </w:trPr>
        <w:tc>
          <w:tcPr>
            <w:tcW w:w="5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912</w:t>
            </w:r>
          </w:p>
        </w:tc>
        <w:tc>
          <w:tcPr>
            <w:tcW w:w="580" w:type="dxa"/>
            <w:vAlign w:val="bottom"/>
            <w:shd w:val="clear" w:color="auto" w:fill="EEEEEE"/>
          </w:tcPr>
          <w:p>
            <w:pPr>
              <w:spacing w:after="0"/>
              <w:rPr>
                <w:sz w:val="19"/>
                <w:szCs w:val="19"/>
                <w:color w:val="auto"/>
              </w:rPr>
            </w:pPr>
          </w:p>
        </w:tc>
        <w:tc>
          <w:tcPr>
            <w:tcW w:w="12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r>
      <w:tr>
        <w:trPr>
          <w:trHeight w:val="263"/>
        </w:trPr>
        <w:tc>
          <w:tcPr>
            <w:tcW w:w="59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00" w:type="dxa"/>
            <w:vAlign w:val="bottom"/>
            <w:tcBorders>
              <w:bottom w:val="single" w:sz="8" w:color="EEEEEE"/>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29,485</w:t>
            </w:r>
          </w:p>
        </w:tc>
        <w:tc>
          <w:tcPr>
            <w:tcW w:w="220" w:type="dxa"/>
            <w:vAlign w:val="bottom"/>
            <w:tcBorders>
              <w:bottom w:val="single" w:sz="8" w:color="EEEEEE"/>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47,844</w:t>
            </w:r>
          </w:p>
        </w:tc>
        <w:tc>
          <w:tcPr>
            <w:tcW w:w="100" w:type="dxa"/>
            <w:vAlign w:val="bottom"/>
            <w:tcBorders>
              <w:bottom w:val="single" w:sz="8" w:color="EEEEEE"/>
            </w:tcBorders>
            <w:gridSpan w:val="2"/>
          </w:tcPr>
          <w:p>
            <w:pPr>
              <w:spacing w:after="0"/>
              <w:rPr>
                <w:sz w:val="22"/>
                <w:szCs w:val="22"/>
                <w:color w:val="auto"/>
              </w:rPr>
            </w:pPr>
          </w:p>
        </w:tc>
      </w:tr>
      <w:tr>
        <w:trPr>
          <w:trHeight w:val="196"/>
        </w:trPr>
        <w:tc>
          <w:tcPr>
            <w:tcW w:w="596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200" w:type="dxa"/>
            <w:vAlign w:val="bottom"/>
            <w:gridSpan w:val="2"/>
            <w:shd w:val="clear" w:color="auto" w:fill="EEEEEE"/>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202,514</w:t>
            </w:r>
          </w:p>
        </w:tc>
        <w:tc>
          <w:tcPr>
            <w:tcW w:w="580" w:type="dxa"/>
            <w:vAlign w:val="bottom"/>
            <w:shd w:val="clear" w:color="auto" w:fill="EEEEEE"/>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116,531</w:t>
            </w:r>
          </w:p>
        </w:tc>
      </w:t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13,823</w:t>
            </w:r>
          </w:p>
        </w:tc>
        <w:tc>
          <w:tcPr>
            <w:tcW w:w="5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80" w:type="dxa"/>
            <w:vAlign w:val="bottom"/>
          </w:tcPr>
          <w:p>
            <w:pPr>
              <w:spacing w:after="0"/>
              <w:rPr>
                <w:sz w:val="19"/>
                <w:szCs w:val="19"/>
                <w:color w:val="auto"/>
              </w:rPr>
            </w:pPr>
          </w:p>
        </w:tc>
      </w:tr>
      <w:tr>
        <w:trPr>
          <w:trHeight w:val="223"/>
        </w:trPr>
        <w:tc>
          <w:tcPr>
            <w:tcW w:w="59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00" w:type="dxa"/>
            <w:vAlign w:val="bottom"/>
            <w:tcBorders>
              <w:top w:val="single" w:sz="8" w:color="EEEEEE"/>
              <w:bottom w:val="single" w:sz="8" w:color="EEEEEE"/>
            </w:tcBorders>
            <w:shd w:val="clear" w:color="auto" w:fill="EEEEEE"/>
          </w:tcPr>
          <w:p>
            <w:pPr>
              <w:spacing w:after="0"/>
              <w:rPr>
                <w:sz w:val="19"/>
                <w:szCs w:val="19"/>
                <w:color w:val="auto"/>
              </w:rPr>
            </w:pPr>
          </w:p>
        </w:tc>
        <w:tc>
          <w:tcPr>
            <w:tcW w:w="600" w:type="dxa"/>
            <w:vAlign w:val="bottom"/>
            <w:tcBorders>
              <w:top w:val="single" w:sz="8" w:color="auto"/>
              <w:bottom w:val="single" w:sz="8" w:color="auto"/>
            </w:tcBorders>
            <w:shd w:val="clear" w:color="auto" w:fill="EEEEEE"/>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216,337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137,646</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6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20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(3,031)</w:t>
            </w: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(1,622)</w:t>
            </w:r>
          </w:p>
        </w:tc>
      </w:tr>
      <w:tr>
        <w:trPr>
          <w:trHeight w:val="229"/>
        </w:trPr>
        <w:tc>
          <w:tcPr>
            <w:tcW w:w="5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160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spacing w:after="0"/>
              <w:rPr>
                <w:sz w:val="19"/>
                <w:szCs w:val="19"/>
                <w:color w:val="auto"/>
              </w:rPr>
            </w:pPr>
          </w:p>
        </w:tc>
        <w:tc>
          <w:tcPr>
            <w:tcW w:w="12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9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00" w:type="dxa"/>
            <w:vAlign w:val="bottom"/>
            <w:tcBorders>
              <w:bottom w:val="single" w:sz="8" w:color="EEEEEE"/>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220" w:type="dxa"/>
            <w:vAlign w:val="bottom"/>
            <w:tcBorders>
              <w:bottom w:val="single" w:sz="8" w:color="EEEEEE"/>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596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20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242,791</w:t>
            </w: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183,868</w:t>
            </w:r>
          </w:p>
        </w:tc>
        <w:tc>
          <w:tcPr>
            <w:tcW w:w="80" w:type="dxa"/>
            <w:vAlign w:val="bottom"/>
          </w:tcPr>
          <w:p>
            <w:pPr>
              <w:spacing w:after="0"/>
              <w:rPr>
                <w:sz w:val="21"/>
                <w:szCs w:val="21"/>
                <w:color w:val="auto"/>
              </w:rPr>
            </w:pPr>
          </w:p>
        </w:tc>
      </w:tr>
      <w:tr>
        <w:trPr>
          <w:trHeight w:val="20"/>
        </w:trPr>
        <w:tc>
          <w:tcPr>
            <w:tcW w:w="5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w:t>
      </w:r>
    </w:p>
    <w:p>
      <w:pPr>
        <w:spacing w:after="0" w:line="5" w:lineRule="exact"/>
        <w:rPr>
          <w:sz w:val="20"/>
          <w:szCs w:val="20"/>
          <w:color w:val="auto"/>
        </w:rPr>
      </w:pPr>
    </w:p>
    <w:p>
      <w:pPr>
        <w:ind w:firstLine="8"/>
        <w:spacing w:after="0" w:line="260" w:lineRule="auto"/>
        <w:tabs>
          <w:tab w:leader="none" w:pos="3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installment purchase contracts in four merger and acquisition transactions. In this report, we refer to all of such contracts and loans as “automobile contracts.”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three-month period ended March 31, 2023 are not necessarily indicative of the operating results to be expected for the full year.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Receivables Measured at Fair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re-evaluate the fair value of such receivables at the close of each measurement period. If the reevaluation were to yield a value materially different from the recorded value, an adjustment would be required. Results for the first quarter include no mark down reversal to the carrying value of the portion of the receivables portfolio accounted for at fair value. Mark downs are reflected as a reduction in revenue.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primary components of Other Income for the three-month periods ending March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040" w:type="dxa"/>
            <w:vAlign w:val="bottom"/>
            <w:gridSpan w:val="4"/>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right="494"/>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20" w:type="dxa"/>
            <w:vAlign w:val="bottom"/>
            <w:gridSpan w:val="3"/>
          </w:tcPr>
          <w:p>
            <w:pPr>
              <w:jc w:val="center"/>
              <w:ind w:right="514"/>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Origination and servicing fees from third party receivables</w:t>
            </w:r>
          </w:p>
        </w:tc>
        <w:tc>
          <w:tcPr>
            <w:tcW w:w="2780" w:type="dxa"/>
            <w:vAlign w:val="bottom"/>
            <w:gridSpan w:val="2"/>
            <w:shd w:val="clear" w:color="auto" w:fill="EEEEEE"/>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2,738</w:t>
            </w:r>
          </w:p>
        </w:tc>
        <w:tc>
          <w:tcPr>
            <w:tcW w:w="1140" w:type="dxa"/>
            <w:vAlign w:val="bottom"/>
            <w:shd w:val="clear" w:color="auto" w:fill="EEEEEE"/>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844</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Direct mail revenues</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5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 tax refunds</w:t>
            </w:r>
          </w:p>
        </w:tc>
        <w:tc>
          <w:tcPr>
            <w:tcW w:w="16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11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59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for the period</w:t>
            </w:r>
          </w:p>
        </w:tc>
        <w:tc>
          <w:tcPr>
            <w:tcW w:w="166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ind w:right="95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supplemental balance sheet information related to leases:</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7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4"/>
                <w:szCs w:val="24"/>
                <w:color w:val="auto"/>
              </w:rPr>
            </w:pPr>
          </w:p>
        </w:tc>
        <w:tc>
          <w:tcPr>
            <w:tcW w:w="158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20" w:type="dxa"/>
            <w:vAlign w:val="bottom"/>
            <w:gridSpan w:val="4"/>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28,397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28,397</w:t>
            </w:r>
          </w:p>
        </w:tc>
        <w:tc>
          <w:tcPr>
            <w:tcW w:w="0" w:type="dxa"/>
            <w:vAlign w:val="bottom"/>
          </w:tcPr>
          <w:p>
            <w:pPr>
              <w:spacing w:after="0"/>
              <w:rPr>
                <w:sz w:val="1"/>
                <w:szCs w:val="1"/>
                <w:color w:val="auto"/>
              </w:rPr>
            </w:pPr>
          </w:p>
        </w:tc>
      </w:tr>
      <w:tr>
        <w:trPr>
          <w:trHeight w:val="229"/>
        </w:trPr>
        <w:tc>
          <w:tcPr>
            <w:tcW w:w="7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Accumulated amortization right-of-use assets</w:t>
            </w:r>
          </w:p>
        </w:tc>
        <w:tc>
          <w:tcPr>
            <w:tcW w:w="5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(23,611)</w:t>
            </w:r>
          </w:p>
        </w:tc>
        <w:tc>
          <w:tcPr>
            <w:tcW w:w="2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(22,613)</w:t>
            </w:r>
          </w:p>
        </w:tc>
        <w:tc>
          <w:tcPr>
            <w:tcW w:w="0" w:type="dxa"/>
            <w:vAlign w:val="bottom"/>
          </w:tcPr>
          <w:p>
            <w:pPr>
              <w:spacing w:after="0"/>
              <w:rPr>
                <w:sz w:val="1"/>
                <w:szCs w:val="1"/>
                <w:color w:val="auto"/>
              </w:rPr>
            </w:pPr>
          </w:p>
        </w:tc>
      </w:tr>
      <w:tr>
        <w:trPr>
          <w:trHeight w:val="263"/>
        </w:trPr>
        <w:tc>
          <w:tcPr>
            <w:tcW w:w="70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540" w:type="dxa"/>
            <w:vAlign w:val="bottom"/>
            <w:tcBorders>
              <w:bottom w:val="single" w:sz="8" w:color="EEEEEE"/>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220" w:type="dxa"/>
            <w:vAlign w:val="bottom"/>
            <w:tcBorders>
              <w:bottom w:val="single" w:sz="8" w:color="EEEEEE"/>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(5,154)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0" w:type="dxa"/>
            <w:vAlign w:val="bottom"/>
          </w:tcPr>
          <w:p>
            <w:pPr>
              <w:spacing w:after="0"/>
              <w:rPr>
                <w:sz w:val="1"/>
                <w:szCs w:val="1"/>
                <w:color w:val="auto"/>
              </w:rPr>
            </w:pPr>
          </w:p>
        </w:tc>
      </w:tr>
      <w:tr>
        <w:trPr>
          <w:trHeight w:val="216"/>
        </w:trPr>
        <w:tc>
          <w:tcPr>
            <w:tcW w:w="70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800" w:type="dxa"/>
            <w:vAlign w:val="bottom"/>
            <w:gridSpan w:val="2"/>
            <w:shd w:val="clear" w:color="auto" w:fill="EEEEEE"/>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3,454</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3,407</w:t>
            </w: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(3,335)</w:t>
            </w:r>
          </w:p>
        </w:tc>
        <w:tc>
          <w:tcPr>
            <w:tcW w:w="2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23"/>
        </w:trPr>
        <w:tc>
          <w:tcPr>
            <w:tcW w:w="70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4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800" w:type="dxa"/>
            <w:vAlign w:val="bottom"/>
            <w:gridSpan w:val="2"/>
            <w:shd w:val="clear" w:color="auto" w:fill="EEEEEE"/>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7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657"/>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Maturities of lease liabilities were as follows: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24"/>
                <w:szCs w:val="24"/>
                <w:color w:val="auto"/>
              </w:rPr>
            </w:pPr>
          </w:p>
        </w:tc>
        <w:tc>
          <w:tcPr>
            <w:tcW w:w="1580" w:type="dxa"/>
            <w:vAlign w:val="bottom"/>
            <w:gridSpan w:val="2"/>
            <w:vMerge w:val="restart"/>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Finance</w:t>
            </w:r>
          </w:p>
        </w:tc>
        <w:tc>
          <w:tcPr>
            <w:tcW w:w="0" w:type="dxa"/>
            <w:vAlign w:val="bottom"/>
          </w:tcPr>
          <w:p>
            <w:pPr>
              <w:spacing w:after="0"/>
              <w:rPr>
                <w:sz w:val="1"/>
                <w:szCs w:val="1"/>
                <w:color w:val="auto"/>
              </w:rPr>
            </w:pPr>
          </w:p>
        </w:tc>
      </w:tr>
      <w:tr>
        <w:trPr>
          <w:trHeight w:val="225"/>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Year Ending March 31,</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200" w:type="dxa"/>
            <w:vAlign w:val="bottom"/>
          </w:tcPr>
          <w:p>
            <w:pPr>
              <w:spacing w:after="0"/>
              <w:rPr>
                <w:sz w:val="20"/>
                <w:szCs w:val="20"/>
                <w:color w:val="auto"/>
              </w:rPr>
            </w:pPr>
          </w:p>
        </w:tc>
        <w:tc>
          <w:tcPr>
            <w:tcW w:w="158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0" w:type="dxa"/>
            <w:vAlign w:val="bottom"/>
          </w:tcPr>
          <w:p>
            <w:pPr>
              <w:spacing w:after="0"/>
              <w:rPr>
                <w:sz w:val="1"/>
                <w:szCs w:val="1"/>
                <w:color w:val="auto"/>
              </w:rPr>
            </w:pPr>
          </w:p>
        </w:tc>
      </w:tr>
      <w:tr>
        <w:trPr>
          <w:trHeight w:val="210"/>
        </w:trPr>
        <w:tc>
          <w:tcPr>
            <w:tcW w:w="70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1,493</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7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70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5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(1,422)</w:t>
            </w:r>
          </w:p>
        </w:tc>
        <w:tc>
          <w:tcPr>
            <w:tcW w:w="2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3"/>
        </w:trPr>
        <w:tc>
          <w:tcPr>
            <w:tcW w:w="70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54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 expense included in General and administrative and Occupancy expense on our Unaudited Condensed Consolidated Statement of Operations:</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lease cost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1"/>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gridSpan w:val="3"/>
          </w:tcPr>
          <w:p>
            <w:pPr>
              <w:jc w:val="right"/>
              <w:ind w:right="16"/>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140" w:type="dxa"/>
            <w:vAlign w:val="bottom"/>
          </w:tcPr>
          <w:p>
            <w:pPr>
              <w:spacing w:after="0"/>
              <w:rPr>
                <w:sz w:val="16"/>
                <w:szCs w:val="16"/>
                <w:color w:val="auto"/>
              </w:rPr>
            </w:pPr>
          </w:p>
        </w:tc>
      </w:tr>
      <w:tr>
        <w:trPr>
          <w:trHeight w:val="230"/>
        </w:trPr>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1,360</w:t>
            </w: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3"/>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-462280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-179070</wp:posOffset>
            </wp:positionV>
            <wp:extent cx="713232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720"/>
            <w:col w:w="3680"/>
          </w:cols>
          <w:pgMar w:left="320" w:top="792" w:right="339"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 related to leases:</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6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4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20" w:type="dxa"/>
            <w:vAlign w:val="bottom"/>
            <w:gridSpan w:val="2"/>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6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1,360</w:t>
            </w:r>
          </w:p>
        </w:tc>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1,788</w:t>
            </w:r>
          </w:p>
        </w:tc>
      </w:tr>
      <w:tr>
        <w:trPr>
          <w:trHeight w:val="216"/>
        </w:trPr>
        <w:tc>
          <w:tcPr>
            <w:tcW w:w="6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6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2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and 2022, we recorded stock-based compensation costs in the amount of $912,000 and $790,000, respectively. As of March 31, 2023, unrecognized stock-based compensation costs to be recognized over future periods equaled $8.6 million. This amount will be recognized as expense over a weighted-average period of 2.2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stock option activity for the three months ended March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64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0"/>
        </w:trPr>
        <w:tc>
          <w:tcPr>
            <w:tcW w:w="5640" w:type="dxa"/>
            <w:vAlign w:val="bottom"/>
          </w:tcPr>
          <w:p>
            <w:pPr>
              <w:spacing w:after="0"/>
              <w:rPr>
                <w:sz w:val="19"/>
                <w:szCs w:val="19"/>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Pr>
          <w:p>
            <w:pPr>
              <w:spacing w:after="0"/>
              <w:rPr>
                <w:sz w:val="19"/>
                <w:szCs w:val="19"/>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38"/>
        </w:trPr>
        <w:tc>
          <w:tcPr>
            <w:tcW w:w="5640" w:type="dxa"/>
            <w:vAlign w:val="bottom"/>
          </w:tcPr>
          <w:p>
            <w:pPr>
              <w:spacing w:after="0"/>
              <w:rPr>
                <w:sz w:val="20"/>
                <w:szCs w:val="20"/>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r>
      <w:tr>
        <w:trPr>
          <w:trHeight w:val="210"/>
        </w:trPr>
        <w:tc>
          <w:tcPr>
            <w:tcW w:w="56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beginning of period</w:t>
            </w:r>
          </w:p>
        </w:tc>
        <w:tc>
          <w:tcPr>
            <w:tcW w:w="17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6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9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(1,086)</w:t>
            </w:r>
          </w:p>
        </w:tc>
        <w:tc>
          <w:tcPr>
            <w:tcW w:w="2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6.41</w:t>
            </w:r>
          </w:p>
        </w:tc>
        <w:tc>
          <w:tcPr>
            <w:tcW w:w="1780" w:type="dxa"/>
            <w:vAlign w:val="bottom"/>
            <w:gridSpan w:val="2"/>
            <w:shd w:val="clear" w:color="auto" w:fill="EEEEEE"/>
          </w:tcPr>
          <w:p>
            <w:pPr>
              <w:ind w:left="740"/>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6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end of period</w:t>
            </w:r>
          </w:p>
        </w:tc>
        <w:tc>
          <w:tcPr>
            <w:tcW w:w="17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10,081</w:t>
            </w:r>
          </w:p>
        </w:tc>
        <w:tc>
          <w:tcPr>
            <w:tcW w:w="220" w:type="dxa"/>
            <w:vAlign w:val="bottom"/>
            <w:tcBorders>
              <w:top w:val="single" w:sz="8" w:color="EEEEEE"/>
            </w:tcBorders>
            <w:shd w:val="clear" w:color="auto" w:fill="EEEEEE"/>
          </w:tcPr>
          <w:p>
            <w:pPr>
              <w:spacing w:after="0"/>
              <w:rPr>
                <w:sz w:val="19"/>
                <w:szCs w:val="19"/>
                <w:color w:val="auto"/>
              </w:rPr>
            </w:pPr>
          </w:p>
        </w:tc>
        <w:tc>
          <w:tcPr>
            <w:tcW w:w="200" w:type="dxa"/>
            <w:vAlign w:val="bottom"/>
            <w:tcBorders>
              <w:top w:val="single" w:sz="8" w:color="EEEEEE"/>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EEEEEE"/>
            </w:tcBorders>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5.08</w:t>
            </w:r>
          </w:p>
        </w:tc>
        <w:tc>
          <w:tcPr>
            <w:tcW w:w="1780" w:type="dxa"/>
            <w:vAlign w:val="bottom"/>
            <w:tcBorders>
              <w:top w:val="single" w:sz="8" w:color="EEEEEE"/>
            </w:tcBorders>
            <w:gridSpan w:val="2"/>
            <w:shd w:val="clear" w:color="auto" w:fill="EEEEEE"/>
          </w:tcPr>
          <w:p>
            <w:pPr>
              <w:ind w:left="500"/>
              <w:spacing w:after="0"/>
              <w:rPr>
                <w:sz w:val="20"/>
                <w:szCs w:val="20"/>
                <w:color w:val="auto"/>
              </w:rPr>
            </w:pPr>
            <w:r>
              <w:rPr>
                <w:rFonts w:ascii="Times New Roman" w:cs="Times New Roman" w:eastAsia="Times New Roman" w:hAnsi="Times New Roman"/>
                <w:sz w:val="18"/>
                <w:szCs w:val="18"/>
                <w:color w:val="auto"/>
              </w:rPr>
              <w:t>3.22 years</w:t>
            </w:r>
          </w:p>
        </w:tc>
      </w:tr>
      <w:tr>
        <w:trPr>
          <w:trHeight w:val="20"/>
        </w:trPr>
        <w:tc>
          <w:tcPr>
            <w:tcW w:w="5640" w:type="dxa"/>
            <w:vAlign w:val="bottom"/>
            <w:tcBorders>
              <w:top w:val="single" w:sz="8" w:color="EEEEEE"/>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7"/>
        </w:trPr>
        <w:tc>
          <w:tcPr>
            <w:tcW w:w="56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exercisable at the end of period</w:t>
            </w:r>
          </w:p>
        </w:tc>
        <w:tc>
          <w:tcPr>
            <w:tcW w:w="19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6,871</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4.43</w:t>
            </w:r>
          </w:p>
        </w:tc>
        <w:tc>
          <w:tcPr>
            <w:tcW w:w="1780" w:type="dxa"/>
            <w:vAlign w:val="bottom"/>
            <w:gridSpan w:val="2"/>
            <w:shd w:val="clear" w:color="auto" w:fill="EEEEEE"/>
          </w:tcPr>
          <w:p>
            <w:pPr>
              <w:ind w:left="500"/>
              <w:spacing w:after="0"/>
              <w:rPr>
                <w:sz w:val="20"/>
                <w:szCs w:val="20"/>
                <w:color w:val="auto"/>
              </w:rPr>
            </w:pPr>
            <w:r>
              <w:rPr>
                <w:rFonts w:ascii="Times New Roman" w:cs="Times New Roman" w:eastAsia="Times New Roman" w:hAnsi="Times New Roman"/>
                <w:sz w:val="18"/>
                <w:szCs w:val="18"/>
                <w:color w:val="auto"/>
              </w:rPr>
              <w:t>2.29 years</w:t>
            </w:r>
          </w:p>
        </w:tc>
      </w:tr>
      <w:tr>
        <w:trPr>
          <w:trHeight w:val="20"/>
        </w:trPr>
        <w:tc>
          <w:tcPr>
            <w:tcW w:w="5640" w:type="dxa"/>
            <w:vAlign w:val="bottom"/>
            <w:tcBorders>
              <w:top w:val="single" w:sz="8" w:color="EEEEEE"/>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price distribution of stock options outstanding and exercisable for the years ended March 31, 2023 and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34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shares as of</w:t>
            </w:r>
          </w:p>
        </w:tc>
        <w:tc>
          <w:tcPr>
            <w:tcW w:w="3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 as of</w:t>
            </w:r>
          </w:p>
        </w:tc>
      </w:tr>
      <w:tr>
        <w:trPr>
          <w:trHeight w:val="238"/>
        </w:trPr>
        <w:tc>
          <w:tcPr>
            <w:tcW w:w="4620" w:type="dxa"/>
            <w:vAlign w:val="bottom"/>
          </w:tcPr>
          <w:p>
            <w:pPr>
              <w:spacing w:after="0"/>
              <w:rPr>
                <w:sz w:val="20"/>
                <w:szCs w:val="20"/>
                <w:color w:val="auto"/>
              </w:rPr>
            </w:pPr>
          </w:p>
        </w:tc>
        <w:tc>
          <w:tcPr>
            <w:tcW w:w="34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3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r>
      <w:tr>
        <w:trPr>
          <w:trHeight w:val="223"/>
        </w:trPr>
        <w:tc>
          <w:tcPr>
            <w:tcW w:w="4620" w:type="dxa"/>
            <w:vAlign w:val="bottom"/>
          </w:tcPr>
          <w:p>
            <w:pPr>
              <w:spacing w:after="0"/>
              <w:rPr>
                <w:sz w:val="19"/>
                <w:szCs w:val="19"/>
                <w:color w:val="auto"/>
              </w:rPr>
            </w:pPr>
          </w:p>
        </w:tc>
        <w:tc>
          <w:tcPr>
            <w:tcW w:w="172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00" w:type="dxa"/>
            <w:vAlign w:val="bottom"/>
          </w:tcPr>
          <w:p>
            <w:pPr>
              <w:spacing w:after="0"/>
              <w:rPr>
                <w:sz w:val="19"/>
                <w:szCs w:val="19"/>
                <w:color w:val="auto"/>
              </w:rPr>
            </w:pPr>
          </w:p>
        </w:tc>
        <w:tc>
          <w:tcPr>
            <w:tcW w:w="166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tcPr>
          <w:p>
            <w:pPr>
              <w:spacing w:after="0"/>
              <w:rPr>
                <w:sz w:val="19"/>
                <w:szCs w:val="19"/>
                <w:color w:val="auto"/>
              </w:rPr>
            </w:pPr>
          </w:p>
        </w:tc>
      </w:tr>
      <w:tr>
        <w:trPr>
          <w:trHeight w:val="210"/>
        </w:trPr>
        <w:tc>
          <w:tcPr>
            <w:tcW w:w="4620" w:type="dxa"/>
            <w:vAlign w:val="bottom"/>
          </w:tcPr>
          <w:p>
            <w:pPr>
              <w:spacing w:after="0"/>
              <w:rPr>
                <w:sz w:val="18"/>
                <w:szCs w:val="18"/>
                <w:color w:val="auto"/>
              </w:rPr>
            </w:pPr>
          </w:p>
        </w:tc>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8"/>
                <w:szCs w:val="18"/>
                <w:color w:val="auto"/>
              </w:rPr>
            </w:pPr>
          </w:p>
        </w:tc>
        <w:tc>
          <w:tcPr>
            <w:tcW w:w="3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$2.00 - $2.99</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1,440</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$3.00 - $3.99</w:t>
            </w:r>
          </w:p>
        </w:tc>
        <w:tc>
          <w:tcPr>
            <w:tcW w:w="17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3,646</w:t>
            </w:r>
          </w:p>
        </w:tc>
        <w:tc>
          <w:tcPr>
            <w:tcW w:w="16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3,356</w:t>
            </w: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3,785</w:t>
            </w:r>
          </w:p>
        </w:tc>
        <w:tc>
          <w:tcPr>
            <w:tcW w:w="1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3,495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$4.00 - $4.99</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2,677</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1,802</w:t>
            </w: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$5.00 - $5.99</w:t>
            </w:r>
          </w:p>
        </w:tc>
        <w:tc>
          <w:tcPr>
            <w:tcW w:w="17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$6.00 - $6.99</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$7.00 - $7.99</w:t>
            </w:r>
          </w:p>
        </w:tc>
        <w:tc>
          <w:tcPr>
            <w:tcW w:w="17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608</w:t>
            </w:r>
          </w:p>
        </w:tc>
        <w:tc>
          <w:tcPr>
            <w:tcW w:w="16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608</w:t>
            </w: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748</w:t>
            </w:r>
          </w:p>
        </w:tc>
        <w:tc>
          <w:tcPr>
            <w:tcW w:w="1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$10.00 - $10.99</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1,710</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46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10,081</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6"/>
        </w:trPr>
        <w:tc>
          <w:tcPr>
            <w:tcW w:w="46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2023 the aggregate intrinsic value of options outstanding and exercisable was $56.5 million and $43.0 million, respectively. There were 1,086,000 options exercised for the three months ended March 31, 2023 compared to 1,366,000 for the comparable period in 2022. The total intrinsic value of options exercised was $3.8 million and $10.2 for the three-month periods ended March 31, 2023 and 2022. There were 2,661,000 shares available for future stock option grants under existing plans as of March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Company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describes the purchase of our common stock for the three months ended March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2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620" w:type="dxa"/>
            <w:vAlign w:val="bottom"/>
          </w:tcPr>
          <w:p>
            <w:pPr>
              <w:spacing w:after="0"/>
              <w:rPr>
                <w:sz w:val="20"/>
                <w:szCs w:val="20"/>
                <w:color w:val="auto"/>
              </w:rPr>
            </w:pPr>
          </w:p>
        </w:tc>
        <w:tc>
          <w:tcPr>
            <w:tcW w:w="340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322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23"/>
        </w:trPr>
        <w:tc>
          <w:tcPr>
            <w:tcW w:w="4620" w:type="dxa"/>
            <w:vAlign w:val="bottom"/>
          </w:tcPr>
          <w:p>
            <w:pPr>
              <w:spacing w:after="0"/>
              <w:rPr>
                <w:sz w:val="19"/>
                <w:szCs w:val="19"/>
                <w:color w:val="auto"/>
              </w:rPr>
            </w:pPr>
          </w:p>
        </w:tc>
        <w:tc>
          <w:tcPr>
            <w:tcW w:w="172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200" w:type="dxa"/>
            <w:vAlign w:val="bottom"/>
          </w:tcPr>
          <w:p>
            <w:pPr>
              <w:spacing w:after="0"/>
              <w:rPr>
                <w:sz w:val="19"/>
                <w:szCs w:val="19"/>
                <w:color w:val="auto"/>
              </w:rPr>
            </w:pPr>
          </w:p>
        </w:tc>
        <w:tc>
          <w:tcPr>
            <w:tcW w:w="166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100" w:type="dxa"/>
            <w:vAlign w:val="bottom"/>
          </w:tcPr>
          <w:p>
            <w:pPr>
              <w:spacing w:after="0"/>
              <w:rPr>
                <w:sz w:val="19"/>
                <w:szCs w:val="19"/>
                <w:color w:val="auto"/>
              </w:rPr>
            </w:pPr>
          </w:p>
        </w:tc>
      </w:tr>
      <w:tr>
        <w:trPr>
          <w:trHeight w:val="209"/>
        </w:trPr>
        <w:tc>
          <w:tcPr>
            <w:tcW w:w="46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263,185</w:t>
            </w:r>
          </w:p>
        </w:tc>
        <w:tc>
          <w:tcPr>
            <w:tcW w:w="2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922,363</w:t>
            </w:r>
          </w:p>
        </w:tc>
        <w:tc>
          <w:tcPr>
            <w:tcW w:w="2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Shares redeemed upon net exercise of stock options</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458,392</w:t>
            </w:r>
          </w:p>
        </w:tc>
        <w:tc>
          <w:tcPr>
            <w:tcW w:w="22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9.93</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295,088</w:t>
            </w: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r>
      <w:tr>
        <w:trPr>
          <w:trHeight w:val="223"/>
        </w:trPr>
        <w:tc>
          <w:tcPr>
            <w:tcW w:w="46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stock purchases</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721,577</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1,217,451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Some items in the prior year financial statements were reclassified to conform to the current presentation. Reclassifications had no effect on net income or shareholders’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March 31, 2023,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Contingent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Standards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2022, the Financial Accounting Standards Board (“FASB”) issued Accounting Standards Update ("ASU") 2022-02, known as the Financial Instruments – Credit Losses (Topic 326), Troubled Debt Restructurings and Vintage Disclosures. ASU 2022-02 eliminates the accounting guidance for TDRs in ASC 310-40 on troubled debt restructurings for entities that have adopted the CECL model introduced by ASU 2016-13, Current Expected Credit Loss. ASU 2022-02 also requires that public business entities disclose current-period gross charge offs by year of origination for financing receivables and net investments in leases within the scope of Subtopic 326-20, Financial Instruments – Credit Losses – Measured at Amortized Cost. This guidance is effective for fiscal years beginning after December 15, 2022, and the adoption of this guidance did not have a material impact on the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Finance Receivables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Automobile finance receivables, net of unearned interest was $69.5 million and $92.3 million as of March 31, 2023 and December 31, 2022, respectively. The following table summarizes the delinquency status of finance receivables as of March 31, 2023 and December 31,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0"/>
                <w:szCs w:val="20"/>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45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Deliquency Status</w:t>
            </w:r>
          </w:p>
        </w:tc>
        <w:tc>
          <w:tcPr>
            <w:tcW w:w="3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3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52,630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65,764</w:t>
            </w:r>
          </w:p>
        </w:tc>
        <w:tc>
          <w:tcPr>
            <w:tcW w:w="8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31</w:t>
            </w:r>
          </w:p>
        </w:tc>
        <w:tc>
          <w:tcPr>
            <w:tcW w:w="43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- 60 days</w:t>
            </w:r>
          </w:p>
        </w:tc>
        <w:tc>
          <w:tcPr>
            <w:tcW w:w="3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10,950</w:t>
            </w: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16,796</w:t>
            </w:r>
          </w:p>
        </w:tc>
        <w:tc>
          <w:tcPr>
            <w:tcW w:w="80" w:type="dxa"/>
            <w:vAlign w:val="bottom"/>
            <w:shd w:val="clear" w:color="auto" w:fill="EEEEEE"/>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days</w:t>
            </w: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4,769</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7,756</w:t>
            </w:r>
          </w:p>
        </w:tc>
        <w:tc>
          <w:tcPr>
            <w:tcW w:w="80" w:type="dxa"/>
            <w:vAlign w:val="bottom"/>
          </w:tcPr>
          <w:p>
            <w:pPr>
              <w:spacing w:after="0"/>
              <w:rPr>
                <w:sz w:val="18"/>
                <w:szCs w:val="18"/>
                <w:color w:val="auto"/>
              </w:rPr>
            </w:pPr>
          </w:p>
        </w:tc>
      </w:tr>
      <w:tr>
        <w:trPr>
          <w:trHeight w:val="230"/>
        </w:trPr>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91</w:t>
            </w:r>
          </w:p>
        </w:tc>
        <w:tc>
          <w:tcPr>
            <w:tcW w:w="43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days</w:t>
            </w:r>
          </w:p>
        </w:tc>
        <w:tc>
          <w:tcPr>
            <w:tcW w:w="3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1,184</w:t>
            </w:r>
          </w:p>
        </w:tc>
        <w:tc>
          <w:tcPr>
            <w:tcW w:w="18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1,988</w:t>
            </w:r>
          </w:p>
        </w:tc>
        <w:tc>
          <w:tcPr>
            <w:tcW w:w="80" w:type="dxa"/>
            <w:vAlign w:val="bottom"/>
            <w:shd w:val="clear" w:color="auto" w:fill="EEEEEE"/>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69,533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Finance receivables totaling $1.2 million and $2.0 million at March 31, 2023 and December 31, 2022, respectively, including all receivables greater than 90 days delinquent, have been placed on non-accrual status as a result of their delinquency status.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 Finance Receivables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However, we have considered how certain qualitative factors may affect future credit losses and have incorporated our judgement of the effect of such factors into our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our finance receivables by annual vintage as of March 31,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9"/>
                <w:szCs w:val="19"/>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9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gridSpan w:val="4"/>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18"/>
                <w:szCs w:val="18"/>
                <w:color w:val="auto"/>
              </w:rPr>
            </w:pPr>
          </w:p>
        </w:tc>
      </w:tr>
      <w:tr>
        <w:trPr>
          <w:trHeight w:val="196"/>
        </w:trPr>
        <w:tc>
          <w:tcPr>
            <w:tcW w:w="2960" w:type="dxa"/>
            <w:vAlign w:val="bottom"/>
            <w:tcBorders>
              <w:bottom w:val="single" w:sz="8" w:color="EEEEEE"/>
            </w:tcBorders>
            <w:shd w:val="clear" w:color="auto" w:fill="EEEEEE"/>
          </w:tcPr>
          <w:p>
            <w:pPr>
              <w:spacing w:after="0"/>
              <w:rPr>
                <w:sz w:val="17"/>
                <w:szCs w:val="17"/>
                <w:color w:val="auto"/>
              </w:rPr>
            </w:pPr>
          </w:p>
        </w:tc>
        <w:tc>
          <w:tcPr>
            <w:tcW w:w="1520" w:type="dxa"/>
            <w:vAlign w:val="bottom"/>
            <w:tcBorders>
              <w:bottom w:val="single" w:sz="8" w:color="auto"/>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w w:val="98"/>
              </w:rPr>
              <w:t>Annual Vintage Pool</w:t>
            </w:r>
          </w:p>
        </w:tc>
        <w:tc>
          <w:tcPr>
            <w:tcW w:w="3340" w:type="dxa"/>
            <w:vAlign w:val="bottom"/>
            <w:tcBorders>
              <w:bottom w:val="single" w:sz="8" w:color="EEEEEE"/>
            </w:tcBorders>
            <w:gridSpan w:val="2"/>
            <w:shd w:val="clear" w:color="auto" w:fill="EEEEEE"/>
          </w:tcPr>
          <w:p>
            <w:pPr>
              <w:spacing w:after="0"/>
              <w:rPr>
                <w:sz w:val="17"/>
                <w:szCs w:val="17"/>
                <w:color w:val="auto"/>
              </w:rPr>
            </w:pPr>
          </w:p>
        </w:tc>
        <w:tc>
          <w:tcPr>
            <w:tcW w:w="142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148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2014 and prior</w:t>
            </w:r>
          </w:p>
        </w:tc>
        <w:tc>
          <w:tcPr>
            <w:tcW w:w="486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1,865</w:t>
            </w:r>
          </w:p>
        </w:tc>
        <w:tc>
          <w:tcPr>
            <w:tcW w:w="80" w:type="dxa"/>
            <w:vAlign w:val="bottom"/>
          </w:tcPr>
          <w:p>
            <w:pPr>
              <w:spacing w:after="0"/>
              <w:rPr>
                <w:sz w:val="18"/>
                <w:szCs w:val="18"/>
                <w:color w:val="auto"/>
              </w:rPr>
            </w:pPr>
          </w:p>
        </w:tc>
      </w:tr>
      <w:tr>
        <w:trPr>
          <w:trHeight w:val="216"/>
        </w:trPr>
        <w:tc>
          <w:tcPr>
            <w:tcW w:w="2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2015</w:t>
            </w:r>
          </w:p>
        </w:tc>
        <w:tc>
          <w:tcPr>
            <w:tcW w:w="1520" w:type="dxa"/>
            <w:vAlign w:val="bottom"/>
            <w:shd w:val="clear" w:color="auto" w:fill="EEEEEE"/>
          </w:tcPr>
          <w:p>
            <w:pPr>
              <w:spacing w:after="0"/>
              <w:rPr>
                <w:sz w:val="18"/>
                <w:szCs w:val="18"/>
                <w:color w:val="auto"/>
              </w:rPr>
            </w:pPr>
          </w:p>
        </w:tc>
        <w:tc>
          <w:tcPr>
            <w:tcW w:w="30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5,853</w:t>
            </w: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8,627</w:t>
            </w:r>
          </w:p>
        </w:tc>
        <w:tc>
          <w:tcPr>
            <w:tcW w:w="80" w:type="dxa"/>
            <w:vAlign w:val="bottom"/>
            <w:shd w:val="clear" w:color="auto" w:fill="EEEEEE"/>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21,084</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28,632</w:t>
            </w:r>
          </w:p>
        </w:tc>
        <w:tc>
          <w:tcPr>
            <w:tcW w:w="80" w:type="dxa"/>
            <w:vAlign w:val="bottom"/>
          </w:tcPr>
          <w:p>
            <w:pPr>
              <w:spacing w:after="0"/>
              <w:rPr>
                <w:sz w:val="18"/>
                <w:szCs w:val="18"/>
                <w:color w:val="auto"/>
              </w:rPr>
            </w:pPr>
          </w:p>
        </w:tc>
      </w:tr>
      <w:tr>
        <w:trPr>
          <w:trHeight w:val="230"/>
        </w:trPr>
        <w:tc>
          <w:tcPr>
            <w:tcW w:w="2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2017</w:t>
            </w:r>
          </w:p>
        </w:tc>
        <w:tc>
          <w:tcPr>
            <w:tcW w:w="1520" w:type="dxa"/>
            <w:vAlign w:val="bottom"/>
            <w:shd w:val="clear" w:color="auto" w:fill="EEEEEE"/>
          </w:tcPr>
          <w:p>
            <w:pPr>
              <w:spacing w:after="0"/>
              <w:rPr>
                <w:sz w:val="19"/>
                <w:szCs w:val="19"/>
                <w:color w:val="auto"/>
              </w:rPr>
            </w:pPr>
          </w:p>
        </w:tc>
        <w:tc>
          <w:tcPr>
            <w:tcW w:w="30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41,324</w:t>
            </w:r>
          </w:p>
        </w:tc>
        <w:tc>
          <w:tcPr>
            <w:tcW w:w="20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53,180</w:t>
            </w:r>
          </w:p>
        </w:tc>
        <w:tc>
          <w:tcPr>
            <w:tcW w:w="80" w:type="dxa"/>
            <w:vAlign w:val="bottom"/>
            <w:shd w:val="clear" w:color="auto" w:fill="EEEEEE"/>
          </w:tcPr>
          <w:p>
            <w:pPr>
              <w:spacing w:after="0"/>
              <w:rPr>
                <w:sz w:val="19"/>
                <w:szCs w:val="19"/>
                <w:color w:val="auto"/>
              </w:rPr>
            </w:pPr>
          </w:p>
        </w:tc>
      </w:tr>
      <w:tr>
        <w:trPr>
          <w:trHeight w:val="223"/>
        </w:trPr>
        <w:tc>
          <w:tcPr>
            <w:tcW w:w="2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69,533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activity for the allowance for finance credit losses for the three-month periods ended March 31,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000" w:type="dxa"/>
            <w:vAlign w:val="bottom"/>
            <w:gridSpan w:val="4"/>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5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10"/>
        </w:trPr>
        <w:tc>
          <w:tcPr>
            <w:tcW w:w="5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gridSpan w:val="3"/>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120" w:type="dxa"/>
            <w:vAlign w:val="bottom"/>
            <w:gridSpan w:val="2"/>
            <w:shd w:val="clear" w:color="auto" w:fill="EEEEEE"/>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21,753</w:t>
            </w:r>
          </w:p>
        </w:tc>
        <w:tc>
          <w:tcPr>
            <w:tcW w:w="1100" w:type="dxa"/>
            <w:vAlign w:val="bottom"/>
            <w:shd w:val="clear" w:color="auto" w:fill="EEEEEE"/>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56,206</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 on finance receivables</w:t>
            </w:r>
          </w:p>
        </w:tc>
        <w:tc>
          <w:tcPr>
            <w:tcW w:w="2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(9,000)</w:t>
            </w:r>
          </w:p>
        </w:tc>
        <w:tc>
          <w:tcPr>
            <w:tcW w:w="1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(9,400)</w:t>
            </w:r>
          </w:p>
        </w:tc>
      </w:tr>
      <w:tr>
        <w:trPr>
          <w:trHeight w:val="216"/>
        </w:trPr>
        <w:tc>
          <w:tcPr>
            <w:tcW w:w="5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Charge-offs</w:t>
            </w:r>
          </w:p>
        </w:tc>
        <w:tc>
          <w:tcPr>
            <w:tcW w:w="20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(3,018)</w:t>
            </w:r>
          </w:p>
        </w:tc>
        <w:tc>
          <w:tcPr>
            <w:tcW w:w="11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(5,359)</w:t>
            </w: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2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4,993</w:t>
            </w:r>
          </w:p>
        </w:tc>
        <w:tc>
          <w:tcPr>
            <w:tcW w:w="1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3,554</w:t>
            </w:r>
          </w:p>
        </w:tc>
      </w:tr>
      <w:tr>
        <w:trPr>
          <w:trHeight w:val="223"/>
        </w:trPr>
        <w:tc>
          <w:tcPr>
            <w:tcW w:w="55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2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shd w:val="clear" w:color="auto" w:fill="EEEEEE"/>
          </w:tcPr>
          <w:p>
            <w:pPr>
              <w:jc w:val="right"/>
              <w:ind w:right="93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14,728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shd w:val="clear" w:color="auto" w:fill="EEEEEE"/>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45,001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charge-offs by year of origination of our finance receivables for the three-month periods ended March 31, 2023 and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96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Annual Vintage Pool</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470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880" w:type="dxa"/>
            <w:vAlign w:val="bottom"/>
            <w:gridSpan w:val="3"/>
          </w:tcPr>
          <w:p>
            <w:pPr>
              <w:jc w:val="center"/>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2014 and prior</w:t>
            </w:r>
          </w:p>
        </w:tc>
        <w:tc>
          <w:tcPr>
            <w:tcW w:w="5780" w:type="dxa"/>
            <w:vAlign w:val="bottom"/>
            <w:gridSpan w:val="3"/>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141</w:t>
            </w:r>
          </w:p>
        </w:tc>
        <w:tc>
          <w:tcPr>
            <w:tcW w:w="1060" w:type="dxa"/>
            <w:vAlign w:val="bottom"/>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5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444</w:t>
            </w:r>
          </w:p>
        </w:tc>
        <w:tc>
          <w:tcPr>
            <w:tcW w:w="10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2016</w:t>
            </w:r>
          </w:p>
        </w:tc>
        <w:tc>
          <w:tcPr>
            <w:tcW w:w="1520" w:type="dxa"/>
            <w:vAlign w:val="bottom"/>
            <w:shd w:val="clear" w:color="auto" w:fill="EEEEEE"/>
          </w:tcPr>
          <w:p>
            <w:pPr>
              <w:spacing w:after="0"/>
              <w:rPr>
                <w:sz w:val="18"/>
                <w:szCs w:val="18"/>
                <w:color w:val="auto"/>
              </w:rPr>
            </w:pPr>
          </w:p>
        </w:tc>
        <w:tc>
          <w:tcPr>
            <w:tcW w:w="3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1,321</w:t>
            </w:r>
          </w:p>
        </w:tc>
        <w:tc>
          <w:tcPr>
            <w:tcW w:w="10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5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1,502</w:t>
            </w:r>
          </w:p>
        </w:tc>
        <w:tc>
          <w:tcPr>
            <w:tcW w:w="10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Applied against repos in inventory (net)</w:t>
            </w:r>
          </w:p>
        </w:tc>
        <w:tc>
          <w:tcPr>
            <w:tcW w:w="1520" w:type="dxa"/>
            <w:vAlign w:val="bottom"/>
            <w:shd w:val="clear" w:color="auto" w:fill="EEEEEE"/>
          </w:tcPr>
          <w:p>
            <w:pPr>
              <w:spacing w:after="0"/>
              <w:rPr>
                <w:sz w:val="19"/>
                <w:szCs w:val="19"/>
                <w:color w:val="auto"/>
              </w:rPr>
            </w:pPr>
          </w:p>
        </w:tc>
        <w:tc>
          <w:tcPr>
            <w:tcW w:w="318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(390)</w:t>
            </w:r>
          </w:p>
        </w:tc>
        <w:tc>
          <w:tcPr>
            <w:tcW w:w="1060" w:type="dxa"/>
            <w:vAlign w:val="bottom"/>
            <w:shd w:val="clear" w:color="auto" w:fill="EEEEEE"/>
          </w:tcPr>
          <w:p>
            <w:pPr>
              <w:spacing w:after="0"/>
              <w:rPr>
                <w:sz w:val="19"/>
                <w:szCs w:val="19"/>
                <w:color w:val="auto"/>
              </w:rPr>
            </w:pPr>
          </w:p>
        </w:tc>
        <w:tc>
          <w:tcPr>
            <w:tcW w:w="62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3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56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6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580" w:type="dxa"/>
            <w:vAlign w:val="bottom"/>
            <w:gridSpan w:val="5"/>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5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balance of repossessions in inventory</w:t>
            </w:r>
          </w:p>
        </w:tc>
        <w:tc>
          <w:tcPr>
            <w:tcW w:w="3220" w:type="dxa"/>
            <w:vAlign w:val="bottom"/>
            <w:gridSpan w:val="2"/>
            <w:shd w:val="clear" w:color="auto" w:fill="EEEEEE"/>
          </w:tcPr>
          <w:p>
            <w:pPr>
              <w:jc w:val="right"/>
              <w:ind w:right="109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w w:val="98"/>
              </w:rPr>
              <w:t>1,403</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1,894</w:t>
            </w: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losses on repossessed inventory</w:t>
            </w:r>
          </w:p>
        </w:tc>
        <w:tc>
          <w:tcPr>
            <w:tcW w:w="1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(933)</w:t>
            </w:r>
          </w:p>
        </w:tc>
        <w:tc>
          <w:tcPr>
            <w:tcW w:w="2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(1,323)</w:t>
            </w:r>
          </w:p>
        </w:tc>
      </w:tr>
      <w:tr>
        <w:trPr>
          <w:trHeight w:val="223"/>
        </w:trPr>
        <w:tc>
          <w:tcPr>
            <w:tcW w:w="56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repossessed inventory included in other assets</w:t>
            </w:r>
          </w:p>
        </w:tc>
        <w:tc>
          <w:tcPr>
            <w:tcW w:w="1960" w:type="dxa"/>
            <w:vAlign w:val="bottom"/>
            <w:tcBorders>
              <w:top w:val="single" w:sz="8" w:color="EEEEEE"/>
              <w:bottom w:val="single" w:sz="8" w:color="EEEEEE"/>
            </w:tcBorders>
            <w:shd w:val="clear" w:color="auto" w:fill="EEEEEE"/>
          </w:tcPr>
          <w:p>
            <w:pPr>
              <w:spacing w:after="0"/>
              <w:rPr>
                <w:sz w:val="19"/>
                <w:szCs w:val="19"/>
                <w:color w:val="auto"/>
              </w:rPr>
            </w:pPr>
          </w:p>
        </w:tc>
        <w:tc>
          <w:tcPr>
            <w:tcW w:w="1260" w:type="dxa"/>
            <w:vAlign w:val="bottom"/>
            <w:tcBorders>
              <w:top w:val="single" w:sz="8" w:color="auto"/>
              <w:bottom w:val="single" w:sz="8" w:color="auto"/>
            </w:tcBorders>
            <w:shd w:val="clear" w:color="auto" w:fill="EEEEEE"/>
          </w:tcPr>
          <w:p>
            <w:pPr>
              <w:jc w:val="right"/>
              <w:ind w:right="1091"/>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Securitization Trust Debt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Final</w:t>
            </w:r>
          </w:p>
        </w:tc>
        <w:tc>
          <w:tcPr>
            <w:tcW w:w="1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18"/>
                <w:szCs w:val="18"/>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Debt Interest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Scheduled</w:t>
            </w:r>
          </w:p>
        </w:tc>
        <w:tc>
          <w:tcPr>
            <w:tcW w:w="1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Pledged at</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Principal at</w:t>
            </w:r>
          </w:p>
        </w:tc>
        <w:tc>
          <w:tcPr>
            <w:tcW w:w="80" w:type="dxa"/>
            <w:vAlign w:val="bottom"/>
          </w:tcPr>
          <w:p>
            <w:pPr>
              <w:spacing w:after="0"/>
              <w:rPr>
                <w:sz w:val="18"/>
                <w:szCs w:val="18"/>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Principal at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Rate at</w:t>
            </w:r>
          </w:p>
        </w:tc>
        <w:tc>
          <w:tcPr>
            <w:tcW w:w="0" w:type="dxa"/>
            <w:vAlign w:val="bottom"/>
          </w:tcPr>
          <w:p>
            <w:pPr>
              <w:spacing w:after="0"/>
              <w:rPr>
                <w:sz w:val="1"/>
                <w:szCs w:val="1"/>
                <w:color w:val="auto"/>
              </w:rPr>
            </w:pPr>
          </w:p>
        </w:tc>
      </w:tr>
      <w:tr>
        <w:trPr>
          <w:trHeight w:val="229"/>
        </w:trPr>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4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8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19"/>
                <w:szCs w:val="19"/>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228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18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Date (1)</w:t>
            </w: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2023 (2)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2018-A</w:t>
            </w:r>
          </w:p>
        </w:tc>
        <w:tc>
          <w:tcPr>
            <w:tcW w:w="180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March 2025</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190,000</w:t>
            </w:r>
          </w:p>
        </w:tc>
        <w:tc>
          <w:tcPr>
            <w:tcW w:w="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12,939</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2018-B</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2024</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201,823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17,077</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2018-C</w:t>
            </w:r>
          </w:p>
        </w:tc>
        <w:tc>
          <w:tcPr>
            <w:tcW w:w="180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September 2025</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20,407</w:t>
            </w: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230,275</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15,873</w:t>
            </w:r>
          </w:p>
        </w:tc>
        <w:tc>
          <w:tcPr>
            <w:tcW w:w="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20,222</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2018-D</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June 2025</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24,958</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233,730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20,639</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25,563</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2019-A</w:t>
            </w:r>
          </w:p>
        </w:tc>
        <w:tc>
          <w:tcPr>
            <w:tcW w:w="180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March 2026</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31,633</w:t>
            </w: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254,400</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27,107</w:t>
            </w:r>
          </w:p>
        </w:tc>
        <w:tc>
          <w:tcPr>
            <w:tcW w:w="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32,898</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2019-B</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June 2026</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33,965</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228,275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29,262</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33,897</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2019-C</w:t>
            </w:r>
          </w:p>
        </w:tc>
        <w:tc>
          <w:tcPr>
            <w:tcW w:w="180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September 2026</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40,054</w:t>
            </w: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243,513</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35,650</w:t>
            </w:r>
          </w:p>
        </w:tc>
        <w:tc>
          <w:tcPr>
            <w:tcW w:w="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41,515</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2019-D</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2026</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52,643</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274,313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46,672</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53,625</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2020-A</w:t>
            </w:r>
          </w:p>
        </w:tc>
        <w:tc>
          <w:tcPr>
            <w:tcW w:w="180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March 2027</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48,654</w:t>
            </w: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260,000</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44,845</w:t>
            </w:r>
          </w:p>
        </w:tc>
        <w:tc>
          <w:tcPr>
            <w:tcW w:w="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52,705</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2020-B</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June 2027</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55,858</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202,343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36,595</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41,736</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2020-C</w:t>
            </w:r>
          </w:p>
        </w:tc>
        <w:tc>
          <w:tcPr>
            <w:tcW w:w="180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November 2027</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75,563</w:t>
            </w: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252,200</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64,089</w:t>
            </w:r>
          </w:p>
        </w:tc>
        <w:tc>
          <w:tcPr>
            <w:tcW w:w="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72,894</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2021-A</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March 2028</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80,223</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230,545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61,051</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72,076</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2021-B</w:t>
            </w:r>
          </w:p>
        </w:tc>
        <w:tc>
          <w:tcPr>
            <w:tcW w:w="180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June 2028</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101,063</w:t>
            </w: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88,714</w:t>
            </w:r>
          </w:p>
        </w:tc>
        <w:tc>
          <w:tcPr>
            <w:tcW w:w="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101,206</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2021-C</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September 2028</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147,527</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130,671</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147,593</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2021-D</w:t>
            </w:r>
          </w:p>
        </w:tc>
        <w:tc>
          <w:tcPr>
            <w:tcW w:w="180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December 2028</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200,339</w:t>
            </w: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349,202</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186,363</w:t>
            </w:r>
          </w:p>
        </w:tc>
        <w:tc>
          <w:tcPr>
            <w:tcW w:w="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209,277</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2022-A</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April 2029</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220,157</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316,800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201,403</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222,613</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2022-B</w:t>
            </w:r>
          </w:p>
        </w:tc>
        <w:tc>
          <w:tcPr>
            <w:tcW w:w="180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October 2029</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325,908</w:t>
            </w: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395,600</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298,734</w:t>
            </w:r>
          </w:p>
        </w:tc>
        <w:tc>
          <w:tcPr>
            <w:tcW w:w="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325,907</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2022-C</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April 2030</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364,484</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391,600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318,725</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346,714</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2022-D</w:t>
            </w:r>
          </w:p>
        </w:tc>
        <w:tc>
          <w:tcPr>
            <w:tcW w:w="180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August 2030</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302,057</w:t>
            </w: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307,018</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274,951</w:t>
            </w:r>
          </w:p>
        </w:tc>
        <w:tc>
          <w:tcPr>
            <w:tcW w:w="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292,461</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9"/>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2023-A</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November 2030</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220,157</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324,768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308,120</w:t>
            </w:r>
          </w:p>
        </w:tc>
        <w:tc>
          <w:tcPr>
            <w:tcW w:w="80" w:type="dxa"/>
            <w:vAlign w:val="bottom"/>
          </w:tcPr>
          <w:p>
            <w:pPr>
              <w:spacing w:after="0"/>
              <w:rPr>
                <w:sz w:val="19"/>
                <w:szCs w:val="19"/>
                <w:color w:val="auto"/>
              </w:rPr>
            </w:pP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23"/>
        </w:trPr>
        <w:tc>
          <w:tcPr>
            <w:tcW w:w="216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8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2,345,648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5,417,405</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2,189,463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2,122,919</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20" w:type="dxa"/>
            <w:vAlign w:val="bottom"/>
            <w:vMerge w:val="restart"/>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53" w:lineRule="auto"/>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$644.0 million in 2023, $659.5 million in 2024, $398.9 million in 2025, $239.7 million in 2026, $151.8 million in 2027, $76.0 million in 2028, and $5.2 million in 2029.</w:t>
      </w:r>
    </w:p>
    <w:p>
      <w:pPr>
        <w:spacing w:after="0" w:line="186"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repossessed assets that are included in Other assets on our Unaudited Condensed Consolidated Balance Sheet.</w:t>
      </w:r>
    </w:p>
    <w:p>
      <w:pPr>
        <w:sectPr>
          <w:pgSz w:w="11900" w:h="16838" w:orient="portrait"/>
          <w:cols w:equalWidth="0" w:num="1">
            <w:col w:w="11240"/>
          </w:cols>
          <w:pgMar w:left="320" w:top="684" w:right="339" w:bottom="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issuance costs of $14.4 million and $14.2 million as of March 31, 2023 and December 31, 2022, respectively, have been excluded from the table above. These debt issuance costs are presented as a direct deduction to the carrying amount of the Securitization trust debt on our Consolidated Balance Sheets.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March 31, 2023, we were in compliance with all such covenants.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March 31, 2023, restricted cash under the various agreements totaled approximately $158.9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9"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and amounts of our other debt outstanding at March 31, 2023 and December 31, 2022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Amount Outstanding at</w:t>
            </w:r>
          </w:p>
        </w:tc>
        <w:tc>
          <w:tcPr>
            <w:tcW w:w="0" w:type="dxa"/>
            <w:vAlign w:val="bottom"/>
          </w:tcPr>
          <w:p>
            <w:pPr>
              <w:spacing w:after="0"/>
              <w:rPr>
                <w:sz w:val="1"/>
                <w:szCs w:val="1"/>
                <w:color w:val="auto"/>
              </w:rPr>
            </w:pPr>
          </w:p>
        </w:tc>
      </w:tr>
      <w:tr>
        <w:trPr>
          <w:trHeight w:val="245"/>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3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Description</w:t>
            </w:r>
          </w:p>
        </w:tc>
        <w:tc>
          <w:tcPr>
            <w:tcW w:w="2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Interest Rate</w:t>
            </w: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Maturity</w:t>
            </w:r>
          </w:p>
        </w:tc>
        <w:tc>
          <w:tcPr>
            <w:tcW w:w="100" w:type="dxa"/>
            <w:vAlign w:val="bottom"/>
          </w:tcPr>
          <w:p>
            <w:pPr>
              <w:spacing w:after="0"/>
              <w:rPr>
                <w:sz w:val="20"/>
                <w:szCs w:val="20"/>
                <w:color w:val="auto"/>
              </w:rPr>
            </w:pPr>
          </w:p>
        </w:tc>
        <w:tc>
          <w:tcPr>
            <w:tcW w:w="358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380" w:type="dxa"/>
            <w:vAlign w:val="bottom"/>
            <w:gridSpan w:val="2"/>
            <w:vMerge w:val="continue"/>
          </w:tcPr>
          <w:p>
            <w:pPr>
              <w:spacing w:after="0"/>
              <w:rPr>
                <w:sz w:val="17"/>
                <w:szCs w:val="17"/>
                <w:color w:val="auto"/>
              </w:rPr>
            </w:pPr>
          </w:p>
        </w:tc>
        <w:tc>
          <w:tcPr>
            <w:tcW w:w="2600" w:type="dxa"/>
            <w:vAlign w:val="bottom"/>
            <w:gridSpan w:val="2"/>
            <w:vMerge w:val="continue"/>
          </w:tcPr>
          <w:p>
            <w:pPr>
              <w:spacing w:after="0"/>
              <w:rPr>
                <w:sz w:val="17"/>
                <w:szCs w:val="17"/>
                <w:color w:val="auto"/>
              </w:rPr>
            </w:pPr>
          </w:p>
        </w:tc>
        <w:tc>
          <w:tcPr>
            <w:tcW w:w="2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600" w:type="dxa"/>
            <w:vAlign w:val="bottom"/>
            <w:gridSpan w:val="2"/>
            <w:shd w:val="clear" w:color="auto" w:fill="EEEEEE"/>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3.00% over one month Libor</w:t>
            </w:r>
          </w:p>
        </w:tc>
        <w:tc>
          <w:tcPr>
            <w:tcW w:w="24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gridSpan w:val="2"/>
            <w:vMerge w:val="restart"/>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60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(Minimum 3.75%) 7.99% and</w:t>
            </w:r>
          </w:p>
        </w:tc>
        <w:tc>
          <w:tcPr>
            <w:tcW w:w="2480" w:type="dxa"/>
            <w:vAlign w:val="bottom"/>
            <w:vMerge w:val="restart"/>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July 2024</w:t>
            </w:r>
          </w:p>
        </w:tc>
        <w:tc>
          <w:tcPr>
            <w:tcW w:w="2000" w:type="dxa"/>
            <w:vAlign w:val="bottom"/>
            <w:gridSpan w:val="3"/>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168,781</w:t>
            </w:r>
          </w:p>
        </w:tc>
        <w:tc>
          <w:tcPr>
            <w:tcW w:w="178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150,293</w:t>
            </w:r>
          </w:p>
        </w:tc>
        <w:tc>
          <w:tcPr>
            <w:tcW w:w="0" w:type="dxa"/>
            <w:vAlign w:val="bottom"/>
          </w:tcPr>
          <w:p>
            <w:pPr>
              <w:spacing w:after="0"/>
              <w:rPr>
                <w:sz w:val="1"/>
                <w:szCs w:val="1"/>
                <w:color w:val="auto"/>
              </w:rPr>
            </w:pPr>
          </w:p>
        </w:tc>
      </w:tr>
      <w:tr>
        <w:trPr>
          <w:trHeight w:val="126"/>
        </w:trPr>
        <w:tc>
          <w:tcPr>
            <w:tcW w:w="2380" w:type="dxa"/>
            <w:vAlign w:val="bottom"/>
            <w:gridSpan w:val="2"/>
            <w:vMerge w:val="continue"/>
            <w:shd w:val="clear" w:color="auto" w:fill="EEEEEE"/>
          </w:tcPr>
          <w:p>
            <w:pPr>
              <w:spacing w:after="0"/>
              <w:rPr>
                <w:sz w:val="10"/>
                <w:szCs w:val="10"/>
                <w:color w:val="auto"/>
              </w:rPr>
            </w:pPr>
          </w:p>
        </w:tc>
        <w:tc>
          <w:tcPr>
            <w:tcW w:w="2600" w:type="dxa"/>
            <w:vAlign w:val="bottom"/>
            <w:gridSpan w:val="2"/>
            <w:vMerge w:val="restart"/>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7.48% at March 31, 2023 and</w:t>
            </w:r>
          </w:p>
        </w:tc>
        <w:tc>
          <w:tcPr>
            <w:tcW w:w="2480" w:type="dxa"/>
            <w:vAlign w:val="bottom"/>
            <w:vMerge w:val="continue"/>
            <w:shd w:val="clear" w:color="auto" w:fill="EEEEEE"/>
          </w:tcPr>
          <w:p>
            <w:pPr>
              <w:spacing w:after="0"/>
              <w:rPr>
                <w:sz w:val="10"/>
                <w:szCs w:val="10"/>
                <w:color w:val="auto"/>
              </w:rPr>
            </w:pPr>
          </w:p>
        </w:tc>
        <w:tc>
          <w:tcPr>
            <w:tcW w:w="2000" w:type="dxa"/>
            <w:vAlign w:val="bottom"/>
            <w:gridSpan w:val="3"/>
            <w:vMerge w:val="continue"/>
            <w:shd w:val="clear" w:color="auto" w:fill="EEEEEE"/>
          </w:tcPr>
          <w:p>
            <w:pPr>
              <w:spacing w:after="0"/>
              <w:rPr>
                <w:sz w:val="10"/>
                <w:szCs w:val="10"/>
                <w:color w:val="auto"/>
              </w:rPr>
            </w:pPr>
          </w:p>
        </w:tc>
        <w:tc>
          <w:tcPr>
            <w:tcW w:w="178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260" w:type="dxa"/>
            <w:vAlign w:val="bottom"/>
            <w:shd w:val="clear" w:color="auto" w:fill="EEEEEE"/>
          </w:tcPr>
          <w:p>
            <w:pPr>
              <w:spacing w:after="0"/>
              <w:rPr>
                <w:sz w:val="7"/>
                <w:szCs w:val="7"/>
                <w:color w:val="auto"/>
              </w:rPr>
            </w:pPr>
          </w:p>
        </w:tc>
        <w:tc>
          <w:tcPr>
            <w:tcW w:w="120" w:type="dxa"/>
            <w:vAlign w:val="bottom"/>
            <w:shd w:val="clear" w:color="auto" w:fill="EEEEEE"/>
          </w:tcPr>
          <w:p>
            <w:pPr>
              <w:spacing w:after="0"/>
              <w:rPr>
                <w:sz w:val="7"/>
                <w:szCs w:val="7"/>
                <w:color w:val="auto"/>
              </w:rPr>
            </w:pPr>
          </w:p>
        </w:tc>
        <w:tc>
          <w:tcPr>
            <w:tcW w:w="2600" w:type="dxa"/>
            <w:vAlign w:val="bottom"/>
            <w:gridSpan w:val="2"/>
            <w:vMerge w:val="continue"/>
            <w:shd w:val="clear" w:color="auto" w:fill="EEEEEE"/>
          </w:tcPr>
          <w:p>
            <w:pPr>
              <w:spacing w:after="0"/>
              <w:rPr>
                <w:sz w:val="7"/>
                <w:szCs w:val="7"/>
                <w:color w:val="auto"/>
              </w:rPr>
            </w:pPr>
          </w:p>
        </w:tc>
        <w:tc>
          <w:tcPr>
            <w:tcW w:w="2480" w:type="dxa"/>
            <w:vAlign w:val="bottom"/>
            <w:shd w:val="clear" w:color="auto" w:fill="EEEEEE"/>
          </w:tcPr>
          <w:p>
            <w:pPr>
              <w:spacing w:after="0"/>
              <w:rPr>
                <w:sz w:val="7"/>
                <w:szCs w:val="7"/>
                <w:color w:val="auto"/>
              </w:rPr>
            </w:pPr>
          </w:p>
        </w:tc>
        <w:tc>
          <w:tcPr>
            <w:tcW w:w="100" w:type="dxa"/>
            <w:vAlign w:val="bottom"/>
            <w:shd w:val="clear" w:color="auto" w:fill="EEEEEE"/>
          </w:tcPr>
          <w:p>
            <w:pPr>
              <w:spacing w:after="0"/>
              <w:rPr>
                <w:sz w:val="7"/>
                <w:szCs w:val="7"/>
                <w:color w:val="auto"/>
              </w:rPr>
            </w:pPr>
          </w:p>
        </w:tc>
        <w:tc>
          <w:tcPr>
            <w:tcW w:w="1680" w:type="dxa"/>
            <w:vAlign w:val="bottom"/>
            <w:shd w:val="clear" w:color="auto" w:fill="EEEEEE"/>
          </w:tcPr>
          <w:p>
            <w:pPr>
              <w:spacing w:after="0"/>
              <w:rPr>
                <w:sz w:val="7"/>
                <w:szCs w:val="7"/>
                <w:color w:val="auto"/>
              </w:rPr>
            </w:pPr>
          </w:p>
        </w:tc>
        <w:tc>
          <w:tcPr>
            <w:tcW w:w="220" w:type="dxa"/>
            <w:vAlign w:val="bottom"/>
            <w:shd w:val="clear" w:color="auto" w:fill="EEEEEE"/>
          </w:tcPr>
          <w:p>
            <w:pPr>
              <w:spacing w:after="0"/>
              <w:rPr>
                <w:sz w:val="7"/>
                <w:szCs w:val="7"/>
                <w:color w:val="auto"/>
              </w:rPr>
            </w:pPr>
          </w:p>
        </w:tc>
        <w:tc>
          <w:tcPr>
            <w:tcW w:w="1680" w:type="dxa"/>
            <w:vAlign w:val="bottom"/>
            <w:shd w:val="clear" w:color="auto" w:fill="EEEEEE"/>
          </w:tcPr>
          <w:p>
            <w:pPr>
              <w:spacing w:after="0"/>
              <w:rPr>
                <w:sz w:val="7"/>
                <w:szCs w:val="7"/>
                <w:color w:val="auto"/>
              </w:rPr>
            </w:pPr>
          </w:p>
        </w:tc>
        <w:tc>
          <w:tcPr>
            <w:tcW w:w="100" w:type="dxa"/>
            <w:vAlign w:val="bottom"/>
            <w:shd w:val="clear" w:color="auto" w:fill="EEEEE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6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2022, respectively</w:t>
            </w:r>
          </w:p>
        </w:tc>
        <w:tc>
          <w:tcPr>
            <w:tcW w:w="24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6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6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4.15% over a commercial paper</w:t>
            </w: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rate (Minimum 5.15%) 9.09% and</w:t>
            </w: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January 2024</w:t>
            </w:r>
          </w:p>
        </w:tc>
        <w:tc>
          <w:tcPr>
            <w:tcW w:w="20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119,089</w:t>
            </w:r>
          </w:p>
        </w:tc>
        <w:tc>
          <w:tcPr>
            <w:tcW w:w="1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137,585</w:t>
            </w:r>
          </w:p>
        </w:tc>
        <w:tc>
          <w:tcPr>
            <w:tcW w:w="0" w:type="dxa"/>
            <w:vAlign w:val="bottom"/>
          </w:tcPr>
          <w:p>
            <w:pPr>
              <w:spacing w:after="0"/>
              <w:rPr>
                <w:sz w:val="1"/>
                <w:szCs w:val="1"/>
                <w:color w:val="auto"/>
              </w:rPr>
            </w:pPr>
          </w:p>
        </w:tc>
      </w:tr>
      <w:tr>
        <w:trPr>
          <w:trHeight w:val="126"/>
        </w:trPr>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8.60% at March 31, 2023, and</w:t>
            </w:r>
          </w:p>
        </w:tc>
        <w:tc>
          <w:tcPr>
            <w:tcW w:w="2480" w:type="dxa"/>
            <w:vAlign w:val="bottom"/>
            <w:vMerge w:val="continue"/>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2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548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2440"/>
        <w:spacing w:after="0"/>
        <w:rPr>
          <w:sz w:val="20"/>
          <w:szCs w:val="20"/>
          <w:color w:val="auto"/>
        </w:rPr>
      </w:pPr>
      <w:r>
        <w:rPr>
          <w:rFonts w:ascii="Times New Roman" w:cs="Times New Roman" w:eastAsia="Times New Roman" w:hAnsi="Times New Roman"/>
          <w:sz w:val="18"/>
          <w:szCs w:val="18"/>
          <w:color w:val="auto"/>
        </w:rPr>
        <w:t>December 31, 2022, respectively</w:t>
      </w:r>
    </w:p>
    <w:p>
      <w:pPr>
        <w:sectPr>
          <w:pgSz w:w="11900" w:h="16838" w:orient="portrait"/>
          <w:cols w:equalWidth="0" w:num="1">
            <w:col w:w="11240"/>
          </w:cols>
          <w:pgMar w:left="320" w:top="792" w:right="339" w:bottom="1440" w:gutter="0" w:footer="0" w:header="0"/>
        </w:sect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r>
    </w:tbl>
    <w:p>
      <w:pPr>
        <w:spacing w:after="0" w:line="30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Weighted average rate of 7.95%</w:t>
      </w:r>
    </w:p>
    <w:p>
      <w:pPr>
        <w:spacing w:after="0" w:line="27" w:lineRule="exact"/>
        <w:rPr>
          <w:sz w:val="20"/>
          <w:szCs w:val="20"/>
          <w:color w:val="auto"/>
        </w:rPr>
      </w:pPr>
    </w:p>
    <w:p>
      <w:pPr>
        <w:jc w:val="right"/>
        <w:spacing w:after="0"/>
        <w:tabs>
          <w:tab w:leader="none" w:pos="2420" w:val="left"/>
        </w:tabs>
        <w:rPr>
          <w:sz w:val="20"/>
          <w:szCs w:val="20"/>
          <w:color w:val="auto"/>
        </w:rPr>
      </w:pPr>
      <w:r>
        <w:rPr>
          <w:rFonts w:ascii="Times New Roman" w:cs="Times New Roman" w:eastAsia="Times New Roman" w:hAnsi="Times New Roman"/>
          <w:sz w:val="18"/>
          <w:szCs w:val="18"/>
          <w:color w:val="auto"/>
        </w:rPr>
        <w:t>Subordinated renewable notes</w:t>
      </w:r>
      <w:r>
        <w:rPr>
          <w:sz w:val="20"/>
          <w:szCs w:val="20"/>
          <w:color w:val="auto"/>
        </w:rPr>
        <w:tab/>
      </w:r>
      <w:r>
        <w:rPr>
          <w:rFonts w:ascii="Times New Roman" w:cs="Times New Roman" w:eastAsia="Times New Roman" w:hAnsi="Times New Roman"/>
          <w:sz w:val="17"/>
          <w:szCs w:val="17"/>
          <w:color w:val="auto"/>
        </w:rPr>
        <w:t>and 7.82% at March 31, 2023 and</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December 31, 2022, respectively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June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center"/>
        <w:ind w:right="520"/>
        <w:spacing w:after="0" w:line="258" w:lineRule="auto"/>
        <w:rPr>
          <w:sz w:val="20"/>
          <w:szCs w:val="20"/>
          <w:color w:val="auto"/>
        </w:rPr>
      </w:pPr>
      <w:r>
        <w:rPr>
          <w:rFonts w:ascii="Times New Roman" w:cs="Times New Roman" w:eastAsia="Times New Roman" w:hAnsi="Times New Roman"/>
          <w:sz w:val="18"/>
          <w:szCs w:val="18"/>
          <w:color w:val="auto"/>
        </w:rPr>
        <w:t>Weighted average maturity of December 2024 and October 2024 at March 31, 2023 and December 31,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-553085</wp:posOffset>
            </wp:positionV>
            <wp:extent cx="7132320" cy="556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56895"/>
                    </a:xfrm>
                    <a:prstGeom prst="rect">
                      <a:avLst/>
                    </a:prstGeom>
                    <a:noFill/>
                  </pic:spPr>
                </pic:pic>
              </a:graphicData>
            </a:graphic>
          </wp:anchor>
        </w:drawing>
      </w:r>
    </w:p>
    <w:p>
      <w:pPr>
        <w:jc w:val="right"/>
        <w:ind w:right="2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80"/>
        <w:spacing w:after="0"/>
        <w:tabs>
          <w:tab w:leader="none" w:pos="1960" w:val="left"/>
        </w:tabs>
        <w:rPr>
          <w:sz w:val="20"/>
          <w:szCs w:val="20"/>
          <w:color w:val="auto"/>
        </w:rPr>
      </w:pPr>
      <w:r>
        <w:rPr>
          <w:rFonts w:ascii="Times New Roman" w:cs="Times New Roman" w:eastAsia="Times New Roman" w:hAnsi="Times New Roman"/>
          <w:sz w:val="18"/>
          <w:szCs w:val="18"/>
          <w:color w:val="auto"/>
        </w:rPr>
        <w:t>50,000</w:t>
      </w:r>
      <w:r>
        <w:rPr>
          <w:sz w:val="20"/>
          <w:szCs w:val="20"/>
          <w:color w:val="auto"/>
        </w:rPr>
        <w:tab/>
      </w:r>
      <w:r>
        <w:rPr>
          <w:rFonts w:ascii="Times New Roman" w:cs="Times New Roman" w:eastAsia="Times New Roman" w:hAnsi="Times New Roman"/>
          <w:sz w:val="18"/>
          <w:szCs w:val="18"/>
          <w:color w:val="auto"/>
        </w:rPr>
        <w:t>50,000</w:t>
      </w:r>
    </w:p>
    <w:p>
      <w:pPr>
        <w:spacing w:after="0" w:line="200" w:lineRule="exact"/>
        <w:rPr>
          <w:sz w:val="20"/>
          <w:szCs w:val="20"/>
          <w:color w:val="auto"/>
        </w:rPr>
      </w:pPr>
    </w:p>
    <w:p>
      <w:pPr>
        <w:spacing w:after="0" w:line="349" w:lineRule="exact"/>
        <w:rPr>
          <w:sz w:val="20"/>
          <w:szCs w:val="20"/>
          <w:color w:val="auto"/>
        </w:rPr>
      </w:pPr>
    </w:p>
    <w:p>
      <w:pPr>
        <w:ind w:left="80"/>
        <w:spacing w:after="0"/>
        <w:tabs>
          <w:tab w:leader="none" w:pos="1960" w:val="left"/>
        </w:tabs>
        <w:rPr>
          <w:sz w:val="20"/>
          <w:szCs w:val="20"/>
          <w:color w:val="auto"/>
        </w:rPr>
      </w:pPr>
      <w:r>
        <w:rPr>
          <w:rFonts w:ascii="Times New Roman" w:cs="Times New Roman" w:eastAsia="Times New Roman" w:hAnsi="Times New Roman"/>
          <w:sz w:val="18"/>
          <w:szCs w:val="18"/>
          <w:color w:val="auto"/>
        </w:rPr>
        <w:t>23,443</w:t>
      </w:r>
      <w:r>
        <w:rPr>
          <w:sz w:val="20"/>
          <w:szCs w:val="20"/>
          <w:color w:val="auto"/>
        </w:rPr>
        <w:tab/>
      </w:r>
      <w:r>
        <w:rPr>
          <w:rFonts w:ascii="Times New Roman" w:cs="Times New Roman" w:eastAsia="Times New Roman" w:hAnsi="Times New Roman"/>
          <w:sz w:val="18"/>
          <w:szCs w:val="18"/>
          <w:color w:val="auto"/>
        </w:rPr>
        <w:t>25,263</w:t>
      </w:r>
    </w:p>
    <w:p>
      <w:pPr>
        <w:spacing w:after="0" w:line="360" w:lineRule="exact"/>
        <w:rPr>
          <w:sz w:val="20"/>
          <w:szCs w:val="20"/>
          <w:color w:val="auto"/>
        </w:rPr>
      </w:pPr>
    </w:p>
    <w:p>
      <w:pPr>
        <w:spacing w:after="0"/>
        <w:tabs>
          <w:tab w:leader="none" w:pos="780" w:val="left"/>
          <w:tab w:leader="none" w:pos="1860" w:val="left"/>
        </w:tabs>
        <w:rPr>
          <w:sz w:val="20"/>
          <w:szCs w:val="20"/>
          <w:color w:val="auto"/>
        </w:rPr>
      </w:pPr>
      <w:r>
        <w:rPr>
          <w:rFonts w:ascii="Times New Roman" w:cs="Times New Roman" w:eastAsia="Times New Roman" w:hAnsi="Times New Roman"/>
          <w:sz w:val="18"/>
          <w:szCs w:val="18"/>
          <w:color w:val="auto"/>
        </w:rPr>
        <w:t>361,313</w:t>
        <w:tab/>
        <w:t>$</w:t>
      </w:r>
      <w:r>
        <w:rPr>
          <w:sz w:val="20"/>
          <w:szCs w:val="20"/>
          <w:color w:val="auto"/>
        </w:rPr>
        <w:tab/>
      </w:r>
      <w:r>
        <w:rPr>
          <w:rFonts w:ascii="Times New Roman" w:cs="Times New Roman" w:eastAsia="Times New Roman" w:hAnsi="Times New Roman"/>
          <w:sz w:val="18"/>
          <w:szCs w:val="18"/>
          <w:color w:val="auto"/>
        </w:rPr>
        <w:t>363,141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26035</wp:posOffset>
            </wp:positionV>
            <wp:extent cx="226314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63140" cy="25400"/>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-127635</wp:posOffset>
            </wp:positionV>
            <wp:extent cx="22631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840" w:space="200"/>
            <w:col w:w="2900" w:space="720"/>
            <w:col w:w="2580"/>
          </w:cols>
          <w:pgMar w:left="320" w:top="792"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 2022, we renewed our two-year revolving credit agreement with Ares Agent Services, L.P. There was $119.1 million outstanding under this facility at March 31, 2023. On June 28, 2022, we increased the capacity of its credit agreement with Ares Agent Services, L.P. from $100 million to $200 million. The revolving period for this facility was extended to January 2024 followed by an amortization period through January 2028 for any receivables pledged at the end of the revolving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15, 2022, we renewed our two-year revolving credit agreement with Citibank, N.A., and doubled the capacity from $100 million to $200 million. There was $168.8 million outstanding under this facility at March 31, 2023. The revolving period for this facility was extended to July 2024 followed by an amortization period through July 2025 for any receivables pledged at the end of the revolving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Unamortized debt issuance costs of $314,000 and $377,000 as of March 31, 2023 and December 31, 2022, respectively, have been excluded from the amount reported above for residual interest financing. Similarly, unamortized debt issuance costs of $2.1 million and $2.6 million as of March 31, 2023 and December 31, 2022, respectively, have been excluded from the Warehouse lines of credit amounts in the table above. These debt issuance costs are presented as a direct deduction to the carrying amount of the debt on our Unaudited Condensed Consolidated Balance Sheets.</w:t>
      </w:r>
    </w:p>
    <w:p>
      <w:pPr>
        <w:sectPr>
          <w:pgSz w:w="11900" w:h="16838" w:orient="portrait"/>
          <w:cols w:equalWidth="0" w:num="1">
            <w:col w:w="11240"/>
          </w:cols>
          <w:pgMar w:left="320" w:top="792" w:right="339" w:bottom="1440" w:gutter="0" w:footer="0" w:header="0"/>
        </w:sectPr>
      </w:pPr>
    </w:p>
    <w:p>
      <w:pPr>
        <w:spacing w:after="0" w:line="176"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Interest Income and 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finance receivables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interest income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Securitization trust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lines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Residual interest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Subordinated renewable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89"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1"/>
        </w:trPr>
        <w:tc>
          <w:tcPr>
            <w:tcW w:w="380" w:type="dxa"/>
            <w:vAlign w:val="bottom"/>
          </w:tcPr>
          <w:p>
            <w:pPr>
              <w:spacing w:after="0"/>
              <w:rPr>
                <w:sz w:val="16"/>
                <w:szCs w:val="16"/>
                <w:color w:val="auto"/>
              </w:rPr>
            </w:pPr>
          </w:p>
        </w:tc>
        <w:tc>
          <w:tcPr>
            <w:tcW w:w="2060" w:type="dxa"/>
            <w:vAlign w:val="bottom"/>
            <w:gridSpan w:val="3"/>
          </w:tcPr>
          <w:p>
            <w:pPr>
              <w:jc w:val="center"/>
              <w:ind w:left="65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140" w:type="dxa"/>
            <w:vAlign w:val="bottom"/>
          </w:tcPr>
          <w:p>
            <w:pPr>
              <w:spacing w:after="0"/>
              <w:rPr>
                <w:sz w:val="16"/>
                <w:szCs w:val="16"/>
                <w:color w:val="auto"/>
              </w:rPr>
            </w:pPr>
          </w:p>
        </w:tc>
      </w:tr>
      <w:tr>
        <w:trPr>
          <w:trHeight w:val="216"/>
        </w:trPr>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4,662</w:t>
            </w: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11,314</w:t>
            </w:r>
          </w:p>
        </w:tc>
      </w:tr>
      <w:tr>
        <w:trPr>
          <w:trHeight w:val="230"/>
        </w:trPr>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74,058</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58,740</w:t>
            </w:r>
          </w:p>
        </w:tc>
      </w:tr>
      <w:tr>
        <w:trPr>
          <w:trHeight w:val="234"/>
        </w:trPr>
        <w:tc>
          <w:tcPr>
            <w:tcW w:w="3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w:t>
            </w: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453"/>
        </w:trPr>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80,062</w:t>
            </w: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70,060</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r>
      <w:tr>
        <w:trPr>
          <w:trHeight w:val="836"/>
        </w:trPr>
        <w:tc>
          <w:tcPr>
            <w:tcW w:w="380" w:type="dxa"/>
            <w:vAlign w:val="bottom"/>
          </w:tcPr>
          <w:p>
            <w:pPr>
              <w:spacing w:after="0"/>
              <w:rPr>
                <w:sz w:val="24"/>
                <w:szCs w:val="24"/>
                <w:color w:val="auto"/>
              </w:rPr>
            </w:pPr>
          </w:p>
        </w:tc>
        <w:tc>
          <w:tcPr>
            <w:tcW w:w="320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40" w:type="dxa"/>
            <w:vAlign w:val="bottom"/>
            <w:tcBorders>
              <w:bottom w:val="single" w:sz="8" w:color="auto"/>
            </w:tcBorders>
          </w:tcPr>
          <w:p>
            <w:pPr>
              <w:spacing w:after="0"/>
              <w:rPr>
                <w:sz w:val="20"/>
                <w:szCs w:val="20"/>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1"/>
        </w:trPr>
        <w:tc>
          <w:tcPr>
            <w:tcW w:w="380" w:type="dxa"/>
            <w:vAlign w:val="bottom"/>
          </w:tcPr>
          <w:p>
            <w:pPr>
              <w:spacing w:after="0"/>
              <w:rPr>
                <w:sz w:val="16"/>
                <w:szCs w:val="16"/>
                <w:color w:val="auto"/>
              </w:rPr>
            </w:pPr>
          </w:p>
        </w:tc>
        <w:tc>
          <w:tcPr>
            <w:tcW w:w="2060" w:type="dxa"/>
            <w:vAlign w:val="bottom"/>
            <w:gridSpan w:val="3"/>
          </w:tcPr>
          <w:p>
            <w:pPr>
              <w:jc w:val="center"/>
              <w:ind w:left="65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140" w:type="dxa"/>
            <w:vAlign w:val="bottom"/>
          </w:tcPr>
          <w:p>
            <w:pPr>
              <w:spacing w:after="0"/>
              <w:rPr>
                <w:sz w:val="16"/>
                <w:szCs w:val="16"/>
                <w:color w:val="auto"/>
              </w:rPr>
            </w:pPr>
          </w:p>
        </w:tc>
      </w:tr>
      <w:tr>
        <w:trPr>
          <w:trHeight w:val="216"/>
        </w:trPr>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26,353</w:t>
            </w: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13,528</w:t>
            </w:r>
          </w:p>
        </w:tc>
      </w:tr>
      <w:tr>
        <w:trPr>
          <w:trHeight w:val="216"/>
        </w:trPr>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4,848</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30"/>
        </w:trPr>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34"/>
        </w:trPr>
        <w:tc>
          <w:tcPr>
            <w:tcW w:w="3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w:t>
            </w: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0"/>
        </w:trPr>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453"/>
        </w:trPr>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32,759</w:t>
            </w: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6840" w:space="720"/>
            <w:col w:w="3680"/>
          </w:cols>
          <w:pgMar w:left="320" w:top="792" w:right="339" w:bottom="1440" w:gutter="0" w:footer="0" w:header="0"/>
          <w:type w:val="continuous"/>
        </w:sectPr>
      </w:pP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per share for the three-month periods ended March 31, 2023 and 2022 were calculated using the weighted average number of shares outstanding for the related period. The following table reconciles the number of shares used in the computations of basic and diluted earnings per share for the three-month periods ended March 31, 2023 and 2022:</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right="440" w:hanging="179"/>
        <w:spacing w:after="0" w:line="282" w:lineRule="auto"/>
        <w:rPr>
          <w:sz w:val="20"/>
          <w:szCs w:val="20"/>
          <w:color w:val="auto"/>
        </w:rPr>
      </w:pPr>
      <w:r>
        <w:rPr>
          <w:rFonts w:ascii="Times New Roman" w:cs="Times New Roman" w:eastAsia="Times New Roman" w:hAnsi="Times New Roman"/>
          <w:sz w:val="18"/>
          <w:szCs w:val="18"/>
          <w:color w:val="auto"/>
        </w:rPr>
        <w:t>Weighted average number of common shares outstanding during the period used to compute 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common shares attributable to exercise of outstanding options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number of common shares used to compute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14605</wp:posOffset>
            </wp:positionV>
            <wp:extent cx="22713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7"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19685</wp:posOffset>
            </wp:positionV>
            <wp:extent cx="22713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0" w:lineRule="exact"/>
        <w:rPr>
          <w:sz w:val="20"/>
          <w:szCs w:val="20"/>
          <w:color w:val="auto"/>
        </w:rPr>
      </w:pPr>
    </w:p>
    <w:p>
      <w:pPr>
        <w:jc w:val="both"/>
        <w:ind w:left="520"/>
        <w:spacing w:after="0"/>
        <w:tabs>
          <w:tab w:leader="none" w:pos="2400" w:val="left"/>
        </w:tabs>
        <w:rPr>
          <w:sz w:val="20"/>
          <w:szCs w:val="20"/>
          <w:color w:val="auto"/>
        </w:rPr>
      </w:pPr>
      <w:r>
        <w:rPr>
          <w:rFonts w:ascii="Times New Roman" w:cs="Times New Roman" w:eastAsia="Times New Roman" w:hAnsi="Times New Roman"/>
          <w:sz w:val="18"/>
          <w:szCs w:val="18"/>
          <w:color w:val="auto"/>
        </w:rPr>
        <w:t>20,418</w:t>
      </w:r>
      <w:r>
        <w:rPr>
          <w:sz w:val="20"/>
          <w:szCs w:val="20"/>
          <w:color w:val="auto"/>
        </w:rPr>
        <w:tab/>
      </w:r>
      <w:r>
        <w:rPr>
          <w:rFonts w:ascii="Times New Roman" w:cs="Times New Roman" w:eastAsia="Times New Roman" w:hAnsi="Times New Roman"/>
          <w:sz w:val="18"/>
          <w:szCs w:val="18"/>
          <w:color w:val="auto"/>
        </w:rPr>
        <w:t>21,221</w:t>
      </w:r>
    </w:p>
    <w:p>
      <w:pPr>
        <w:spacing w:after="0" w:line="239"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18"/>
          <w:szCs w:val="18"/>
          <w:color w:val="auto"/>
        </w:rPr>
        <w:t>4,974</w:t>
      </w:r>
      <w:r>
        <w:rPr>
          <w:sz w:val="20"/>
          <w:szCs w:val="20"/>
          <w:color w:val="auto"/>
        </w:rPr>
        <w:tab/>
      </w:r>
      <w:r>
        <w:rPr>
          <w:rFonts w:ascii="Times New Roman" w:cs="Times New Roman" w:eastAsia="Times New Roman" w:hAnsi="Times New Roman"/>
          <w:sz w:val="18"/>
          <w:szCs w:val="18"/>
          <w:color w:val="auto"/>
        </w:rPr>
        <w:t>6,976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17145</wp:posOffset>
            </wp:positionV>
            <wp:extent cx="22713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46" w:lineRule="exact"/>
        <w:rPr>
          <w:sz w:val="20"/>
          <w:szCs w:val="20"/>
          <w:color w:val="auto"/>
        </w:rPr>
      </w:pPr>
    </w:p>
    <w:p>
      <w:pPr>
        <w:jc w:val="both"/>
        <w:ind w:left="520"/>
        <w:spacing w:after="0"/>
        <w:tabs>
          <w:tab w:leader="none" w:pos="2400" w:val="left"/>
        </w:tabs>
        <w:rPr>
          <w:sz w:val="20"/>
          <w:szCs w:val="20"/>
          <w:color w:val="auto"/>
        </w:rPr>
      </w:pPr>
      <w:r>
        <w:rPr>
          <w:rFonts w:ascii="Times New Roman" w:cs="Times New Roman" w:eastAsia="Times New Roman" w:hAnsi="Times New Roman"/>
          <w:sz w:val="18"/>
          <w:szCs w:val="18"/>
          <w:color w:val="auto"/>
        </w:rPr>
        <w:t>25,392</w:t>
      </w:r>
      <w:r>
        <w:rPr>
          <w:sz w:val="20"/>
          <w:szCs w:val="20"/>
          <w:color w:val="auto"/>
        </w:rPr>
        <w:tab/>
      </w:r>
      <w:r>
        <w:rPr>
          <w:rFonts w:ascii="Times New Roman" w:cs="Times New Roman" w:eastAsia="Times New Roman" w:hAnsi="Times New Roman"/>
          <w:sz w:val="18"/>
          <w:szCs w:val="18"/>
          <w:color w:val="auto"/>
        </w:rPr>
        <w:t>28,197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34290</wp:posOffset>
            </wp:positionV>
            <wp:extent cx="22713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00" w:space="720"/>
            <w:col w:w="3020"/>
          </w:cols>
          <w:pgMar w:left="320" w:top="819" w:right="339" w:bottom="1440" w:gutter="0" w:footer="0" w:header="0"/>
          <w:type w:val="continuous"/>
        </w:sectPr>
      </w:pP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anti-dilutive effects of common stock equivalents were considered, shares included in the diluted earnings per share calculation for the three-months ended March 31, 2023 and 2022 would have included an additional 1.7 million and 558,000 shares, respectively, attributable to the exercise of outstanding options and warrants.</w:t>
      </w:r>
    </w:p>
    <w:p>
      <w:pPr>
        <w:spacing w:after="0" w:line="172"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31,2023, and December 31, 2022,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$9.8 million as of March 31, 2023 is more likely than not based on forecasted future net earnings. Our net deferred tax asset of $9.8 million consists of approximately $6.7 million of net U.S. federal deferred tax assets and $3.1 million of net state deferred tax assets.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was $4.6 million for the three months ended March 31, 2023, representing effective income tax rates of 25%. For the prior year period, income tax expense was $8.2 million for the three months ended March 31, 2022 representing an effective tax rate of 28%.</w:t>
      </w:r>
    </w:p>
    <w:p>
      <w:pPr>
        <w:spacing w:after="0" w:line="158"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Consumer Litigation. </w:t>
      </w: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discontinued. Consumers can and do initiate lawsuits against us alleging violations of law applicable to collection of receivables, and such lawsuits sometimes allege that resolution as a class action is appropriate. For the most part, we have legal and factual defenses to consumer claims, which we routinely contest or settle (for immaterial amounts) depending on the particular circumstances of each case.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our filing of a complaint for a deficiency judgment in the Superior Court at Waterbury, Connecticut, the defendant filed a cross-claim alleging that our deficiency notices were not compliant with Connecticut law, and seeking relief on behalf of a class of Connecticut obligors whose vehicles we had repossessed. The defendant’s contract provided for resolution of disputes exclusively by arbitration, and exclusively on an individual basis, not a class basis. Nevertheless, in August 2021, the court denied our motion to compel arbitration, without opinion. In April 2022, a motion for certification of a class was filed but has not been ruled upon. It is reasonable to expect that resolution of these claims will be on a class basis.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Wage and Hour Claim. </w:t>
      </w:r>
      <w:r>
        <w:rPr>
          <w:rFonts w:ascii="Times New Roman" w:cs="Times New Roman" w:eastAsia="Times New Roman" w:hAnsi="Times New Roman"/>
          <w:sz w:val="18"/>
          <w:szCs w:val="18"/>
          <w:color w:val="auto"/>
        </w:rPr>
        <w:t>On September 24, 2018, a former employee filed a lawsuit against us in the Superior Court of Orange County, California, alleging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 We believe that our compensation practices with respect to our sales representatives are compliant with applicable law. Accordingly, we have defended and intend to continue to defend this lawsuit.</w:t>
      </w:r>
    </w:p>
    <w:p>
      <w:pPr>
        <w:spacing w:after="0" w:line="18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Massachusetts Civil Investigative Demand</w:t>
      </w:r>
      <w:r>
        <w:rPr>
          <w:rFonts w:ascii="Times New Roman" w:cs="Times New Roman" w:eastAsia="Times New Roman" w:hAnsi="Times New Roman"/>
          <w:sz w:val="18"/>
          <w:szCs w:val="18"/>
          <w:color w:val="auto"/>
        </w:rPr>
        <w:t>. In September 2021, we received a civil investigative demand from the Office of the Attorney General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Commonwealth of Massachusetts relating to the Company’s communications with and repossession notices sent to Massachusetts customers. We are cooperating with the inquiry.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 General. </w:t>
      </w:r>
      <w:r>
        <w:rPr>
          <w:rFonts w:ascii="Times New Roman" w:cs="Times New Roman" w:eastAsia="Times New Roman" w:hAnsi="Times New Roman"/>
          <w:sz w:val="18"/>
          <w:szCs w:val="18"/>
          <w:color w:val="auto"/>
        </w:rPr>
        <w:t>There can be no assurance as to the outcomes of the matters described or referenced above. We record at each measurement date, most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March 31, 2023, our best estimate of probable incurred losses for legal contingencies, including the matters identified above. The amount of losses that may ultimately be incurred cannot be estimated with certainty. However, based on such information as is available to us, we believe that the total of probable incurred losses for legal contingencies as of March 31, 2023 is $4.9 million, and that the range of reasonably possible losses for the legal proceedings and contingencies we face, including those described or identified above, as of March 31, 2023 does not exceed $11.2 million.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2018 we have elected to use the fair value method to value our portfolio of finance receivables acquired in January 2018 and thereafter.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effect on our fair value measurement.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quarter ended March 31, 2023, the Company evaluated the appropriate fair value and future earnings rate of existing receivables compared to recently acquired receivables and our assessment of potential additional future net losses on the portfolio of finance receivables carried at fair value and did not record a mark down to that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reconciliation of the finance receivables measured at fair value on a recurring basis using significant unobservable inputs: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gridSpan w:val="6"/>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0"/>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2,476,617</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1,749,098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at fair value acquired during period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352,598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393,407</w:t>
            </w: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(206,626)</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(209,844)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(47,472)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(31,204)</w:t>
            </w:r>
          </w:p>
        </w:tc>
      </w:tr>
      <w:tr>
        <w:trPr>
          <w:trHeight w:val="230"/>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fair value</w:t>
            </w:r>
          </w:p>
        </w:tc>
        <w:tc>
          <w:tcPr>
            <w:tcW w:w="180" w:type="dxa"/>
            <w:vAlign w:val="bottom"/>
            <w:shd w:val="clear" w:color="auto" w:fill="EEEEEE"/>
          </w:tcPr>
          <w:p>
            <w:pPr>
              <w:spacing w:after="0"/>
              <w:rPr>
                <w:sz w:val="19"/>
                <w:szCs w:val="19"/>
                <w:color w:val="auto"/>
              </w:rPr>
            </w:pPr>
          </w:p>
        </w:tc>
        <w:tc>
          <w:tcPr>
            <w:tcW w:w="142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2,400</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2,575,117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1,903,857</w:t>
            </w:r>
          </w:p>
        </w:tc>
        <w:tc>
          <w:tcPr>
            <w:tcW w:w="100" w:type="dxa"/>
            <w:vAlign w:val="bottom"/>
          </w:tcPr>
          <w:p>
            <w:pPr>
              <w:spacing w:after="0"/>
              <w:rPr>
                <w:sz w:val="19"/>
                <w:szCs w:val="19"/>
                <w:color w:val="auto"/>
              </w:rPr>
            </w:pPr>
          </w:p>
        </w:tc>
      </w:tr>
      <w:tr>
        <w:trPr>
          <w:trHeight w:val="20"/>
        </w:trPr>
        <w:tc>
          <w:tcPr>
            <w:tcW w:w="7560" w:type="dxa"/>
            <w:vAlign w:val="bottom"/>
            <w:gridSpan w:val="5"/>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4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table below compares the fair values of these finance receivables to their contractual balances for the periods shown:</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01"/>
        </w:trPr>
        <w:tc>
          <w:tcPr>
            <w:tcW w:w="46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2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6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416"/>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240"/>
              <w:spacing w:after="0" w:line="201"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1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7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7"/>
                <w:szCs w:val="17"/>
                <w:color w:val="auto"/>
              </w:rPr>
            </w:pPr>
          </w:p>
        </w:tc>
      </w:tr>
      <w:tr>
        <w:trPr>
          <w:trHeight w:val="238"/>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620" w:type="dxa"/>
            <w:vAlign w:val="bottom"/>
          </w:tcPr>
          <w:p>
            <w:pPr>
              <w:spacing w:after="0"/>
              <w:rPr>
                <w:sz w:val="20"/>
                <w:szCs w:val="20"/>
                <w:color w:val="auto"/>
              </w:rPr>
            </w:pPr>
          </w:p>
        </w:tc>
        <w:tc>
          <w:tcPr>
            <w:tcW w:w="118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2"/>
        </w:trPr>
        <w:tc>
          <w:tcPr>
            <w:tcW w:w="46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620" w:type="dxa"/>
            <w:vAlign w:val="bottom"/>
            <w:tcBorders>
              <w:top w:val="single" w:sz="8" w:color="auto"/>
            </w:tcBorders>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gridSpan w:val="2"/>
          </w:tcPr>
          <w:p>
            <w:pPr>
              <w:spacing w:after="0"/>
              <w:rPr>
                <w:sz w:val="16"/>
                <w:szCs w:val="16"/>
                <w:color w:val="auto"/>
              </w:rPr>
            </w:pP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2,810,908</w:t>
            </w:r>
          </w:p>
        </w:tc>
        <w:tc>
          <w:tcPr>
            <w:tcW w:w="620" w:type="dxa"/>
            <w:vAlign w:val="bottom"/>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2,575,117</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shd w:val="clear" w:color="auto" w:fill="EEEEEE"/>
          </w:tcPr>
          <w:p>
            <w:pPr>
              <w:jc w:val="right"/>
              <w:ind w:right="56"/>
              <w:spacing w:after="0"/>
              <w:rPr>
                <w:sz w:val="20"/>
                <w:szCs w:val="20"/>
                <w:color w:val="auto"/>
              </w:rPr>
            </w:pPr>
            <w:r>
              <w:rPr>
                <w:rFonts w:ascii="Times New Roman" w:cs="Times New Roman" w:eastAsia="Times New Roman" w:hAnsi="Times New Roman"/>
                <w:sz w:val="18"/>
                <w:szCs w:val="18"/>
                <w:color w:val="auto"/>
              </w:rPr>
              <w:t>2,701,184</w:t>
            </w:r>
          </w:p>
        </w:tc>
        <w:tc>
          <w:tcPr>
            <w:tcW w:w="38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2,476,617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qualitative information about our level 3 fair value measurements: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Fair Values as of</w:t>
            </w:r>
          </w:p>
        </w:tc>
        <w:tc>
          <w:tcPr>
            <w:tcW w:w="2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02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Inputs as of</w:t>
            </w:r>
          </w:p>
        </w:tc>
        <w:tc>
          <w:tcPr>
            <w:tcW w:w="0" w:type="dxa"/>
            <w:vAlign w:val="bottom"/>
          </w:tcPr>
          <w:p>
            <w:pPr>
              <w:spacing w:after="0"/>
              <w:rPr>
                <w:sz w:val="1"/>
                <w:szCs w:val="1"/>
                <w:color w:val="auto"/>
              </w:rPr>
            </w:pPr>
          </w:p>
        </w:tc>
      </w:tr>
      <w:tr>
        <w:trPr>
          <w:trHeight w:val="21"/>
        </w:trPr>
        <w:tc>
          <w:tcPr>
            <w:tcW w:w="164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40" w:type="dxa"/>
            <w:vAlign w:val="bottom"/>
            <w:gridSpan w:val="2"/>
            <w:vMerge w:val="continue"/>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2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40" w:type="dxa"/>
            <w:vAlign w:val="bottom"/>
          </w:tcPr>
          <w:p>
            <w:pPr>
              <w:spacing w:after="0"/>
              <w:rPr>
                <w:sz w:val="17"/>
                <w:szCs w:val="17"/>
                <w:color w:val="auto"/>
              </w:rPr>
            </w:pPr>
          </w:p>
        </w:tc>
        <w:tc>
          <w:tcPr>
            <w:tcW w:w="122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vMerge w:val="continue"/>
          </w:tcPr>
          <w:p>
            <w:pPr>
              <w:spacing w:after="0"/>
              <w:rPr>
                <w:sz w:val="17"/>
                <w:szCs w:val="17"/>
                <w:color w:val="auto"/>
              </w:rPr>
            </w:pPr>
          </w:p>
        </w:tc>
        <w:tc>
          <w:tcPr>
            <w:tcW w:w="2240" w:type="dxa"/>
            <w:vAlign w:val="bottom"/>
            <w:gridSpan w:val="2"/>
            <w:vMerge w:val="continue"/>
          </w:tcPr>
          <w:p>
            <w:pPr>
              <w:spacing w:after="0"/>
              <w:rPr>
                <w:sz w:val="17"/>
                <w:szCs w:val="17"/>
                <w:color w:val="auto"/>
              </w:rPr>
            </w:pPr>
          </w:p>
        </w:tc>
        <w:tc>
          <w:tcPr>
            <w:tcW w:w="1560" w:type="dxa"/>
            <w:vAlign w:val="bottom"/>
            <w:gridSpan w:val="2"/>
          </w:tcPr>
          <w:p>
            <w:pPr>
              <w:ind w:left="34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6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32"/>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740" w:type="dxa"/>
            <w:vAlign w:val="bottom"/>
            <w:tcBorders>
              <w:top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4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Finance receivables measured at fair</w:t>
            </w:r>
          </w:p>
        </w:tc>
        <w:tc>
          <w:tcPr>
            <w:tcW w:w="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value</w:t>
            </w:r>
          </w:p>
        </w:tc>
        <w:tc>
          <w:tcPr>
            <w:tcW w:w="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2,575,117</w:t>
            </w:r>
          </w:p>
        </w:tc>
        <w:tc>
          <w:tcPr>
            <w:tcW w:w="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2,476,617</w:t>
            </w:r>
          </w:p>
        </w:tc>
        <w:tc>
          <w:tcPr>
            <w:tcW w:w="22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Discount rate</w:t>
            </w:r>
          </w:p>
        </w:tc>
        <w:tc>
          <w:tcPr>
            <w:tcW w:w="14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11.0% - 11.5%</w:t>
            </w:r>
          </w:p>
        </w:tc>
        <w:tc>
          <w:tcPr>
            <w:tcW w:w="100" w:type="dxa"/>
            <w:vAlign w:val="bottom"/>
            <w:shd w:val="clear" w:color="auto" w:fill="EEEEEE"/>
          </w:tcPr>
          <w:p>
            <w:pPr>
              <w:spacing w:after="0"/>
              <w:rPr>
                <w:sz w:val="20"/>
                <w:szCs w:val="20"/>
                <w:color w:val="auto"/>
              </w:rPr>
            </w:pPr>
          </w:p>
        </w:tc>
        <w:tc>
          <w:tcPr>
            <w:tcW w:w="14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11.0% - 11.3%</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Cumulative net losses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- 20.5%</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13.4% - 19.4%</w:t>
            </w:r>
          </w:p>
        </w:tc>
        <w:tc>
          <w:tcPr>
            <w:tcW w:w="0" w:type="dxa"/>
            <w:vAlign w:val="bottom"/>
          </w:tcPr>
          <w:p>
            <w:pPr>
              <w:spacing w:after="0"/>
              <w:rPr>
                <w:sz w:val="1"/>
                <w:szCs w:val="1"/>
                <w:color w:val="auto"/>
              </w:rPr>
            </w:pPr>
          </w:p>
        </w:tc>
      </w:tr>
      <w:tr>
        <w:trPr>
          <w:trHeight w:val="738"/>
        </w:trPr>
        <w:tc>
          <w:tcPr>
            <w:tcW w:w="1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delinquency status of these finance receivables measured at fair value as of March 31,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3"/>
        </w:trPr>
        <w:tc>
          <w:tcPr>
            <w:tcW w:w="2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0"/>
        </w:trPr>
        <w:tc>
          <w:tcPr>
            <w:tcW w:w="2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4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3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3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2,543,344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2,375,271</w:t>
            </w:r>
          </w:p>
        </w:tc>
      </w:tr>
      <w:tr>
        <w:trPr>
          <w:trHeight w:val="216"/>
        </w:trPr>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31</w:t>
            </w:r>
          </w:p>
        </w:tc>
        <w:tc>
          <w:tcPr>
            <w:tcW w:w="43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- 60 days</w:t>
            </w:r>
          </w:p>
        </w:tc>
        <w:tc>
          <w:tcPr>
            <w:tcW w:w="3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140,793</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184,968</w:t>
            </w: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days</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57,808</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72,390</w:t>
            </w:r>
          </w:p>
        </w:tc>
      </w:tr>
      <w:tr>
        <w:trPr>
          <w:trHeight w:val="216"/>
        </w:trPr>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91</w:t>
            </w:r>
          </w:p>
        </w:tc>
        <w:tc>
          <w:tcPr>
            <w:tcW w:w="43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days</w:t>
            </w:r>
          </w:p>
        </w:tc>
        <w:tc>
          <w:tcPr>
            <w:tcW w:w="3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22,656</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29,048</w:t>
            </w:r>
          </w:p>
        </w:tc>
      </w:tr>
      <w:tr>
        <w:trPr>
          <w:trHeight w:val="229"/>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w:t>
            </w: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46,307</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39,507</w:t>
            </w: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4380" w:type="dxa"/>
            <w:vAlign w:val="bottom"/>
            <w:tcBorders>
              <w:top w:val="single" w:sz="8" w:color="EEEEEE"/>
              <w:bottom w:val="single" w:sz="8" w:color="EEEEEE"/>
            </w:tcBorders>
            <w:shd w:val="clear" w:color="auto" w:fill="EEEEEE"/>
          </w:tcPr>
          <w:p>
            <w:pPr>
              <w:spacing w:after="0"/>
              <w:rPr>
                <w:sz w:val="19"/>
                <w:szCs w:val="19"/>
                <w:color w:val="auto"/>
              </w:rPr>
            </w:pPr>
          </w:p>
        </w:tc>
        <w:tc>
          <w:tcPr>
            <w:tcW w:w="31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2,810,908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2,701,184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Repossessed vehicle inventory, which is included in Other assets on our unaudited condensed consolidated balance sheet, is measured at fair value using level 2 assumptions based on our actual loss experience on sale of repossessed vehicles. At March 31, 2023 the finance receivables related to the repossessed vehicles in inventory totaled $1.4 million. We have applied a valuation adjustment, or loss allowance, of $933,000, which is based on a recovery rate of approximately 34%, resulting in an estimated fair value and carrying amount of $470,000. The fair value and carrying amount of the repossessed inventory at December 31, 2022 was $1.9 million after applying a valuation adjustment of $1.3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 or out of level 1, level 2 or level 3 assets and liabilities for the three months ended March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financial assets and liabilities at March 31, 2023 and December 31, 2022, were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As of March 31, 2023</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8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80" w:type="dxa"/>
            <w:vAlign w:val="bottom"/>
            <w:gridSpan w:val="9"/>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10,188</w:t>
            </w:r>
          </w:p>
        </w:tc>
        <w:tc>
          <w:tcPr>
            <w:tcW w:w="380" w:type="dxa"/>
            <w:vAlign w:val="bottom"/>
            <w:gridSpan w:val="2"/>
            <w:shd w:val="clear" w:color="auto" w:fill="EEEEEE"/>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10,188</w:t>
            </w:r>
          </w:p>
        </w:tc>
        <w:tc>
          <w:tcPr>
            <w:tcW w:w="32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10,188</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158,895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158,895</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54,805</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49,104</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49,104</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285,809</w:t>
            </w:r>
          </w:p>
        </w:tc>
        <w:tc>
          <w:tcPr>
            <w:tcW w:w="3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285,809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285,809</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49,686</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49,686</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49,686</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6,888</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2,175,068</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2,098,717</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2,098,717</w:t>
            </w:r>
          </w:p>
        </w:tc>
        <w:tc>
          <w:tcPr>
            <w:tcW w:w="0" w:type="dxa"/>
            <w:vAlign w:val="bottom"/>
          </w:tcPr>
          <w:p>
            <w:pPr>
              <w:spacing w:after="0"/>
              <w:rPr>
                <w:sz w:val="1"/>
                <w:szCs w:val="1"/>
                <w:color w:val="auto"/>
              </w:rPr>
            </w:pPr>
          </w:p>
        </w:tc>
      </w:tr>
      <w:tr>
        <w:trPr>
          <w:trHeight w:val="23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23,443</w:t>
            </w:r>
          </w:p>
        </w:tc>
        <w:tc>
          <w:tcPr>
            <w:tcW w:w="0" w:type="dxa"/>
            <w:vAlign w:val="bottom"/>
          </w:tcPr>
          <w:p>
            <w:pPr>
              <w:spacing w:after="0"/>
              <w:rPr>
                <w:sz w:val="1"/>
                <w:szCs w:val="1"/>
                <w:color w:val="auto"/>
              </w:rPr>
            </w:pPr>
          </w:p>
        </w:tc>
      </w:tr>
      <w:tr>
        <w:trPr>
          <w:trHeight w:val="643"/>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8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80" w:type="dxa"/>
            <w:vAlign w:val="bottom"/>
            <w:gridSpan w:val="9"/>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1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13,490</w:t>
            </w:r>
          </w:p>
        </w:tc>
        <w:tc>
          <w:tcPr>
            <w:tcW w:w="380" w:type="dxa"/>
            <w:vAlign w:val="bottom"/>
            <w:gridSpan w:val="2"/>
            <w:shd w:val="clear" w:color="auto" w:fill="EEEEEE"/>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13,490</w:t>
            </w:r>
          </w:p>
        </w:tc>
        <w:tc>
          <w:tcPr>
            <w:tcW w:w="32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13,490</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149,299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149,299</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70,551</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60,063</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60,063</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285,328</w:t>
            </w:r>
          </w:p>
        </w:tc>
        <w:tc>
          <w:tcPr>
            <w:tcW w:w="3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285,328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285,328</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6,190</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6,190</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6,190</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2,108,744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1,957,995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1,957,995</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25,263</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25,263</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25,263</w:t>
            </w:r>
          </w:p>
        </w:tc>
        <w:tc>
          <w:tcPr>
            <w:tcW w:w="0" w:type="dxa"/>
            <w:vAlign w:val="bottom"/>
          </w:tcPr>
          <w:p>
            <w:pPr>
              <w:spacing w:after="0"/>
              <w:rPr>
                <w:sz w:val="1"/>
                <w:szCs w:val="1"/>
                <w:color w:val="auto"/>
              </w:rPr>
            </w:pPr>
          </w:p>
        </w:tc>
      </w:tr>
      <w:tr>
        <w:trPr>
          <w:trHeight w:val="756"/>
        </w:trPr>
        <w:tc>
          <w:tcPr>
            <w:tcW w:w="16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27, 2023 we executed our second securitization of 2023. In the transaction, qualified institutional buyers purchased $332.9 million of asset-backed notes secured by $369.9 million in automobile receivables originated by CPS. The sold notes, issued by CPS Auto Receivables Trust 2023-B, consist of five classes. Ratings of the notes were provided by Moody’s and DBRS Morningstar, and were based on the structure of the transaction, the historical performance of similar receivables and CPS’s experience as a servicer. The weighted average yield on the notes is approximately 7.17%.</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2023-B transaction has initial credit enhancement consisting of a cash deposit equal to 1.00% of the original receivable pool balance and overcollateralization of 10.00%. The transaction agreements require accelerated payment of principal on the notes to reach overcollateralization of the lesser of 11.50% of the original receivable pool balance, or 25.00% of the then outstanding pool balance. The transaction was a private offering of securities, not registered under the Securities Act of 1933, or any state securities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and began our operations in March 1991. From inception through March 31, 2023, we have originated a total of approximately $20.4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4"/>
          </w:tcPr>
          <w:p>
            <w:pPr>
              <w:ind w:left="126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top w:val="single" w:sz="8" w:color="auto"/>
            </w:tcBorders>
            <w:gridSpan w:val="2"/>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Contracts Purchased</w:t>
            </w:r>
          </w:p>
        </w:tc>
        <w:tc>
          <w:tcPr>
            <w:tcW w:w="16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Managed Portfolio at</w:t>
            </w:r>
          </w:p>
        </w:tc>
        <w:tc>
          <w:tcPr>
            <w:tcW w:w="100" w:type="dxa"/>
            <w:vAlign w:val="bottom"/>
          </w:tcPr>
          <w:p>
            <w:pPr>
              <w:spacing w:after="0"/>
              <w:rPr>
                <w:sz w:val="16"/>
                <w:szCs w:val="16"/>
                <w:color w:val="auto"/>
              </w:rPr>
            </w:pPr>
          </w:p>
        </w:tc>
      </w:tr>
      <w:tr>
        <w:trPr>
          <w:trHeight w:val="238"/>
        </w:trPr>
        <w:tc>
          <w:tcPr>
            <w:tcW w:w="7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in Period</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Period End</w:t>
            </w:r>
          </w:p>
        </w:tc>
      </w:tr>
      <w:tr>
        <w:trPr>
          <w:trHeight w:val="209"/>
        </w:trPr>
        <w:tc>
          <w:tcPr>
            <w:tcW w:w="744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859,069</w:t>
            </w:r>
          </w:p>
        </w:tc>
        <w:tc>
          <w:tcPr>
            <w:tcW w:w="2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2,333,530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902,416</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2,380,847</w:t>
            </w:r>
          </w:p>
        </w:tc>
      </w:tr>
      <w:tr>
        <w:trPr>
          <w:trHeight w:val="216"/>
        </w:trPr>
        <w:tc>
          <w:tcPr>
            <w:tcW w:w="7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shd w:val="clear" w:color="auto" w:fill="EEEEEE"/>
          </w:tcPr>
          <w:p>
            <w:pPr>
              <w:spacing w:after="0"/>
              <w:rPr>
                <w:sz w:val="18"/>
                <w:szCs w:val="18"/>
                <w:color w:val="auto"/>
              </w:rPr>
            </w:pPr>
          </w:p>
        </w:tc>
        <w:tc>
          <w:tcPr>
            <w:tcW w:w="19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1,002,782</w:t>
            </w:r>
          </w:p>
        </w:tc>
        <w:tc>
          <w:tcPr>
            <w:tcW w:w="17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2,416,042</w:t>
            </w:r>
          </w:p>
        </w:tc>
      </w:tr>
      <w:tr>
        <w:trPr>
          <w:trHeight w:val="216"/>
        </w:trPr>
        <w:tc>
          <w:tcPr>
            <w:tcW w:w="7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742,584</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2,174,972</w:t>
            </w:r>
          </w:p>
        </w:tc>
      </w:tr>
      <w:tr>
        <w:trPr>
          <w:trHeight w:val="216"/>
        </w:trPr>
        <w:tc>
          <w:tcPr>
            <w:tcW w:w="7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EEEEEE"/>
          </w:tcPr>
          <w:p>
            <w:pPr>
              <w:spacing w:after="0"/>
              <w:rPr>
                <w:sz w:val="18"/>
                <w:szCs w:val="18"/>
                <w:color w:val="auto"/>
              </w:rPr>
            </w:pPr>
          </w:p>
        </w:tc>
        <w:tc>
          <w:tcPr>
            <w:tcW w:w="19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1,146,321</w:t>
            </w:r>
          </w:p>
        </w:tc>
        <w:tc>
          <w:tcPr>
            <w:tcW w:w="17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2,249,069</w:t>
            </w:r>
          </w:p>
        </w:tc>
      </w:tr>
      <w:tr>
        <w:trPr>
          <w:trHeight w:val="216"/>
        </w:trPr>
        <w:tc>
          <w:tcPr>
            <w:tcW w:w="7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1,845,385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3,001,308</w:t>
            </w:r>
          </w:p>
        </w:tc>
      </w:tr>
      <w:tr>
        <w:trPr>
          <w:trHeight w:val="216"/>
        </w:trPr>
        <w:tc>
          <w:tcPr>
            <w:tcW w:w="756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Three months ended March 31, 2023</w:t>
            </w:r>
          </w:p>
        </w:tc>
        <w:tc>
          <w:tcPr>
            <w:tcW w:w="19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415,151</w:t>
            </w:r>
          </w:p>
        </w:tc>
        <w:tc>
          <w:tcPr>
            <w:tcW w:w="17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3,130,891</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2021 we began purchasing some contracts for immediate sale to a third-party to whom we refer applications that don’t meet our lending criteria. We service all such contracts on behalf of the third-party. We earn fees for originating the receivable and also servicing fees on active accounts in the third-party portfolio. For the three months ended March 31, 2023, we originated $60.0 million under this third-party program. As of March 31, 2023, our managed portfolio includes $249.0 million of such third-party receivables.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Securitization and Warehouse Credit Facilities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after 2017 we take account of estimated credit losses in our computation of a level yield used to determine recognition of interest on the contracts. For contracts acquired before 2018, we adopted CECL on January 1, 2020 and we may, as circumstances warrant, record as expense provisions for credit losses.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1994 we have conducted 96 term securitizations of automobile contracts that we originated. As of March 31, 2023, 18 of those securitizations are active and all are structured as secured financings. We have generally conducted our securitizations on a quarterly basis, near the end of each calendar quarter, resulting in four securitizations per calendar year. However, in 2020, we closed only three term securitization transactions in that calendar year rather than four.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recent history of term securitizations is summarized in the table below:</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Recent Asset-Backed Term Securitizations</w:t>
            </w:r>
          </w:p>
        </w:tc>
        <w:tc>
          <w:tcPr>
            <w:tcW w:w="3680" w:type="dxa"/>
            <w:vAlign w:val="bottom"/>
            <w:gridSpan w:val="5"/>
            <w:vMerge w:val="restart"/>
          </w:tcPr>
          <w:p>
            <w:pPr>
              <w:ind w:left="126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8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Receivables Pledged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Number of Term</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in Term</w:t>
            </w:r>
          </w:p>
        </w:tc>
        <w:tc>
          <w:tcPr>
            <w:tcW w:w="0" w:type="dxa"/>
            <w:vAlign w:val="bottom"/>
          </w:tcPr>
          <w:p>
            <w:pPr>
              <w:spacing w:after="0"/>
              <w:rPr>
                <w:sz w:val="1"/>
                <w:szCs w:val="1"/>
                <w:color w:val="auto"/>
              </w:rPr>
            </w:pPr>
          </w:p>
        </w:tc>
      </w:tr>
      <w:tr>
        <w:trPr>
          <w:trHeight w:val="238"/>
        </w:trPr>
        <w:tc>
          <w:tcPr>
            <w:tcW w:w="7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c>
          <w:tcPr>
            <w:tcW w:w="18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c>
          <w:tcPr>
            <w:tcW w:w="0" w:type="dxa"/>
            <w:vAlign w:val="bottom"/>
          </w:tcPr>
          <w:p>
            <w:pPr>
              <w:spacing w:after="0"/>
              <w:rPr>
                <w:sz w:val="1"/>
                <w:szCs w:val="1"/>
                <w:color w:val="auto"/>
              </w:rPr>
            </w:pPr>
          </w:p>
        </w:tc>
      </w:tr>
      <w:tr>
        <w:trPr>
          <w:trHeight w:val="209"/>
        </w:trPr>
        <w:tc>
          <w:tcPr>
            <w:tcW w:w="744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right"/>
              <w:ind w:right="65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870,000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Pr>
          <w:p>
            <w:pPr>
              <w:spacing w:after="0"/>
              <w:rPr>
                <w:sz w:val="18"/>
                <w:szCs w:val="18"/>
                <w:color w:val="auto"/>
              </w:rPr>
            </w:pP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883,452</w:t>
            </w:r>
          </w:p>
        </w:tc>
        <w:tc>
          <w:tcPr>
            <w:tcW w:w="0" w:type="dxa"/>
            <w:vAlign w:val="bottom"/>
          </w:tcPr>
          <w:p>
            <w:pPr>
              <w:spacing w:after="0"/>
              <w:rPr>
                <w:sz w:val="1"/>
                <w:szCs w:val="1"/>
                <w:color w:val="auto"/>
              </w:rPr>
            </w:pPr>
          </w:p>
        </w:tc>
      </w:tr>
      <w:tr>
        <w:trPr>
          <w:trHeight w:val="216"/>
        </w:trPr>
        <w:tc>
          <w:tcPr>
            <w:tcW w:w="7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shd w:val="clear" w:color="auto" w:fill="EEEEEE"/>
          </w:tcPr>
          <w:p>
            <w:pPr>
              <w:spacing w:after="0"/>
              <w:rPr>
                <w:sz w:val="18"/>
                <w:szCs w:val="18"/>
                <w:color w:val="auto"/>
              </w:rPr>
            </w:pPr>
          </w:p>
        </w:tc>
        <w:tc>
          <w:tcPr>
            <w:tcW w:w="1680" w:type="dxa"/>
            <w:vAlign w:val="bottom"/>
            <w:shd w:val="clear" w:color="auto" w:fill="EEEEEE"/>
          </w:tcPr>
          <w:p>
            <w:pPr>
              <w:jc w:val="right"/>
              <w:ind w:right="65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1,014,124</w:t>
            </w:r>
          </w:p>
        </w:tc>
        <w:tc>
          <w:tcPr>
            <w:tcW w:w="0" w:type="dxa"/>
            <w:vAlign w:val="bottom"/>
          </w:tcPr>
          <w:p>
            <w:pPr>
              <w:spacing w:after="0"/>
              <w:rPr>
                <w:sz w:val="1"/>
                <w:szCs w:val="1"/>
                <w:color w:val="auto"/>
              </w:rPr>
            </w:pPr>
          </w:p>
        </w:tc>
      </w:tr>
      <w:tr>
        <w:trPr>
          <w:trHeight w:val="216"/>
        </w:trPr>
        <w:tc>
          <w:tcPr>
            <w:tcW w:w="7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tcPr>
          <w:p>
            <w:pPr>
              <w:spacing w:after="0"/>
              <w:rPr>
                <w:sz w:val="18"/>
                <w:szCs w:val="18"/>
                <w:color w:val="auto"/>
              </w:rPr>
            </w:pP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741,867</w:t>
            </w:r>
          </w:p>
        </w:tc>
        <w:tc>
          <w:tcPr>
            <w:tcW w:w="0" w:type="dxa"/>
            <w:vAlign w:val="bottom"/>
          </w:tcPr>
          <w:p>
            <w:pPr>
              <w:spacing w:after="0"/>
              <w:rPr>
                <w:sz w:val="1"/>
                <w:szCs w:val="1"/>
                <w:color w:val="auto"/>
              </w:rPr>
            </w:pPr>
          </w:p>
        </w:tc>
      </w:tr>
      <w:tr>
        <w:trPr>
          <w:trHeight w:val="216"/>
        </w:trPr>
        <w:tc>
          <w:tcPr>
            <w:tcW w:w="74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EEEEEE"/>
          </w:tcPr>
          <w:p>
            <w:pPr>
              <w:spacing w:after="0"/>
              <w:rPr>
                <w:sz w:val="18"/>
                <w:szCs w:val="18"/>
                <w:color w:val="auto"/>
              </w:rPr>
            </w:pPr>
          </w:p>
        </w:tc>
        <w:tc>
          <w:tcPr>
            <w:tcW w:w="1680" w:type="dxa"/>
            <w:vAlign w:val="bottom"/>
            <w:shd w:val="clear" w:color="auto" w:fill="EEEEEE"/>
          </w:tcPr>
          <w:p>
            <w:pPr>
              <w:jc w:val="right"/>
              <w:ind w:right="65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1,145,002</w:t>
            </w:r>
          </w:p>
        </w:tc>
        <w:tc>
          <w:tcPr>
            <w:tcW w:w="0" w:type="dxa"/>
            <w:vAlign w:val="bottom"/>
          </w:tcPr>
          <w:p>
            <w:pPr>
              <w:spacing w:after="0"/>
              <w:rPr>
                <w:sz w:val="1"/>
                <w:szCs w:val="1"/>
                <w:color w:val="auto"/>
              </w:rPr>
            </w:pPr>
          </w:p>
        </w:tc>
      </w:tr>
      <w:tr>
        <w:trPr>
          <w:trHeight w:val="216"/>
        </w:trPr>
        <w:tc>
          <w:tcPr>
            <w:tcW w:w="7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Pr>
          <w:p>
            <w:pPr>
              <w:spacing w:after="0"/>
              <w:rPr>
                <w:sz w:val="18"/>
                <w:szCs w:val="18"/>
                <w:color w:val="auto"/>
              </w:rPr>
            </w:pP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1,537,383</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Three months ended March 31, 2023</w:t>
            </w:r>
          </w:p>
        </w:tc>
        <w:tc>
          <w:tcPr>
            <w:tcW w:w="1680" w:type="dxa"/>
            <w:vAlign w:val="bottom"/>
            <w:shd w:val="clear" w:color="auto" w:fill="EEEEEE"/>
          </w:tcPr>
          <w:p>
            <w:pPr>
              <w:jc w:val="right"/>
              <w:ind w:right="65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362,870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prior to a securitization transaction we fund our automobile contract purchases primarily with proceeds from warehouse credit facilities. We currently have short-term funding capacity of $400 million over two credit facilities. The first credit facility was established in May 2012. This facility was most recently renewed in July 2022, extending the revolving period to July 2024, with an optional amortization period through July 2025. In addition, the capacity was doubled from $100 million to $200 million at the July 2022 renewal.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2015, we entered into another $100 million facility. This facility was most recently renewed in January 2022, extending the revolving period to January 2024, followed by an amortization period to January 2026. In June 2022, we doubled the capacity for this facility from $100 million to $200 million.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we originate and service for third-parties are not pledged to our warehouse facilities or included in our securitizations.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March 31, 2023, we were in compliance with all such covenants.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three months ended March 31, 2023 with the three months ended March 31, 2022</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three months ended March 31, 2023, our revenues were $83.1 million, an increase of $8.7 million, or 11.7%, from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$74.4 million. The primary reason for the increase in revenues is the increase in interest income resulting from the increase in the average outstanding balance of finance receivables measured at fair value. Revenues for the three months ended March 31, 2022 include a $2.4 million mark up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 Based on this evaluation, there was no mark up or mark down to the fair value portfolio in the current year period. During the three months ended March 30, 2022, we reduced our estimate for expected future losses in finance receivables measured at fair value as we have observed that our previous estimates for increased losses due to the pandemic had not materialized. The change in estimated losses resulted in the $2.4 million mark up for the prior year period.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for the three months ended March 31, 2023 increased $10.0 million, or 14.3%, to $80.1 million from $70.1 million in the prior year. The primary reason for the increase in interest income is the 34.4% increase in the average balance of finance receivables measured at fair value over the prior year period. The table below shows the average balances and interest yields of the two components of our loan portfolio for the three months ended March 31, 2023 and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jc w:val="right"/>
              <w:ind w:right="64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6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20"/>
                <w:szCs w:val="20"/>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2600" w:type="dxa"/>
            <w:vAlign w:val="bottom"/>
            <w:gridSpan w:val="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78,729</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6,004</w:t>
            </w:r>
          </w:p>
        </w:tc>
        <w:tc>
          <w:tcPr>
            <w:tcW w:w="15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206,197</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rPr>
              <w:t>11,320</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0"/>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2,777,869</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74,058</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2,067,286</w:t>
            </w:r>
          </w:p>
        </w:tc>
        <w:tc>
          <w:tcPr>
            <w:tcW w:w="180" w:type="dxa"/>
            <w:vAlign w:val="bottom"/>
          </w:tcPr>
          <w:p>
            <w:pPr>
              <w:spacing w:after="0"/>
              <w:rPr>
                <w:sz w:val="19"/>
                <w:szCs w:val="19"/>
                <w:color w:val="auto"/>
              </w:rPr>
            </w:pP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58,740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3"/>
        </w:trPr>
        <w:tc>
          <w:tcPr>
            <w:tcW w:w="3280" w:type="dxa"/>
            <w:vAlign w:val="bottom"/>
            <w:tcBorders>
              <w:top w:val="single" w:sz="8" w:color="EEEEEE"/>
              <w:bottom w:val="single" w:sz="8" w:color="EEEEEE"/>
            </w:tcBorders>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2,856,598</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80,062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2,273,483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w w:val="92"/>
              </w:rPr>
              <w:t>70,060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2"/>
          <w:szCs w:val="22"/>
          <w:color w:val="auto"/>
        </w:rPr>
        <w:t xml:space="preserve">Other income was $3.0 million for </w:t>
      </w:r>
      <w:r>
        <w:rPr>
          <w:rFonts w:ascii="Times New Roman" w:cs="Times New Roman" w:eastAsia="Times New Roman" w:hAnsi="Times New Roman"/>
          <w:sz w:val="17"/>
          <w:szCs w:val="17"/>
          <w:color w:val="auto"/>
        </w:rPr>
        <w:t>the three months ended March 31, 2023 compared to $1.9 million for the comparable period in 2022. This 59.4%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increase was primarily driven by the origination and servicing fees we earned from third party receivables. These fees were $2.7 million for the quarter ended March 31, 2023 compared to $844,000 in the prior year period.</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 provision for credit losses, employee costs, sales and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were $64.7 million for the three months ended March 31, 2023, compared to $45.0 million for the prior period, an increase of $19.6 million, or 43.6%. The increase is primarily due to increases in interest expense and general and administrative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were $22.0 million during the three months ended March 31, 2023 compared to $22.2 million for the same quarter in the prior year. The table below summarizes our employees by category as well as contract purchases and units in our managed portfolio as of, and for the three-month periods ended, March 31, 2023 and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80" w:type="dxa"/>
            <w:vAlign w:val="bottom"/>
            <w:gridSpan w:val="7"/>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 March 30,</w:t>
            </w:r>
          </w:p>
        </w:tc>
      </w:tr>
      <w:tr>
        <w:trPr>
          <w:trHeight w:val="223"/>
        </w:trPr>
        <w:tc>
          <w:tcPr>
            <w:tcW w:w="5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(Dollars in millions)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3360" w:type="dxa"/>
            <w:vAlign w:val="bottom"/>
            <w:gridSpan w:val="2"/>
            <w:shd w:val="clear" w:color="auto" w:fill="EEEEEE"/>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415.2</w:t>
            </w:r>
          </w:p>
        </w:tc>
        <w:tc>
          <w:tcPr>
            <w:tcW w:w="660" w:type="dxa"/>
            <w:vAlign w:val="bottom"/>
            <w:shd w:val="clear" w:color="auto" w:fill="EEEEEE"/>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410.0</w:t>
            </w: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20,888</w:t>
            </w:r>
          </w:p>
        </w:tc>
        <w:tc>
          <w:tcPr>
            <w:tcW w:w="6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17,798</w:t>
            </w: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3360" w:type="dxa"/>
            <w:vAlign w:val="bottom"/>
            <w:gridSpan w:val="2"/>
            <w:shd w:val="clear" w:color="auto" w:fill="EEEEEE"/>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2,881.8</w:t>
            </w:r>
          </w:p>
        </w:tc>
        <w:tc>
          <w:tcPr>
            <w:tcW w:w="660" w:type="dxa"/>
            <w:vAlign w:val="bottom"/>
            <w:shd w:val="clear" w:color="auto" w:fill="EEEEEE"/>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2,381.6</w:t>
            </w: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175,197</w:t>
            </w:r>
          </w:p>
        </w:tc>
        <w:tc>
          <w:tcPr>
            <w:tcW w:w="6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158,844</w:t>
            </w: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18"/>
                <w:szCs w:val="18"/>
                <w:color w:val="auto"/>
              </w:rPr>
            </w:pPr>
          </w:p>
        </w:tc>
        <w:tc>
          <w:tcPr>
            <w:tcW w:w="2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6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2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6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6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8"/>
                <w:szCs w:val="18"/>
                <w:color w:val="auto"/>
              </w:rPr>
            </w:pPr>
          </w:p>
        </w:tc>
      </w:tr>
      <w:tr>
        <w:trPr>
          <w:trHeight w:val="230"/>
        </w:trPr>
        <w:tc>
          <w:tcPr>
            <w:tcW w:w="5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234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66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EEEEEE"/>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234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was $11.4 million, an increase from $8.2 million in the previous year and represented 17.6% of total operating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March 31, 2023 was $32.8 million and represented 50.7% of total operating expenses, compared to $16.4 million in the previous year, when it was 36.4% of total operating expenses.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on securitization trust debt increased by $10.7 million for the three months ended March 31, 2023 compared to the prior period. The average balance of securitization trust debt increased to $2,283.3 million for the three months ended March 31, 2023 compared to $1,808.5 million for the three months ended March 31, 2022. The annualized average rate on our securitization trust debt was 4.2% for the three months ended March 31, 2023 compared to 3.0% in the prior year period. The blended interest rates on new term securitizations have been increasing since 2022.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27" w:name="page28"/>
    <w:bookmarkEnd w:id="27"/>
    <w:tbl>
      <w:tblPr>
        <w:tblLayout w:type="fixed"/>
        <w:tblInd w:w="1140" w:type="dxa"/>
        <w:tblCellMar>
          <w:top w:w="0" w:type="dxa"/>
          <w:left w:w="0" w:type="dxa"/>
          <w:bottom w:w="0" w:type="dxa"/>
          <w:right w:w="0" w:type="dxa"/>
        </w:tblCellMar>
      </w:tblPr>
      <w:tr>
        <w:trPr>
          <w:trHeight w:val="238"/>
        </w:trPr>
        <w:tc>
          <w:tcPr>
            <w:tcW w:w="57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w:t>
            </w:r>
          </w:p>
        </w:tc>
      </w:tr>
      <w:tr>
        <w:trPr>
          <w:trHeight w:val="209"/>
        </w:trPr>
        <w:tc>
          <w:tcPr>
            <w:tcW w:w="514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January 2020</w:t>
            </w:r>
          </w:p>
        </w:tc>
        <w:tc>
          <w:tcPr>
            <w:tcW w:w="620" w:type="dxa"/>
            <w:vAlign w:val="bottom"/>
            <w:tcBorders>
              <w:top w:val="single" w:sz="8" w:color="EEEEEE"/>
            </w:tcBorders>
            <w:shd w:val="clear" w:color="auto" w:fill="EEEEEE"/>
          </w:tcPr>
          <w:p>
            <w:pPr>
              <w:spacing w:after="0"/>
              <w:rPr>
                <w:sz w:val="18"/>
                <w:szCs w:val="18"/>
                <w:color w:val="auto"/>
              </w:rPr>
            </w:pPr>
          </w:p>
        </w:tc>
        <w:tc>
          <w:tcPr>
            <w:tcW w:w="32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57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7"/>
              </w:rPr>
              <w:t>June 2020</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5760" w:type="dxa"/>
            <w:vAlign w:val="bottom"/>
            <w:gridSpan w:val="2"/>
            <w:shd w:val="clear" w:color="auto" w:fill="EEEEEE"/>
          </w:tcPr>
          <w:p>
            <w:pPr>
              <w:jc w:val="center"/>
              <w:ind w:right="640"/>
              <w:spacing w:after="0"/>
              <w:rPr>
                <w:sz w:val="20"/>
                <w:szCs w:val="20"/>
                <w:color w:val="auto"/>
              </w:rPr>
            </w:pPr>
            <w:r>
              <w:rPr>
                <w:rFonts w:ascii="Times New Roman" w:cs="Times New Roman" w:eastAsia="Times New Roman" w:hAnsi="Times New Roman"/>
                <w:sz w:val="18"/>
                <w:szCs w:val="18"/>
                <w:color w:val="auto"/>
                <w:w w:val="98"/>
              </w:rPr>
              <w:t>September 2020</w:t>
            </w:r>
          </w:p>
        </w:tc>
        <w:tc>
          <w:tcPr>
            <w:tcW w:w="3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57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January 2021</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1.11%</w:t>
            </w:r>
          </w:p>
        </w:tc>
      </w:tr>
      <w:tr>
        <w:trPr>
          <w:trHeight w:val="216"/>
        </w:trPr>
        <w:tc>
          <w:tcPr>
            <w:tcW w:w="5760" w:type="dxa"/>
            <w:vAlign w:val="bottom"/>
            <w:gridSpan w:val="2"/>
            <w:shd w:val="clear" w:color="auto" w:fill="EEEEEE"/>
          </w:tcPr>
          <w:p>
            <w:pPr>
              <w:jc w:val="center"/>
              <w:ind w:right="640"/>
              <w:spacing w:after="0"/>
              <w:rPr>
                <w:sz w:val="20"/>
                <w:szCs w:val="20"/>
                <w:color w:val="auto"/>
              </w:rPr>
            </w:pPr>
            <w:r>
              <w:rPr>
                <w:rFonts w:ascii="Times New Roman" w:cs="Times New Roman" w:eastAsia="Times New Roman" w:hAnsi="Times New Roman"/>
                <w:sz w:val="18"/>
                <w:szCs w:val="18"/>
                <w:color w:val="auto"/>
              </w:rPr>
              <w:t>April 2021</w:t>
            </w:r>
          </w:p>
        </w:tc>
        <w:tc>
          <w:tcPr>
            <w:tcW w:w="3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57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rPr>
              <w:t>July 2021</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5760" w:type="dxa"/>
            <w:vAlign w:val="bottom"/>
            <w:gridSpan w:val="2"/>
            <w:shd w:val="clear" w:color="auto" w:fill="EEEEEE"/>
          </w:tcPr>
          <w:p>
            <w:pPr>
              <w:jc w:val="center"/>
              <w:ind w:right="640"/>
              <w:spacing w:after="0"/>
              <w:rPr>
                <w:sz w:val="20"/>
                <w:szCs w:val="20"/>
                <w:color w:val="auto"/>
              </w:rPr>
            </w:pPr>
            <w:r>
              <w:rPr>
                <w:rFonts w:ascii="Times New Roman" w:cs="Times New Roman" w:eastAsia="Times New Roman" w:hAnsi="Times New Roman"/>
                <w:sz w:val="18"/>
                <w:szCs w:val="18"/>
                <w:color w:val="auto"/>
              </w:rPr>
              <w:t>October 2021</w:t>
            </w:r>
          </w:p>
        </w:tc>
        <w:tc>
          <w:tcPr>
            <w:tcW w:w="3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57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January 2022</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5760" w:type="dxa"/>
            <w:vAlign w:val="bottom"/>
            <w:gridSpan w:val="2"/>
            <w:shd w:val="clear" w:color="auto" w:fill="EEEEEE"/>
          </w:tcPr>
          <w:p>
            <w:pPr>
              <w:jc w:val="center"/>
              <w:ind w:right="640"/>
              <w:spacing w:after="0"/>
              <w:rPr>
                <w:sz w:val="20"/>
                <w:szCs w:val="20"/>
                <w:color w:val="auto"/>
              </w:rPr>
            </w:pPr>
            <w:r>
              <w:rPr>
                <w:rFonts w:ascii="Times New Roman" w:cs="Times New Roman" w:eastAsia="Times New Roman" w:hAnsi="Times New Roman"/>
                <w:sz w:val="18"/>
                <w:szCs w:val="18"/>
                <w:color w:val="auto"/>
              </w:rPr>
              <w:t>April 2022</w:t>
            </w:r>
          </w:p>
        </w:tc>
        <w:tc>
          <w:tcPr>
            <w:tcW w:w="3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57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rPr>
              <w:t>July 2022</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5760" w:type="dxa"/>
            <w:vAlign w:val="bottom"/>
            <w:gridSpan w:val="2"/>
            <w:shd w:val="clear" w:color="auto" w:fill="EEEEEE"/>
          </w:tcPr>
          <w:p>
            <w:pPr>
              <w:jc w:val="center"/>
              <w:ind w:right="640"/>
              <w:spacing w:after="0"/>
              <w:rPr>
                <w:sz w:val="20"/>
                <w:szCs w:val="20"/>
                <w:color w:val="auto"/>
              </w:rPr>
            </w:pPr>
            <w:r>
              <w:rPr>
                <w:rFonts w:ascii="Times New Roman" w:cs="Times New Roman" w:eastAsia="Times New Roman" w:hAnsi="Times New Roman"/>
                <w:sz w:val="18"/>
                <w:szCs w:val="18"/>
                <w:color w:val="auto"/>
              </w:rPr>
              <w:t>October 2022</w:t>
            </w:r>
          </w:p>
        </w:tc>
        <w:tc>
          <w:tcPr>
            <w:tcW w:w="3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8.48%</w:t>
            </w:r>
          </w:p>
        </w:tc>
      </w:tr>
      <w:tr>
        <w:trPr>
          <w:trHeight w:val="234"/>
        </w:trPr>
        <w:tc>
          <w:tcPr>
            <w:tcW w:w="57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January 2023</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6.48%</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warehouse credit line debt increased by $3.1 million to $4.3 million for the three months ended March 31, 2023 compared to $1.2 million in the prior year period. The increase was due to the higher utilization of our credit lines during the quarter compared to last year. The average balance of our warehouse debt was $194.9 million during the three months ended March 31, 2023 compared to $66.5 million for the same period in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subordinated renewable notes was $508,000 for the three months ended March 31, 2023. The average balance of the outstanding subordinated debt decreased 9.1% to $24.1 million for the three months ended March 31, 2023 compared to $26.5 million for the prior year. The average yield of subordinated notes decreased to 8.4% compared to 9.3% in the prior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2018 and June 2021, we completed two residual interest financings of our residual interests from previously issued securitizations in the amounts of $40.0 million and $50.0 million, respectively. Interest expense on these residual interest financings was $983,000 for the three months ended March 31, 2023 compared to $1.1 million in the prior 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three-month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 and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p>
        </w:tc>
        <w:tc>
          <w:tcPr>
            <w:tcW w:w="3060" w:type="dxa"/>
            <w:vAlign w:val="bottom"/>
            <w:gridSpan w:val="4"/>
            <w:vMerge w:val="restart"/>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Balance (1)</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14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3060" w:type="dxa"/>
            <w:vAlign w:val="bottom"/>
            <w:gridSpan w:val="4"/>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gross (2)</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78,729</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6,004</w:t>
            </w:r>
          </w:p>
        </w:tc>
        <w:tc>
          <w:tcPr>
            <w:tcW w:w="14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206,197</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11,320</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0"/>
        </w:trPr>
        <w:tc>
          <w:tcPr>
            <w:tcW w:w="3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Finance receivables at fair value</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2,777,869</w:t>
            </w: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74,058</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2,067,286</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58,740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9"/>
        </w:trPr>
        <w:tc>
          <w:tcPr>
            <w:tcW w:w="8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2,856,598</w:t>
            </w:r>
          </w:p>
        </w:tc>
        <w:tc>
          <w:tcPr>
            <w:tcW w:w="2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80,062</w:t>
            </w:r>
          </w:p>
        </w:tc>
        <w:tc>
          <w:tcPr>
            <w:tcW w:w="40" w:type="dxa"/>
            <w:vAlign w:val="bottom"/>
            <w:tcBorders>
              <w:top w:val="single" w:sz="8" w:color="EEEEEE"/>
            </w:tcBorders>
            <w:shd w:val="clear" w:color="auto" w:fill="EEEEEE"/>
          </w:tcPr>
          <w:p>
            <w:pPr>
              <w:spacing w:after="0"/>
              <w:rPr>
                <w:sz w:val="18"/>
                <w:szCs w:val="18"/>
                <w:color w:val="auto"/>
              </w:rPr>
            </w:pPr>
          </w:p>
        </w:tc>
        <w:tc>
          <w:tcPr>
            <w:tcW w:w="1420" w:type="dxa"/>
            <w:vAlign w:val="bottom"/>
            <w:tcBorders>
              <w:top w:val="single" w:sz="8" w:color="EEEEEE"/>
            </w:tcBorders>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top w:val="single" w:sz="8" w:color="auto"/>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2,273,483</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70,060</w:t>
            </w:r>
          </w:p>
        </w:tc>
        <w:tc>
          <w:tcPr>
            <w:tcW w:w="2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EEEEEE"/>
            </w:tcBorders>
            <w:shd w:val="clear" w:color="auto" w:fill="EEEEEE"/>
          </w:tcPr>
          <w:p>
            <w:pPr>
              <w:spacing w:after="0"/>
              <w:rPr>
                <w:sz w:val="17"/>
                <w:szCs w:val="17"/>
                <w:color w:val="auto"/>
              </w:rPr>
            </w:pPr>
          </w:p>
        </w:tc>
        <w:tc>
          <w:tcPr>
            <w:tcW w:w="2080" w:type="dxa"/>
            <w:vAlign w:val="bottom"/>
            <w:tcBorders>
              <w:bottom w:val="single" w:sz="8" w:color="auto"/>
            </w:tcBorders>
            <w:gridSpan w:val="3"/>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98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88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86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86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86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194,918</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4,303</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66,465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39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983</w:t>
            </w:r>
          </w:p>
        </w:tc>
        <w:tc>
          <w:tcPr>
            <w:tcW w:w="14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51,978</w:t>
            </w: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3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2,283,258</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24,214</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1,808,501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39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60" w:type="dxa"/>
            <w:vAlign w:val="bottom"/>
            <w:shd w:val="clear" w:color="auto" w:fill="EEEEEE"/>
          </w:tcPr>
          <w:p>
            <w:pPr>
              <w:spacing w:after="0"/>
              <w:rPr>
                <w:sz w:val="19"/>
                <w:szCs w:val="19"/>
                <w:color w:val="auto"/>
              </w:rPr>
            </w:pP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24,119</w:t>
            </w:r>
          </w:p>
        </w:tc>
        <w:tc>
          <w:tcPr>
            <w:tcW w:w="2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508</w:t>
            </w:r>
          </w:p>
        </w:tc>
        <w:tc>
          <w:tcPr>
            <w:tcW w:w="14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26,526</w:t>
            </w:r>
          </w:p>
        </w:tc>
        <w:tc>
          <w:tcPr>
            <w:tcW w:w="14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620</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8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980" w:type="dxa"/>
            <w:vAlign w:val="bottom"/>
            <w:tcBorders>
              <w:bottom w:val="single" w:sz="8" w:color="EEEEEE"/>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2,552,295</w:t>
            </w:r>
          </w:p>
        </w:tc>
        <w:tc>
          <w:tcPr>
            <w:tcW w:w="240" w:type="dxa"/>
            <w:vAlign w:val="bottom"/>
            <w:tcBorders>
              <w:bottom w:val="single" w:sz="8" w:color="EEEEEE"/>
            </w:tcBorders>
            <w:vMerge w:val="continue"/>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9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30,008</w:t>
            </w:r>
          </w:p>
        </w:tc>
        <w:tc>
          <w:tcPr>
            <w:tcW w:w="1420" w:type="dxa"/>
            <w:vAlign w:val="bottom"/>
            <w:tcBorders>
              <w:bottom w:val="single" w:sz="8" w:color="EEEEEE"/>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1,953,470</w:t>
            </w:r>
          </w:p>
        </w:tc>
        <w:tc>
          <w:tcPr>
            <w:tcW w:w="220" w:type="dxa"/>
            <w:vAlign w:val="bottom"/>
            <w:tcBorders>
              <w:bottom w:val="single" w:sz="8" w:color="EEEEEE"/>
            </w:tcBorders>
            <w:vMerge w:val="continue"/>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080" w:type="dxa"/>
            <w:vAlign w:val="bottom"/>
            <w:tcBorders>
              <w:bottom w:val="single" w:sz="8" w:color="EEEEEE"/>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16,400</w:t>
            </w:r>
          </w:p>
        </w:tc>
        <w:tc>
          <w:tcPr>
            <w:tcW w:w="1100" w:type="dxa"/>
            <w:vAlign w:val="bottom"/>
            <w:tcBorders>
              <w:bottom w:val="single" w:sz="8" w:color="EEEEEE"/>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7"/>
        </w:trPr>
        <w:tc>
          <w:tcPr>
            <w:tcW w:w="8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tcBorders>
              <w:bottom w:val="single" w:sz="8" w:color="auto"/>
            </w:tcBorders>
            <w:shd w:val="clear" w:color="auto" w:fill="EEEEEE"/>
          </w:tcPr>
          <w:p>
            <w:pPr>
              <w:spacing w:after="0"/>
              <w:rPr>
                <w:sz w:val="17"/>
                <w:szCs w:val="17"/>
                <w:color w:val="auto"/>
              </w:rPr>
            </w:pPr>
          </w:p>
        </w:tc>
        <w:tc>
          <w:tcPr>
            <w:tcW w:w="860" w:type="dxa"/>
            <w:vAlign w:val="bottom"/>
            <w:tcBorders>
              <w:bottom w:val="single" w:sz="8" w:color="auto"/>
            </w:tcBorders>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tcBorders>
              <w:bottom w:val="single" w:sz="8" w:color="auto"/>
            </w:tcBorders>
            <w:shd w:val="clear" w:color="auto" w:fill="EEEEEE"/>
          </w:tcPr>
          <w:p>
            <w:pPr>
              <w:spacing w:after="0"/>
              <w:rPr>
                <w:sz w:val="17"/>
                <w:szCs w:val="17"/>
                <w:color w:val="auto"/>
              </w:rPr>
            </w:pPr>
          </w:p>
        </w:tc>
        <w:tc>
          <w:tcPr>
            <w:tcW w:w="860" w:type="dxa"/>
            <w:vAlign w:val="bottom"/>
            <w:tcBorders>
              <w:bottom w:val="single" w:sz="8" w:color="auto"/>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940" w:type="dxa"/>
            <w:vAlign w:val="bottom"/>
            <w:tcBorders>
              <w:bottom w:val="single" w:sz="8" w:color="EEEEEE"/>
            </w:tcBorders>
            <w:gridSpan w:val="5"/>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60" w:type="dxa"/>
            <w:vAlign w:val="bottom"/>
            <w:tcBorders>
              <w:bottom w:val="single" w:sz="8" w:color="EEEEEE"/>
            </w:tcBorders>
          </w:tcPr>
          <w:p>
            <w:pPr>
              <w:spacing w:after="0"/>
              <w:rPr>
                <w:sz w:val="22"/>
                <w:szCs w:val="22"/>
                <w:color w:val="auto"/>
              </w:rPr>
            </w:pPr>
          </w:p>
        </w:tc>
        <w:tc>
          <w:tcPr>
            <w:tcW w:w="880" w:type="dxa"/>
            <w:vAlign w:val="bottom"/>
            <w:tcBorders>
              <w:bottom w:val="single" w:sz="8" w:color="EEEEEE"/>
            </w:tcBorders>
          </w:tcPr>
          <w:p>
            <w:pPr>
              <w:spacing w:after="0"/>
              <w:rPr>
                <w:sz w:val="22"/>
                <w:szCs w:val="22"/>
                <w:color w:val="auto"/>
              </w:rPr>
            </w:pPr>
          </w:p>
        </w:tc>
        <w:tc>
          <w:tcPr>
            <w:tcW w:w="240" w:type="dxa"/>
            <w:vAlign w:val="bottom"/>
            <w:tcBorders>
              <w:bottom w:val="single" w:sz="8" w:color="EEEEEE"/>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50,054</w:t>
            </w:r>
          </w:p>
        </w:tc>
        <w:tc>
          <w:tcPr>
            <w:tcW w:w="40" w:type="dxa"/>
            <w:vAlign w:val="bottom"/>
            <w:tcBorders>
              <w:bottom w:val="single" w:sz="8" w:color="EEEEEE"/>
            </w:tcBorders>
          </w:tcPr>
          <w:p>
            <w:pPr>
              <w:spacing w:after="0"/>
              <w:rPr>
                <w:sz w:val="22"/>
                <w:szCs w:val="22"/>
                <w:color w:val="auto"/>
              </w:rPr>
            </w:pPr>
          </w:p>
        </w:tc>
        <w:tc>
          <w:tcPr>
            <w:tcW w:w="200" w:type="dxa"/>
            <w:vAlign w:val="bottom"/>
            <w:tcBorders>
              <w:bottom w:val="single" w:sz="8" w:color="EEEEEE"/>
            </w:tcBorders>
          </w:tcPr>
          <w:p>
            <w:pPr>
              <w:spacing w:after="0"/>
              <w:rPr>
                <w:sz w:val="22"/>
                <w:szCs w:val="22"/>
                <w:color w:val="auto"/>
              </w:rPr>
            </w:pPr>
          </w:p>
        </w:tc>
        <w:tc>
          <w:tcPr>
            <w:tcW w:w="100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86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53,660</w:t>
            </w:r>
          </w:p>
        </w:tc>
        <w:tc>
          <w:tcPr>
            <w:tcW w:w="220" w:type="dxa"/>
            <w:vAlign w:val="bottom"/>
            <w:tcBorders>
              <w:bottom w:val="single" w:sz="8" w:color="EEEEEE"/>
            </w:tcBorders>
          </w:tcPr>
          <w:p>
            <w:pPr>
              <w:spacing w:after="0"/>
              <w:rPr>
                <w:sz w:val="22"/>
                <w:szCs w:val="22"/>
                <w:color w:val="auto"/>
              </w:rPr>
            </w:pPr>
          </w:p>
        </w:tc>
        <w:tc>
          <w:tcPr>
            <w:tcW w:w="100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940" w:type="dxa"/>
            <w:vAlign w:val="bottom"/>
            <w:gridSpan w:val="5"/>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auto"/>
              </w:rPr>
              <w:t>Net interest yield (3)</w:t>
            </w: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420" w:type="dxa"/>
            <w:vAlign w:val="bottom"/>
            <w:gridSpan w:val="3"/>
            <w:shd w:val="clear" w:color="auto" w:fill="EEEEEE"/>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gridSpan w:val="2"/>
            <w:shd w:val="clear" w:color="auto" w:fill="EEEEEE"/>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3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Ratio of average interest earning assets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5"/>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to average interest bearing liabilities</w:t>
            </w: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hanging="292"/>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2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deferred fees and direct costs.</w:t>
      </w:r>
    </w:p>
    <w:p>
      <w:pPr>
        <w:spacing w:after="0" w:line="9"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interest income divided by average interest earning assets.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9"/>
        </w:trPr>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60" w:type="dxa"/>
            <w:vAlign w:val="bottom"/>
            <w:gridSpan w:val="9"/>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2023</w:t>
            </w: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7"/>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Compared to March 31, 2022</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701"/>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7"/>
                <w:szCs w:val="17"/>
                <w:color w:val="auto"/>
              </w:rPr>
            </w:pPr>
          </w:p>
        </w:tc>
        <w:tc>
          <w:tcPr>
            <w:tcW w:w="1460" w:type="dxa"/>
            <w:vAlign w:val="bottom"/>
            <w:gridSpan w:val="2"/>
          </w:tcPr>
          <w:p>
            <w:pPr>
              <w:jc w:val="right"/>
              <w:ind w:right="38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 Volume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to Rate</w:t>
            </w:r>
          </w:p>
        </w:tc>
        <w:tc>
          <w:tcPr>
            <w:tcW w:w="0" w:type="dxa"/>
            <w:vAlign w:val="bottom"/>
          </w:tcPr>
          <w:p>
            <w:pPr>
              <w:spacing w:after="0"/>
              <w:rPr>
                <w:sz w:val="1"/>
                <w:szCs w:val="1"/>
                <w:color w:val="auto"/>
              </w:rPr>
            </w:pPr>
          </w:p>
        </w:tc>
      </w:tr>
      <w:tr>
        <w:trPr>
          <w:trHeight w:val="232"/>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2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gross</w:t>
            </w:r>
          </w:p>
        </w:tc>
        <w:tc>
          <w:tcPr>
            <w:tcW w:w="2440" w:type="dxa"/>
            <w:vAlign w:val="bottom"/>
            <w:gridSpan w:val="2"/>
            <w:shd w:val="clear" w:color="auto" w:fill="EEEEEE"/>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(5,316)</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(6,989)</w:t>
            </w:r>
          </w:p>
        </w:tc>
        <w:tc>
          <w:tcPr>
            <w:tcW w:w="30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30"/>
        </w:trPr>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Finance receivables at fair value</w:t>
            </w: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15,318</w:t>
            </w:r>
          </w:p>
        </w:tc>
        <w:tc>
          <w:tcPr>
            <w:tcW w:w="1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0" w:type="dxa"/>
            <w:vAlign w:val="bottom"/>
          </w:tcPr>
          <w:p>
            <w:pPr>
              <w:spacing w:after="0"/>
              <w:rPr>
                <w:sz w:val="1"/>
                <w:szCs w:val="1"/>
                <w:color w:val="auto"/>
              </w:rPr>
            </w:pPr>
          </w:p>
        </w:tc>
      </w:tr>
      <w:tr>
        <w:trPr>
          <w:trHeight w:val="209"/>
        </w:trPr>
        <w:tc>
          <w:tcPr>
            <w:tcW w:w="20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18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13,190</w:t>
            </w:r>
          </w:p>
        </w:tc>
        <w:tc>
          <w:tcPr>
            <w:tcW w:w="1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2080" w:type="dxa"/>
            <w:vAlign w:val="bottom"/>
            <w:tcBorders>
              <w:bottom w:val="single" w:sz="8" w:color="auto"/>
            </w:tcBorders>
            <w:gridSpan w:val="3"/>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2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61"/>
              <w:spacing w:after="0"/>
              <w:rPr>
                <w:sz w:val="20"/>
                <w:szCs w:val="20"/>
                <w:color w:val="auto"/>
              </w:rPr>
            </w:pPr>
            <w:r>
              <w:rPr>
                <w:rFonts w:ascii="Times New Roman" w:cs="Times New Roman" w:eastAsia="Times New Roman" w:hAnsi="Times New Roman"/>
                <w:sz w:val="18"/>
                <w:szCs w:val="18"/>
                <w:color w:val="auto"/>
              </w:rPr>
              <w:t>3,145</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2,268</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16"/>
        </w:trPr>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14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2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61"/>
              <w:spacing w:after="0"/>
              <w:rPr>
                <w:sz w:val="20"/>
                <w:szCs w:val="20"/>
                <w:color w:val="auto"/>
              </w:rPr>
            </w:pPr>
            <w:r>
              <w:rPr>
                <w:rFonts w:ascii="Times New Roman" w:cs="Times New Roman" w:eastAsia="Times New Roman" w:hAnsi="Times New Roman"/>
                <w:sz w:val="18"/>
                <w:szCs w:val="18"/>
                <w:color w:val="auto"/>
              </w:rPr>
              <w:t>10,686</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3,836</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6,850</w:t>
            </w:r>
          </w:p>
        </w:tc>
        <w:tc>
          <w:tcPr>
            <w:tcW w:w="0" w:type="dxa"/>
            <w:vAlign w:val="bottom"/>
          </w:tcPr>
          <w:p>
            <w:pPr>
              <w:spacing w:after="0"/>
              <w:rPr>
                <w:sz w:val="1"/>
                <w:szCs w:val="1"/>
                <w:color w:val="auto"/>
              </w:rPr>
            </w:pPr>
          </w:p>
        </w:tc>
      </w:tr>
      <w:tr>
        <w:trPr>
          <w:trHeight w:val="229"/>
        </w:trPr>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9"/>
        </w:trPr>
        <w:tc>
          <w:tcPr>
            <w:tcW w:w="20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18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13,608</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8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2180" w:type="dxa"/>
            <w:vAlign w:val="bottom"/>
            <w:tcBorders>
              <w:bottom w:val="single" w:sz="8" w:color="EEEEE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EEEEEE"/>
            </w:tcBorders>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218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240" w:type="dxa"/>
            <w:vAlign w:val="bottom"/>
            <w:tcBorders>
              <w:bottom w:val="single" w:sz="8" w:color="EEEEEE"/>
            </w:tcBorders>
            <w:shd w:val="clear" w:color="auto" w:fill="EEEEEE"/>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2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The annualized yield on our finance receivables was 11.2% for the three months ended March 31, 2023 and 12.3% for the same period in 2022. The interest yield on receivables measured at fair value is reduced to take account of expected losses and is therefore less than the yield on other finance receivables. The average balance of these fair value receivables was $2,777.9 million for the three months ended March 31, 2023 compared to $2,067.3 million in the prior year period.</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2023, we recorded a reduction to provision for credit losses on finance receivables in the amount of $9.0 million. The reserve decrease was primarily due to a decrease in lifetime expected credit losses resulting from improved credit performance as our previous estimates for future losses exceeded actual incurred losses. This compares to $9.4 million in reductions to provision for credit losses for the three months ended March 31, 2022.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evaluation of the allowance for credit losses indicated that the reserves against future losses are adequate as of March 31, 2023. Although we have not yet seen a meaningful deterioration in the credit performance for these receivables, worsening economic conditions, inflation and a reversion to the mean for used car pricing could negatively affect credit performance in the future.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Sales expense increased to $5.7 million during the three months ended March 31, 2023 from $5.4 million in the same quarter in 2022. We purchased $415.2 million of new contracts during the three months ended March 31, 2023 compared to $410.0 million in the prior year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was $1.5 million for the three months ending March 31, 2023, which is down from the $1.9 million in the first quarter of 2022.</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decreased to $231,000 compared to $417,000 in the previous year and represented 0.4% of total operating expenses.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we recorded income tax expense of $4.6 million, representing a 25% effective tax rate. In the prior period, our income tax expense was $8.2 million, representing a 28% effective tax rate.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Credit Experience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Delinquency, Repossession and Extension Experience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Owned Portfolio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74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68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5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01"/>
        </w:trPr>
        <w:tc>
          <w:tcPr>
            <w:tcW w:w="328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40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36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32"/>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Delinquency Experience</w:t>
            </w: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80" w:type="dxa"/>
            <w:vAlign w:val="bottom"/>
            <w:tcBorders>
              <w:top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servicing portfolio (1)</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175,197</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2,881,844</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155,812</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2,324,354</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170,658</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2,795,383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Period of delinquency (2)</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31-60 days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10,057</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151,743</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8,451</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114,865</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13,434</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201,764</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61-90 days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4,306</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62,577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80,145</w:t>
            </w:r>
          </w:p>
        </w:tc>
        <w:tc>
          <w:tcPr>
            <w:tcW w:w="0" w:type="dxa"/>
            <w:vAlign w:val="bottom"/>
          </w:tcPr>
          <w:p>
            <w:pPr>
              <w:spacing w:after="0"/>
              <w:rPr>
                <w:sz w:val="1"/>
                <w:szCs w:val="1"/>
                <w:color w:val="auto"/>
              </w:rPr>
            </w:pPr>
          </w:p>
        </w:tc>
      </w:tr>
      <w:tr>
        <w:trPr>
          <w:trHeight w:val="230"/>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91+ days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1,660</w:t>
            </w:r>
          </w:p>
        </w:tc>
        <w:tc>
          <w:tcPr>
            <w:tcW w:w="16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23,839</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1,051</w:t>
            </w:r>
          </w:p>
        </w:tc>
        <w:tc>
          <w:tcPr>
            <w:tcW w:w="16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13,366</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2,148</w:t>
            </w:r>
          </w:p>
        </w:tc>
        <w:tc>
          <w:tcPr>
            <w:tcW w:w="16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31,036</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delinquencies (2)</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238,159</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173,197</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21,063</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Amount in repossession (3)</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3,246</w:t>
            </w:r>
          </w:p>
        </w:tc>
        <w:tc>
          <w:tcPr>
            <w:tcW w:w="16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47,710</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26,442</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2,904</w:t>
            </w:r>
          </w:p>
        </w:tc>
        <w:tc>
          <w:tcPr>
            <w:tcW w:w="16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41,401</w:t>
            </w:r>
          </w:p>
        </w:tc>
        <w:tc>
          <w:tcPr>
            <w:tcW w:w="0" w:type="dxa"/>
            <w:vAlign w:val="bottom"/>
          </w:tcPr>
          <w:p>
            <w:pPr>
              <w:spacing w:after="0"/>
              <w:rPr>
                <w:sz w:val="1"/>
                <w:szCs w:val="1"/>
                <w:color w:val="auto"/>
              </w:rPr>
            </w:pPr>
          </w:p>
        </w:tc>
      </w:tr>
      <w:tr>
        <w:trPr>
          <w:trHeight w:val="178"/>
        </w:trPr>
        <w:tc>
          <w:tcPr>
            <w:tcW w:w="32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delinquencies and amount in</w:t>
            </w: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repossession (2)</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285,869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14,986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199,639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354,347</w:t>
            </w:r>
          </w:p>
        </w:tc>
        <w:tc>
          <w:tcPr>
            <w:tcW w:w="0" w:type="dxa"/>
            <w:vAlign w:val="bottom"/>
          </w:tcPr>
          <w:p>
            <w:pPr>
              <w:spacing w:after="0"/>
              <w:rPr>
                <w:sz w:val="1"/>
                <w:szCs w:val="1"/>
                <w:color w:val="auto"/>
              </w:rPr>
            </w:pPr>
          </w:p>
        </w:tc>
      </w:tr>
      <w:tr>
        <w:trPr>
          <w:trHeight w:val="197"/>
        </w:trPr>
        <w:tc>
          <w:tcPr>
            <w:tcW w:w="3280" w:type="dxa"/>
            <w:vAlign w:val="bottom"/>
            <w:tcBorders>
              <w:top w:val="single" w:sz="8" w:color="EEEEEE"/>
            </w:tcBorders>
            <w:shd w:val="clear" w:color="auto" w:fill="EEEEEE"/>
          </w:tcPr>
          <w:p>
            <w:pPr>
              <w:spacing w:after="0"/>
              <w:rPr>
                <w:sz w:val="17"/>
                <w:szCs w:val="17"/>
                <w:color w:val="auto"/>
              </w:rPr>
            </w:pPr>
          </w:p>
        </w:tc>
        <w:tc>
          <w:tcPr>
            <w:tcW w:w="1120" w:type="dxa"/>
            <w:vAlign w:val="bottom"/>
            <w:tcBorders>
              <w:top w:val="single" w:sz="8" w:color="auto"/>
            </w:tcBorders>
            <w:shd w:val="clear" w:color="auto" w:fill="EEEEEE"/>
          </w:tcPr>
          <w:p>
            <w:pPr>
              <w:spacing w:after="0"/>
              <w:rPr>
                <w:sz w:val="17"/>
                <w:szCs w:val="17"/>
                <w:color w:val="auto"/>
              </w:rPr>
            </w:pPr>
          </w:p>
        </w:tc>
        <w:tc>
          <w:tcPr>
            <w:tcW w:w="26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24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94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10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Delinquencies as a percentage of gross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portfolio</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delinquencies and amount in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repossession as a percentage of gross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portfolio</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Experience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one extension, accruing</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30,126</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530,950</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23,338</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329,236</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27,584</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464,323</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Contracts with two or more extensions,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accruing</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38,838</w:t>
            </w:r>
          </w:p>
        </w:tc>
        <w:tc>
          <w:tcPr>
            <w:tcW w:w="16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431,936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43,894</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475,413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38,714</w:t>
            </w: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417,682</w:t>
            </w:r>
          </w:p>
        </w:tc>
        <w:tc>
          <w:tcPr>
            <w:tcW w:w="0" w:type="dxa"/>
            <w:vAlign w:val="bottom"/>
          </w:tcPr>
          <w:p>
            <w:pPr>
              <w:spacing w:after="0"/>
              <w:rPr>
                <w:sz w:val="1"/>
                <w:szCs w:val="1"/>
                <w:color w:val="auto"/>
              </w:rPr>
            </w:pPr>
          </w:p>
        </w:tc>
      </w:tr>
      <w:tr>
        <w:trPr>
          <w:trHeight w:val="210"/>
        </w:trPr>
        <w:tc>
          <w:tcPr>
            <w:tcW w:w="328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68,964</w:t>
            </w:r>
          </w:p>
        </w:tc>
        <w:tc>
          <w:tcPr>
            <w:tcW w:w="2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962,886</w:t>
            </w:r>
          </w:p>
        </w:tc>
        <w:tc>
          <w:tcPr>
            <w:tcW w:w="24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67,232</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804,649</w:t>
            </w:r>
          </w:p>
        </w:tc>
        <w:tc>
          <w:tcPr>
            <w:tcW w:w="2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66,298</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882,005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Contracts with one extension, non-accrual</w:t>
            </w: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1,072</w:t>
            </w:r>
          </w:p>
        </w:tc>
        <w:tc>
          <w:tcPr>
            <w:tcW w:w="16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16,770</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591</w:t>
            </w:r>
          </w:p>
        </w:tc>
        <w:tc>
          <w:tcPr>
            <w:tcW w:w="1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7,632</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981</w:t>
            </w:r>
          </w:p>
        </w:tc>
        <w:tc>
          <w:tcPr>
            <w:tcW w:w="16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14,792</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Contracts with two or more extensions,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non-accrual (4)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1,167</w:t>
            </w:r>
          </w:p>
        </w:tc>
        <w:tc>
          <w:tcPr>
            <w:tcW w:w="16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12,641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1,326</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1,485</w:t>
            </w: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15,395</w:t>
            </w:r>
          </w:p>
        </w:tc>
        <w:tc>
          <w:tcPr>
            <w:tcW w:w="0" w:type="dxa"/>
            <w:vAlign w:val="bottom"/>
          </w:tcPr>
          <w:p>
            <w:pPr>
              <w:spacing w:after="0"/>
              <w:rPr>
                <w:sz w:val="1"/>
                <w:szCs w:val="1"/>
                <w:color w:val="auto"/>
              </w:rPr>
            </w:pPr>
          </w:p>
        </w:tc>
      </w:tr>
      <w:tr>
        <w:trPr>
          <w:trHeight w:val="210"/>
        </w:trPr>
        <w:tc>
          <w:tcPr>
            <w:tcW w:w="328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24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21,787</w:t>
            </w:r>
          </w:p>
        </w:tc>
        <w:tc>
          <w:tcPr>
            <w:tcW w:w="2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30,187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tcBorders>
              <w:bottom w:val="single" w:sz="8" w:color="EEEEEE"/>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contracts with extensions</w:t>
            </w:r>
          </w:p>
        </w:tc>
        <w:tc>
          <w:tcPr>
            <w:tcW w:w="11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71,203</w:t>
            </w:r>
          </w:p>
        </w:tc>
        <w:tc>
          <w:tcPr>
            <w:tcW w:w="2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992,297</w:t>
            </w:r>
          </w:p>
        </w:tc>
        <w:tc>
          <w:tcPr>
            <w:tcW w:w="24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69,149</w:t>
            </w:r>
          </w:p>
        </w:tc>
        <w:tc>
          <w:tcPr>
            <w:tcW w:w="22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826,436</w:t>
            </w:r>
          </w:p>
        </w:tc>
        <w:tc>
          <w:tcPr>
            <w:tcW w:w="220" w:type="dxa"/>
            <w:vAlign w:val="bottom"/>
            <w:tcBorders>
              <w:bottom w:val="single" w:sz="8" w:color="EEEEEE"/>
            </w:tcBorders>
            <w:shd w:val="clear" w:color="auto" w:fill="EEEEEE"/>
          </w:tcPr>
          <w:p>
            <w:pPr>
              <w:spacing w:after="0"/>
              <w:rPr>
                <w:sz w:val="19"/>
                <w:szCs w:val="19"/>
                <w:color w:val="auto"/>
              </w:rPr>
            </w:pPr>
          </w:p>
        </w:tc>
        <w:tc>
          <w:tcPr>
            <w:tcW w:w="11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68,764</w:t>
            </w:r>
          </w:p>
        </w:tc>
        <w:tc>
          <w:tcPr>
            <w:tcW w:w="22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912,192</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60" w:firstLine="8"/>
        <w:spacing w:after="0" w:line="250" w:lineRule="auto"/>
        <w:tabs>
          <w:tab w:leader="none" w:pos="65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 w:lineRule="exact"/>
        <w:rPr>
          <w:rFonts w:ascii="Times New Roman" w:cs="Times New Roman" w:eastAsia="Times New Roman" w:hAnsi="Times New Roman"/>
          <w:sz w:val="18"/>
          <w:szCs w:val="18"/>
          <w:i w:val="1"/>
          <w:iCs w:val="1"/>
          <w:color w:val="auto"/>
        </w:rPr>
      </w:pPr>
    </w:p>
    <w:p>
      <w:pPr>
        <w:jc w:val="both"/>
        <w:ind w:left="360" w:firstLine="8"/>
        <w:spacing w:after="0" w:line="250" w:lineRule="auto"/>
        <w:tabs>
          <w:tab w:leader="none" w:pos="627"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Times New Roman" w:cs="Times New Roman" w:eastAsia="Times New Roman" w:hAnsi="Times New Roman"/>
          <w:sz w:val="18"/>
          <w:szCs w:val="18"/>
          <w:i w:val="1"/>
          <w:iCs w:val="1"/>
          <w:color w:val="auto"/>
        </w:rPr>
      </w:pPr>
    </w:p>
    <w:p>
      <w:pPr>
        <w:ind w:left="620" w:hanging="252"/>
        <w:spacing w:after="0"/>
        <w:tabs>
          <w:tab w:leader="none" w:pos="6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represents financed vehicles that have been repossessed but not yet liquidated.</w:t>
      </w:r>
    </w:p>
    <w:p>
      <w:pPr>
        <w:spacing w:after="0" w:line="9" w:lineRule="exact"/>
        <w:rPr>
          <w:rFonts w:ascii="Times New Roman" w:cs="Times New Roman" w:eastAsia="Times New Roman" w:hAnsi="Times New Roman"/>
          <w:sz w:val="18"/>
          <w:szCs w:val="18"/>
          <w:i w:val="1"/>
          <w:iCs w:val="1"/>
          <w:color w:val="auto"/>
        </w:rPr>
      </w:pPr>
    </w:p>
    <w:p>
      <w:pPr>
        <w:ind w:left="620" w:hanging="252"/>
        <w:spacing w:after="0"/>
        <w:tabs>
          <w:tab w:leader="none" w:pos="6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and accounts past due more than 90 days are on non-accrual.</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Net Charge-Off Experience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Owned Portfolio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4"/>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Finance Receivables Portfolio</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tcPr>
          <w:p>
            <w:pPr>
              <w:spacing w:after="0"/>
              <w:rPr>
                <w:sz w:val="19"/>
                <w:szCs w:val="19"/>
                <w:color w:val="auto"/>
              </w:rPr>
            </w:pPr>
          </w:p>
        </w:tc>
        <w:tc>
          <w:tcPr>
            <w:tcW w:w="14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8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servicing portfolio outstanding</w:t>
            </w:r>
          </w:p>
        </w:tc>
        <w:tc>
          <w:tcPr>
            <w:tcW w:w="240" w:type="dxa"/>
            <w:vAlign w:val="bottom"/>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2,856,598</w:t>
            </w:r>
          </w:p>
        </w:tc>
        <w:tc>
          <w:tcPr>
            <w:tcW w:w="38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2,273,483</w:t>
            </w:r>
          </w:p>
        </w:tc>
        <w:tc>
          <w:tcPr>
            <w:tcW w:w="28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2,539,110</w:t>
            </w:r>
          </w:p>
        </w:tc>
      </w:tr>
      <w:tr>
        <w:trPr>
          <w:trHeight w:val="196"/>
        </w:trPr>
        <w:tc>
          <w:tcPr>
            <w:tcW w:w="59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Annualized net charge-offs as a percentage of average servicing portfolio (2)</w:t>
            </w:r>
          </w:p>
        </w:tc>
        <w:tc>
          <w:tcPr>
            <w:tcW w:w="240" w:type="dxa"/>
            <w:vAlign w:val="bottom"/>
          </w:tcPr>
          <w:p>
            <w:pPr>
              <w:spacing w:after="0"/>
              <w:rPr>
                <w:sz w:val="17"/>
                <w:szCs w:val="17"/>
                <w:color w:val="auto"/>
              </w:rPr>
            </w:pPr>
          </w:p>
        </w:tc>
        <w:tc>
          <w:tcPr>
            <w:tcW w:w="1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5.2%</w:t>
            </w:r>
          </w:p>
        </w:tc>
        <w:tc>
          <w:tcPr>
            <w:tcW w:w="380" w:type="dxa"/>
            <w:vAlign w:val="bottom"/>
          </w:tcPr>
          <w:p>
            <w:pPr>
              <w:spacing w:after="0"/>
              <w:rPr>
                <w:sz w:val="17"/>
                <w:szCs w:val="17"/>
                <w:color w:val="auto"/>
              </w:rPr>
            </w:pPr>
          </w:p>
        </w:tc>
        <w:tc>
          <w:tcPr>
            <w:tcW w:w="1460" w:type="dxa"/>
            <w:vAlign w:val="bottom"/>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4.5%</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_________________________</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firstLine="8"/>
        <w:spacing w:after="0" w:line="250" w:lineRule="auto"/>
        <w:tabs>
          <w:tab w:leader="none" w:pos="271"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53" w:lineRule="auto"/>
        <w:tabs>
          <w:tab w:leader="none" w:pos="257"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March 31, 2023 and March 31, 2022 percentages represent three months ended March 31, 2023 and March 31, 2022 annualized. December 31, 2022 represents 12 months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Extensions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certain circumstances we will grant obligors one-month payment extensions to assist them with temporary cash flow problems. In general, we are bound by our securitization agreements to refrain from agreeing to more than two such extensions in any 12-month period and to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 Because financial regulatory authorities have encouraged obligors to expect payment deferrals as a response to the pandemic, we may seek amendments or waivers of our securitization agreements to relax the limits on extensions; however, we have not sought such changes in terms as of the date of this report, and if we do seek such changes, there can be no assurance that the other parties to our securitization agreements will agree to such amendments or waivers, nor as to the effect on credit performance that may result if such amendments or waivers are agreed to.</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so that the obligor might prioritize us over other creditors on future payments. Our servicing staff are trained to identify when a past due obligor is facing a temporary problem that may be resolved with an extension. In some cases, the extension will be granted in conjunction with our receiving all or a portion of a past due payment from the obligor, thereby indicating an additional monetary and psychological commitment to the contract on the obligor’s part.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52" w:lineRule="auto"/>
        <w:tabs>
          <w:tab w:leader="none" w:pos="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(4) the obligor’s willingness to communicate and cooperate on resolving the delinquency; and (5) a numeric score from our internal risk assessment system that indicating the likelihood that the extension will prove beneficial. If the collector believes the obligor is a good candidate for an extension, an approval is obtained from a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a prudent extension program is an integral component to mitigating losses in our portfolio of sub-prime automobile receivables. The table below summarizes the status, as of March 31, 2023, for accounts that received extensions from 2008 through 2021:</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Active or</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 Active or</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Charged Off</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 Charged</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Charged Off</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 Charged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Avg Months</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Paid Off at</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Paid Off at</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&gt; 6 Months</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Off &gt; 6</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&lt;= 6 Months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Off &lt;= 6</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to Charge Off</w:t>
            </w:r>
          </w:p>
        </w:tc>
      </w:tr>
      <w:tr>
        <w:trPr>
          <w:trHeight w:val="216"/>
        </w:trPr>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Period of</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Extensions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31,</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March 31,</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After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Months After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After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Months After</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Post</w:t>
            </w:r>
          </w:p>
        </w:tc>
      </w:tr>
      <w:tr>
        <w:trPr>
          <w:trHeight w:val="234"/>
        </w:trPr>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Extension</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Extension</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Extension</w:t>
            </w:r>
          </w:p>
        </w:tc>
      </w:tr>
      <w:tr>
        <w:trPr>
          <w:trHeight w:val="210"/>
        </w:trPr>
        <w:tc>
          <w:tcPr>
            <w:tcW w:w="13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35,588</w:t>
            </w:r>
          </w:p>
        </w:tc>
        <w:tc>
          <w:tcPr>
            <w:tcW w:w="24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20,060</w:t>
            </w:r>
          </w:p>
        </w:tc>
        <w:tc>
          <w:tcPr>
            <w:tcW w:w="20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w w:val="94"/>
              </w:rPr>
              <w:t>56.4%</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32,226</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10,273</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31.9%</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16,168</w:t>
            </w:r>
          </w:p>
        </w:tc>
        <w:tc>
          <w:tcPr>
            <w:tcW w:w="122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50.2%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5,783</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26,167</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12,159</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46.5%</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12,006</w:t>
            </w:r>
          </w:p>
        </w:tc>
        <w:tc>
          <w:tcPr>
            <w:tcW w:w="122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45.9%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1,999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18,786</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10,972</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58.4%</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6,882</w:t>
            </w:r>
          </w:p>
        </w:tc>
        <w:tc>
          <w:tcPr>
            <w:tcW w:w="122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36.6%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932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18,783</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11,320</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60.3%</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6,667</w:t>
            </w:r>
          </w:p>
        </w:tc>
        <w:tc>
          <w:tcPr>
            <w:tcW w:w="122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35.5%</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796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23,398</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11,143</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47.6%</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11,279</w:t>
            </w:r>
          </w:p>
        </w:tc>
        <w:tc>
          <w:tcPr>
            <w:tcW w:w="122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48.2%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976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25,773</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10,477</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40.7%</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14,470</w:t>
            </w:r>
          </w:p>
        </w:tc>
        <w:tc>
          <w:tcPr>
            <w:tcW w:w="122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56.1%</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826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53,319</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22,308</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41.8%</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29,929</w:t>
            </w:r>
          </w:p>
        </w:tc>
        <w:tc>
          <w:tcPr>
            <w:tcW w:w="122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56.1%</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1,082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80,897</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36,583</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45.2%</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42,381</w:t>
            </w:r>
          </w:p>
        </w:tc>
        <w:tc>
          <w:tcPr>
            <w:tcW w:w="122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52.4%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1,933</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133,881</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60,862</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45.5%</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66,093</w:t>
            </w:r>
          </w:p>
        </w:tc>
        <w:tc>
          <w:tcPr>
            <w:tcW w:w="122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49.4%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6,926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121,531</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65,205</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53.7%</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50,319</w:t>
            </w:r>
          </w:p>
        </w:tc>
        <w:tc>
          <w:tcPr>
            <w:tcW w:w="122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41.4%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6,007</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71,548</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50,037</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69.9%</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19,569</w:t>
            </w:r>
          </w:p>
        </w:tc>
        <w:tc>
          <w:tcPr>
            <w:tcW w:w="122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27.4%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1,942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83,170</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63,400</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76.2%</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14,354</w:t>
            </w:r>
          </w:p>
        </w:tc>
        <w:tc>
          <w:tcPr>
            <w:tcW w:w="122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17.3%</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2,099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47,029</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39,063</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83.1%</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6,565</w:t>
            </w:r>
          </w:p>
        </w:tc>
        <w:tc>
          <w:tcPr>
            <w:tcW w:w="122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14.0%</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1,236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bl>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Table excludes extensions on portfolios serviced for third parties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view these results as a confirmation of the effectiveness of our extension program. For example, of the accounts granted extensions in 2019, 69.9% were either paid in full or active and performing as of March 31, 2023. Each of these successful accounts represent continued payments of interest and principal (including payment in full in many cases), where without the extension we likely would have incurred a substantial loss and no interest revenue after the extension.</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Additional information about our extensions is provided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80" w:type="dxa"/>
            <w:vAlign w:val="bottom"/>
          </w:tcPr>
          <w:p>
            <w:pPr>
              <w:spacing w:after="0"/>
              <w:rPr>
                <w:sz w:val="18"/>
                <w:szCs w:val="18"/>
                <w:color w:val="auto"/>
              </w:rPr>
            </w:pPr>
          </w:p>
        </w:tc>
        <w:tc>
          <w:tcPr>
            <w:tcW w:w="11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w w:val="95"/>
              </w:rPr>
              <w:t>Year Ended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3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March 31,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8"/>
          </w:tcPr>
          <w:p>
            <w:pPr>
              <w:jc w:val="center"/>
              <w:ind w:right="540"/>
              <w:spacing w:after="0"/>
              <w:rPr>
                <w:sz w:val="20"/>
                <w:szCs w:val="20"/>
                <w:color w:val="auto"/>
              </w:rPr>
            </w:pPr>
            <w:r>
              <w:rPr>
                <w:rFonts w:ascii="Times New Roman" w:cs="Times New Roman" w:eastAsia="Times New Roman" w:hAnsi="Times New Roman"/>
                <w:sz w:val="18"/>
                <w:szCs w:val="18"/>
                <w:color w:val="auto"/>
              </w:rPr>
              <w:t>December 31,</w:t>
            </w:r>
          </w:p>
        </w:tc>
        <w:tc>
          <w:tcPr>
            <w:tcW w:w="134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w w:val="99"/>
              </w:rPr>
              <w:t>March 31,</w:t>
            </w:r>
          </w:p>
        </w:tc>
      </w:tr>
      <w:tr>
        <w:trPr>
          <w:trHeight w:val="209"/>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top w:val="single" w:sz="8" w:color="auto"/>
              <w:bottom w:val="single" w:sz="8" w:color="auto"/>
            </w:tcBorders>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18"/>
                <w:szCs w:val="18"/>
                <w:color w:val="auto"/>
              </w:rPr>
            </w:pPr>
          </w:p>
        </w:tc>
      </w:tr>
      <w:tr>
        <w:trPr>
          <w:trHeight w:val="210"/>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extensions granted per month</w:t>
            </w: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4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w w:val="93"/>
              </w:rPr>
              <w:t>6,089</w:t>
            </w: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4,869</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4,061</w:t>
            </w: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outstanding accounts</w:t>
            </w: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20" w:type="dxa"/>
            <w:vAlign w:val="bottom"/>
            <w:gridSpan w:val="5"/>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173,731</w:t>
            </w: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w w:val="99"/>
              </w:rPr>
              <w:t>162,264</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154,729</w:t>
            </w:r>
          </w:p>
        </w:tc>
      </w:tr>
      <w:tr>
        <w:trPr>
          <w:trHeight w:val="216"/>
        </w:trPr>
        <w:tc>
          <w:tcPr>
            <w:tcW w:w="44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monthly extensions as % of average outstandings</w:t>
            </w: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4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196"/>
        </w:trPr>
        <w:tc>
          <w:tcPr>
            <w:tcW w:w="328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rPr>
              <w:t>_________________</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98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3280" w:type="dxa"/>
            <w:vAlign w:val="bottom"/>
          </w:tcPr>
          <w:p>
            <w:pPr>
              <w:spacing w:after="0"/>
              <w:rPr>
                <w:sz w:val="24"/>
                <w:szCs w:val="24"/>
                <w:color w:val="auto"/>
              </w:rPr>
            </w:pPr>
          </w:p>
        </w:tc>
        <w:tc>
          <w:tcPr>
            <w:tcW w:w="270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March 31, 2023</w:t>
            </w:r>
          </w:p>
        </w:tc>
        <w:tc>
          <w:tcPr>
            <w:tcW w:w="40" w:type="dxa"/>
            <w:vAlign w:val="bottom"/>
          </w:tcPr>
          <w:p>
            <w:pPr>
              <w:spacing w:after="0"/>
              <w:rPr>
                <w:sz w:val="24"/>
                <w:szCs w:val="24"/>
                <w:color w:val="auto"/>
              </w:rPr>
            </w:pPr>
          </w:p>
        </w:tc>
        <w:tc>
          <w:tcPr>
            <w:tcW w:w="274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March 31, 2022</w:t>
            </w:r>
          </w:p>
        </w:tc>
        <w:tc>
          <w:tcPr>
            <w:tcW w:w="200" w:type="dxa"/>
            <w:vAlign w:val="bottom"/>
          </w:tcPr>
          <w:p>
            <w:pPr>
              <w:spacing w:after="0"/>
              <w:rPr>
                <w:sz w:val="24"/>
                <w:szCs w:val="24"/>
                <w:color w:val="auto"/>
              </w:rPr>
            </w:pPr>
          </w:p>
        </w:tc>
        <w:tc>
          <w:tcPr>
            <w:tcW w:w="228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191"/>
        </w:trPr>
        <w:tc>
          <w:tcPr>
            <w:tcW w:w="32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2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5"/>
          </w:tcPr>
          <w:p>
            <w:pPr>
              <w:jc w:val="right"/>
              <w:ind w:right="26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2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Contracts</w:t>
            </w: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Amount</w:t>
            </w:r>
          </w:p>
        </w:tc>
        <w:tc>
          <w:tcPr>
            <w:tcW w:w="4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Contracts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11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Contracts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Amount</w:t>
            </w:r>
          </w:p>
        </w:tc>
      </w:tr>
      <w:tr>
        <w:trPr>
          <w:trHeight w:val="228"/>
        </w:trPr>
        <w:tc>
          <w:tcPr>
            <w:tcW w:w="328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60" w:type="dxa"/>
            <w:vAlign w:val="bottom"/>
            <w:tcBorders>
              <w:top w:val="single" w:sz="8" w:color="auto"/>
            </w:tcBorders>
            <w:gridSpan w:val="6"/>
          </w:tcPr>
          <w:p>
            <w:pPr>
              <w:jc w:val="right"/>
              <w:ind w:right="330"/>
              <w:spacing w:after="0"/>
              <w:rPr>
                <w:sz w:val="20"/>
                <w:szCs w:val="20"/>
                <w:color w:val="auto"/>
              </w:rPr>
            </w:pPr>
            <w:r>
              <w:rPr>
                <w:rFonts w:ascii="Times New Roman" w:cs="Times New Roman" w:eastAsia="Times New Roman" w:hAnsi="Times New Roman"/>
                <w:sz w:val="18"/>
                <w:szCs w:val="18"/>
                <w:color w:val="auto"/>
              </w:rPr>
              <w:t>(Dollars in thousands)</w:t>
            </w:r>
          </w:p>
        </w:tc>
        <w:tc>
          <w:tcPr>
            <w:tcW w:w="2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one extension</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31,198</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547,720</w:t>
            </w:r>
          </w:p>
        </w:tc>
        <w:tc>
          <w:tcPr>
            <w:tcW w:w="1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23,929</w:t>
            </w:r>
          </w:p>
        </w:tc>
        <w:tc>
          <w:tcPr>
            <w:tcW w:w="400" w:type="dxa"/>
            <w:vAlign w:val="bottom"/>
            <w:gridSpan w:val="2"/>
            <w:shd w:val="clear" w:color="auto" w:fill="EEEEEE"/>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336,868</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28,565</w:t>
            </w:r>
          </w:p>
        </w:tc>
        <w:tc>
          <w:tcPr>
            <w:tcW w:w="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479,114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two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14,365</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201,960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185,348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13,730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180,547</w:t>
            </w: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three extensions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9,557</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105,955</w:t>
            </w:r>
          </w:p>
        </w:tc>
        <w:tc>
          <w:tcPr>
            <w:tcW w:w="1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11,271</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129,519</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9,837</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108,986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four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7,672</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72,951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88,758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7,938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76,219</w:t>
            </w: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five extensions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5,295</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43,085</w:t>
            </w:r>
          </w:p>
        </w:tc>
        <w:tc>
          <w:tcPr>
            <w:tcW w:w="1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54,982</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5,425</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45,519</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six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3,116</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30,960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3,269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21,806</w:t>
            </w:r>
          </w:p>
        </w:tc>
      </w:tr>
      <w:tr>
        <w:trPr>
          <w:trHeight w:val="223"/>
        </w:trPr>
        <w:tc>
          <w:tcPr>
            <w:tcW w:w="328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71,203</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992,297</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69,149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bottom w:val="single" w:sz="8" w:color="auto"/>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826,435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auto"/>
              <w:bottom w:val="single" w:sz="8" w:color="auto"/>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spacing w:after="0"/>
              <w:rPr>
                <w:sz w:val="19"/>
                <w:szCs w:val="19"/>
                <w:color w:val="auto"/>
              </w:rPr>
            </w:pPr>
          </w:p>
        </w:tc>
        <w:tc>
          <w:tcPr>
            <w:tcW w:w="84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68,764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912,191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2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Managed portfolio (excluding originated</w:t>
            </w: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and owned by 3rd parties)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166,370</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2,687,308</w:t>
            </w:r>
          </w:p>
        </w:tc>
        <w:tc>
          <w:tcPr>
            <w:tcW w:w="1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156,456</w:t>
            </w:r>
          </w:p>
        </w:tc>
        <w:tc>
          <w:tcPr>
            <w:tcW w:w="400" w:type="dxa"/>
            <w:vAlign w:val="bottom"/>
            <w:gridSpan w:val="2"/>
            <w:shd w:val="clear" w:color="auto" w:fill="EEEEEE"/>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EEEEEE"/>
          </w:tcPr>
          <w:p>
            <w:pPr>
              <w:spacing w:after="0"/>
              <w:rPr>
                <w:sz w:val="20"/>
                <w:szCs w:val="20"/>
                <w:color w:val="auto"/>
              </w:rPr>
            </w:pPr>
          </w:p>
        </w:tc>
        <w:tc>
          <w:tcPr>
            <w:tcW w:w="11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2,184,142</w:t>
            </w:r>
          </w:p>
        </w:tc>
        <w:tc>
          <w:tcPr>
            <w:tcW w:w="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94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154,151</w:t>
            </w:r>
          </w:p>
        </w:tc>
        <w:tc>
          <w:tcPr>
            <w:tcW w:w="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2,209,430</w:t>
            </w:r>
          </w:p>
        </w:tc>
      </w:tr>
      <w:tr>
        <w:trPr>
          <w:trHeight w:val="218"/>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_________________</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2019, we have been able to reduce extensions by working with our servicing staff to be more selective in granting extensions including, where appropriate, to exhaust all possibilities of payment by the customer before granting an extension. However, as delinquency rates have risen, so has the average number of extensions granted.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Non-Accrual Receivables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three-month period ended March 31, 2023 was $65.1 million, a decrease of $3.2 million, compared to net cash provided by operating activities for the three-month period ended March 31, 2022 of $68.3 million. Net cash from operating activities is generally provided by net income from operations adjusted for significant non-cash items such as our provision for credit losses and marks to finance receivables measured at fair value.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$121.2 million for the three months ended March 31, 2023 compared to $139.5 million in the prior year period. Net cash used in investing activities generally relates to new purchases of automobile contracts net of principal payments and other proceeds received during the period. Purchases of finance receivables excluding acquisition fees were $353.9 million and $393.4 million during the first three months of 2023 and 2022, respectively.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2023 was $62.3 million compared to $80.9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three months of 2023, we issued $324.8 million in new securitization trust debt compared to $316.8 million for the same period in 2022. We repaid $258.2 million in securitization trust debt in the three months ended March 31, 2023 compared to repayments of securitization trust debt of $262.7 million in the prior year period. In the three months ended March 31, 2023, we had net repayments on warehouse lines of credit of $7,000, compared to net proceeds from warehouse lines of credit of $42.2 million in the prior year’s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and may in the future be limited in our ability to purchase automobile contracts due to limits on our capital. As of March 31, 2023, we had unrestricted cash of $10.2 million and $114.2 million aggregate available borrowings under our two warehouse credit facilities (assuming the availability of sufficient eligible collateral). As of March 31, 2023, we had approximately $26.4 million of such eligible collateral. Our plans to manage our liquidity include maintaining our rate of automobile contract purchases at a level that matches our available capital, and, as appropriate, minimizing our operating costs. During the three-month period ended March 31, 2023, we completed one securitization aggregating $324.8 million of notes sold.</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March 31, 2023, we were in compliance with all such financial covenants.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March 31, 2023, we had approximately $2,534.0 million of debt outstanding. Such debt consisted primarily of $2,175.1 million of securitization trust debt and $285.8 million of debt from warehouse lines of credit. Our securitization trust debt has increased by $66.3 million while our warehouse lines of credit debt has increased by $481,000 since December 31, 2022 (each net of deferred financing costs). Since 2005, we have offered renewable subordinated notes to the public on a continuous basis, and such notes have maturities that range from six months to 10 years. We had $23.4 million and $25.3 million in subordinated renewable notes outstanding at March 31, 2023 and December 31, 2022, respectively. On June 30, 2021, we completed a $50.0 million securitization of residual interests from other previously issued securitizations. As of March 31, 2023, all $50.0 million of this debt remains outstanding.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Our valuation of receivables measured at fair value is a forward-looking statement, as it is dependent, among other things, on our estimates of cash to be received in the future with respect to such receivables. Each of the factors listed above as affecting charge-offs and recovery rates could have a similar effect on cash to be received in the future with respect to receivables measured at fair value.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 The factors identified in this and other reports as “Risk Factors” could affect our revenues, expenses, liquidity and financial condition, and the timing and amount of cash received with respect to our automobile contracts.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(Denesh Bharwani)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remind the reader that risk factors are set forth in Item 1A of our report on Form 10-K, filed with the U.S. Securities and Exchange Commission on March 15, 2023. Where we are aware of material changes to such risk factors as previously disclosed, we set forth below an updated discussion of such risks. The reader should note that the other risks identified in our report on Form 10-K remain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substantial indebtedness.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March 31, 2023, we had approximately $2,534.0 million of debt outstanding. Such debt consisted primarily of $2,175.1 million of securitization trust debt and $285.8 million of debt from warehouse lines of credit. Our securitization trust debt has increased by $66.3 million while our warehouse lines of credit debt has increased by $481,000 since December 31, 2022 (each net of deferred financing costs). Since 2005, we have offered renewable subordinated notes to the public on a continuous basis, and such notes have maturities that range from six months to 10 years. We had $23.4 million and $25.3 million in subordinated renewable notes outstanding at March 31, 2023 and December 31, 2022, respectively. On June 30, 2021, we completed a $50.0 million securitization of residual interests from other previously issued securitizations. As of March 31, 2023, all $50.0 million of this debt remains outstanding.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 adversely affect our financial condition by, among other things:</w:t>
      </w:r>
    </w:p>
    <w:p>
      <w:pPr>
        <w:spacing w:after="0" w:line="225" w:lineRule="exact"/>
        <w:rPr>
          <w:sz w:val="20"/>
          <w:szCs w:val="20"/>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25" w:lineRule="exact"/>
        <w:rPr>
          <w:rFonts w:ascii="Times New Roman" w:cs="Times New Roman" w:eastAsia="Times New Roman" w:hAnsi="Times New Roman"/>
          <w:sz w:val="18"/>
          <w:szCs w:val="18"/>
          <w:color w:val="auto"/>
        </w:rPr>
      </w:pPr>
    </w:p>
    <w:p>
      <w:pPr>
        <w:ind w:left="780" w:hanging="259"/>
        <w:spacing w:after="0" w:line="282"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61"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and</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ind w:left="780" w:hanging="259"/>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obtain necessary financing, and the terms of any such financing;</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especially as applicable to securitization trust debt;</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operating and financing cash flows;</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future provisioning for receivables losses;</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actual losses on receivables; and</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Forward-looking statements in this report also include our recorded figures representing allowances for remaining expected lifetime credit losses, our markdown of the recorded value for the portion of our portfolio accounted for at fair value, our charge to the provision for credit losses for the our legacy portfolio, our estimates of fair value (most significantly for our receivables accounted for at fair value), our entries offsetting the preceding, and figures derived from any of the preceding. In each case, such figures are forward-looking statements because they are dependent on our estimates of cash to be received and losses to be incurred in the future. The accuracy of such estimates may be adversely affected by various factors, which include (in addition to risks relating to the COVD-19 pandemic and to the economy generally) the following: possible increased delinquencies; repossessions and losses on retail installment contracts; incorrect prepayment speed and/or discount rate assumptions; possible unavailability of qualified personnel, which could adversely affect our ability to service our portfolio; possible increases in the rate of consumer bankruptcy filings, which could adversely affect our rights to collect payments from our portfolio; other changes in government regulations affecting consumer credit; possible declines in the market price for used vehicles, which could adversely affect our realization upon repossessed vehicles; and economic conditions in geographic areas in which the Company's business is concentrated. The accuracy of such estimates may also be affected by the effects of the COVID-19 pandemic and of governmental responses to said pandemic, which have included prohibitions on certain means of enforcement of receivables, and may include additional restrictions, as yet unknown, in the future. Any or all of such factors also may affect our future financial results, as to which there can be no assurance. Any implication that past results or past consecutive earnings are indicative of future results or future earnings is disclaimed, and the reader should draw no such inference. Factors such as those identified above in relation to losses to be incurred in the future may affect future performance.</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2023, we repurchased 263,185 shares from existing shareholders, as reflected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Value of Shares that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0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60" w:type="dxa"/>
            <w:vAlign w:val="bottom"/>
          </w:tcPr>
          <w:p>
            <w:pPr>
              <w:spacing w:after="0"/>
              <w:rPr>
                <w:sz w:val="18"/>
                <w:szCs w:val="18"/>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19"/>
                <w:szCs w:val="19"/>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00" w:type="dxa"/>
            <w:vAlign w:val="bottom"/>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238"/>
        </w:trPr>
        <w:tc>
          <w:tcPr>
            <w:tcW w:w="374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Period(1)</w:t>
            </w: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60" w:type="dxa"/>
            <w:vAlign w:val="bottom"/>
          </w:tcPr>
          <w:p>
            <w:pPr>
              <w:spacing w:after="0"/>
              <w:rPr>
                <w:sz w:val="20"/>
                <w:szCs w:val="20"/>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Programs (2)</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January 2023</w:t>
            </w:r>
          </w:p>
        </w:tc>
        <w:tc>
          <w:tcPr>
            <w:tcW w:w="19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42,327</w:t>
            </w:r>
          </w:p>
        </w:tc>
        <w:tc>
          <w:tcPr>
            <w:tcW w:w="260" w:type="dxa"/>
            <w:vAlign w:val="bottom"/>
            <w:shd w:val="clear" w:color="auto" w:fill="EEEEE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9.25</w:t>
            </w:r>
          </w:p>
        </w:tc>
        <w:tc>
          <w:tcPr>
            <w:tcW w:w="19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42,327</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7,950,921</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2023</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86,444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11.31</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86,444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6,972,901</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March 2023</w:t>
            </w:r>
          </w:p>
        </w:tc>
        <w:tc>
          <w:tcPr>
            <w:tcW w:w="19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134,414</w:t>
            </w:r>
          </w:p>
        </w:tc>
        <w:tc>
          <w:tcPr>
            <w:tcW w:w="260" w:type="dxa"/>
            <w:vAlign w:val="bottom"/>
            <w:shd w:val="clear" w:color="auto" w:fill="EEEEE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10.22</w:t>
            </w:r>
          </w:p>
        </w:tc>
        <w:tc>
          <w:tcPr>
            <w:tcW w:w="19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134,414</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5,599,077</w:t>
            </w: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263,185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20" w:type="dxa"/>
            <w:vAlign w:val="bottom"/>
            <w:vMerge w:val="restart"/>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monthly period is the calendar month.</w:t>
      </w:r>
    </w:p>
    <w:p>
      <w:pPr>
        <w:spacing w:after="0" w:line="9" w:lineRule="exact"/>
        <w:rPr>
          <w:rFonts w:ascii="Times New Roman" w:cs="Times New Roman" w:eastAsia="Times New Roman" w:hAnsi="Times New Roman"/>
          <w:sz w:val="18"/>
          <w:szCs w:val="18"/>
          <w:i w:val="1"/>
          <w:iCs w:val="1"/>
          <w:color w:val="auto"/>
        </w:rPr>
      </w:pPr>
    </w:p>
    <w:p>
      <w:pPr>
        <w:jc w:val="both"/>
        <w:ind w:left="660" w:hanging="328"/>
        <w:spacing w:after="0" w:line="255" w:lineRule="auto"/>
        <w:tabs>
          <w:tab w:leader="none" w:pos="6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Through March 31, 2023, our board of directors had authorized the purchase of up to $103.2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5"/>
              </w:rPr>
              <w:t>4.14</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Instruments defining the rights of holders of long-term debt of certain consolidated subsidiaries of the registrant are omitted pursuant to</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exclusion set forth in subdivisions (b)(iv)(iii)(A) and (b)(v) of Item 601 of Regulation S-K (17 CFR 229.601). The registrant agrees</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provide copies of such instruments to the United States Securities and Exchange Commission upon request.</w:t>
            </w:r>
          </w:p>
        </w:tc>
      </w:tr>
      <w:tr>
        <w:trPr>
          <w:trHeight w:val="194"/>
        </w:trPr>
        <w:tc>
          <w:tcPr>
            <w:tcW w:w="1360" w:type="dxa"/>
            <w:vAlign w:val="bottom"/>
          </w:tcPr>
          <w:p>
            <w:pPr>
              <w:jc w:val="right"/>
              <w:ind w:right="950"/>
              <w:spacing w:after="0" w:line="194" w:lineRule="exact"/>
              <w:rPr>
                <w:sz w:val="20"/>
                <w:szCs w:val="20"/>
                <w:color w:val="auto"/>
              </w:rPr>
            </w:pPr>
            <w:r>
              <w:rPr>
                <w:rFonts w:ascii="Times New Roman" w:cs="Times New Roman" w:eastAsia="Times New Roman" w:hAnsi="Times New Roman"/>
                <w:sz w:val="18"/>
                <w:szCs w:val="18"/>
                <w:color w:val="auto"/>
                <w:w w:val="95"/>
              </w:rPr>
              <w:t>31.1</w:t>
            </w:r>
          </w:p>
        </w:tc>
        <w:tc>
          <w:tcPr>
            <w:tcW w:w="98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Rule 13a-14(a) Certification of the Chief Executive Officer of the registrant</w:t>
            </w:r>
            <w:r>
              <w:rPr>
                <w:rFonts w:ascii="Times New Roman" w:cs="Times New Roman" w:eastAsia="Times New Roman" w:hAnsi="Times New Roman"/>
                <w:sz w:val="18"/>
                <w:szCs w:val="18"/>
                <w:color w:val="000000"/>
              </w:rPr>
              <w:t>.</w:t>
            </w:r>
          </w:p>
        </w:tc>
      </w:tr>
      <w:tr>
        <w:trPr>
          <w:trHeight w:val="196"/>
        </w:trPr>
        <w:tc>
          <w:tcPr>
            <w:tcW w:w="1360" w:type="dxa"/>
            <w:vAlign w:val="bottom"/>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54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Certification of the Chief Financial Officer of the registrant</w:t>
            </w:r>
            <w:r>
              <w:rPr>
                <w:rFonts w:ascii="Times New Roman" w:cs="Times New Roman" w:eastAsia="Times New Roman" w:hAnsi="Times New Roman"/>
                <w:sz w:val="18"/>
                <w:szCs w:val="18"/>
                <w:color w:val="000000"/>
                <w:w w:val="99"/>
              </w:rPr>
              <w:t>.</w:t>
            </w:r>
          </w:p>
        </w:tc>
        <w:tc>
          <w:tcPr>
            <w:tcW w:w="44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bl>
    <w:p>
      <w:pPr>
        <w:spacing w:after="0" w:line="9" w:lineRule="exact"/>
        <w:rPr>
          <w:sz w:val="20"/>
          <w:szCs w:val="20"/>
          <w:color w:val="auto"/>
        </w:rPr>
      </w:pPr>
    </w:p>
    <w:p>
      <w:pPr>
        <w:ind w:left="1360" w:hanging="1352"/>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1350 Certifications</w:t>
      </w:r>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auto"/>
        </w:rPr>
      </w:pPr>
    </w:p>
    <w:p>
      <w:pPr>
        <w:jc w:val="both"/>
        <w:ind w:left="260" w:firstLine="311"/>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duly caused this report to be signed on its behalf by the undersigned thereunto duly authorized.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CONSUMER PORTFOLIO SERVICES,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2023</w:t>
      </w:r>
    </w:p>
    <w:p>
      <w:pPr>
        <w:spacing w:after="0" w:line="225" w:lineRule="exact"/>
        <w:rPr>
          <w:sz w:val="20"/>
          <w:szCs w:val="20"/>
          <w:color w:val="auto"/>
        </w:rPr>
      </w:pPr>
    </w:p>
    <w:p>
      <w:pPr>
        <w:ind w:left="2160"/>
        <w:spacing w:after="0"/>
        <w:tabs>
          <w:tab w:leader="none" w:pos="2580" w:val="left"/>
        </w:tabs>
        <w:rPr>
          <w:sz w:val="20"/>
          <w:szCs w:val="20"/>
          <w:color w:val="auto"/>
        </w:rPr>
      </w:pPr>
      <w:r>
        <w:rPr>
          <w:rFonts w:ascii="Times New Roman" w:cs="Times New Roman" w:eastAsia="Times New Roman" w:hAnsi="Times New Roman"/>
          <w:sz w:val="18"/>
          <w:szCs w:val="18"/>
          <w:color w:val="auto"/>
        </w:rPr>
        <w:t>By:</w:t>
        <w:tab/>
        <w:t>/s/  CHARLES E. BRADLEY, JR.</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2023</w:t>
      </w:r>
    </w:p>
    <w:p>
      <w:pPr>
        <w:spacing w:after="0" w:line="225" w:lineRule="exact"/>
        <w:rPr>
          <w:sz w:val="20"/>
          <w:szCs w:val="20"/>
          <w:color w:val="auto"/>
        </w:rPr>
      </w:pPr>
    </w:p>
    <w:p>
      <w:pPr>
        <w:ind w:left="2160"/>
        <w:spacing w:after="0"/>
        <w:tabs>
          <w:tab w:leader="none" w:pos="2580" w:val="left"/>
        </w:tabs>
        <w:rPr>
          <w:sz w:val="20"/>
          <w:szCs w:val="20"/>
          <w:color w:val="auto"/>
        </w:rPr>
      </w:pPr>
      <w:r>
        <w:rPr>
          <w:rFonts w:ascii="Times New Roman" w:cs="Times New Roman" w:eastAsia="Times New Roman" w:hAnsi="Times New Roman"/>
          <w:sz w:val="18"/>
          <w:szCs w:val="18"/>
          <w:color w:val="auto"/>
        </w:rPr>
        <w:t>By:</w:t>
        <w:tab/>
        <w:t>/s/  DENESH BHARWANI</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Denesh Bharwani</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2023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29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 Chief Executive Officer</w:t>
      </w:r>
    </w:p>
    <w:p>
      <w:pPr>
        <w:sectPr>
          <w:pgSz w:w="11900" w:h="16838" w:orient="portrait"/>
          <w:cols w:equalWidth="0" w:num="1">
            <w:col w:w="11240"/>
          </w:cols>
          <w:pgMar w:left="320" w:top="117" w:right="339" w:bottom="1440" w:gutter="0" w:footer="0" w:header="0"/>
        </w:sectPr>
      </w:pPr>
    </w:p>
    <w:bookmarkStart w:id="40" w:name="page41"/>
    <w:bookmarkEnd w:id="40"/>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Denesh Bharwani,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2023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678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678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 Chief Financial Officer</w:t>
      </w:r>
    </w:p>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Consumer Portfolio Services, Inc. (the “Company”) for the quarterly period ended March 31, 2023, as filed with the Securities and Exchange Commission on the date hereof (the “Report”), Charles E. Bradley, Jr., as Chief Executive Officer of the Company, and Denesh Bharwani, as Chief Financial Officer of the Company, each hereby certifies, pursuant to 18 U.S.C. §1350, as adopted pursuant to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CHARLES E. BRADLEY, JR.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DENESH BHARWANI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lowerRoman"/>
      <w:start w:val="3"/>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3"/>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4"/>
    </w:lvl>
  </w:abstractNum>
  <w:abstractNum w:abstractNumId="8">
    <w:nsid w:val="6B68079A"/>
    <w:multiLevelType w:val="hybridMultilevel"/>
    <w:lvl w:ilvl="0">
      <w:lvlJc w:val="left"/>
      <w:lvlText w:val="(%1)"/>
      <w:numFmt w:val="decimal"/>
      <w:start w:val="5"/>
    </w:lvl>
  </w:abstractNum>
  <w:abstractNum w:abstractNumId="9">
    <w:nsid w:val="4E6AFB66"/>
    <w:multiLevelType w:val="hybridMultilevel"/>
    <w:lvl w:ilvl="0">
      <w:lvlJc w:val="left"/>
      <w:lvlText w:val="(%1)"/>
      <w:numFmt w:val="decimal"/>
      <w:start w:val="6"/>
    </w:lvl>
  </w:abstractNum>
  <w:abstractNum w:abstractNumId="10">
    <w:nsid w:val="25E45D32"/>
    <w:multiLevelType w:val="hybridMultilevel"/>
    <w:lvl w:ilvl="0">
      <w:lvlJc w:val="left"/>
      <w:lvlText w:val="(%1)"/>
      <w:numFmt w:val="decimal"/>
      <w:start w:val="7"/>
    </w:lvl>
  </w:abstractNum>
  <w:abstractNum w:abstractNumId="11">
    <w:nsid w:val="519B500D"/>
    <w:multiLevelType w:val="hybridMultilevel"/>
    <w:lvl w:ilvl="0">
      <w:lvlJc w:val="left"/>
      <w:lvlText w:val="(%1)"/>
      <w:numFmt w:val="decimal"/>
      <w:start w:val="8"/>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2"/>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32"/>
    </w:lvl>
    <w:lvl w:ilvl="1">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2023-05-10T14:12:23Z</dcterms:created>
  <dcterms:modified xsi:type="dcterms:W3CDTF">2023-05-10T14:12:23Z</dcterms:modified>
</cp:coreProperties>
</file>