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ind w:left="5540" w:right="1520" w:hanging="5532"/>
        <w:spacing w:after="0" w:line="261" w:lineRule="auto"/>
        <w:tabs>
          <w:tab w:leader="none" w:pos="57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-259080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-86360</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TRANSITION</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PURSUANT</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TO SECTION</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13 OR 15 (D)</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SECURITIES</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EXCHANGE</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ACT OF 1934</w:t>
      </w:r>
    </w:p>
    <w:p>
      <w:pPr>
        <w:spacing w:after="0" w:line="21" w:lineRule="exact"/>
        <w:rPr>
          <w:sz w:val="24"/>
          <w:szCs w:val="24"/>
          <w:color w:val="auto"/>
        </w:rPr>
      </w:pPr>
    </w:p>
    <w:p>
      <w:pPr>
        <w:sectPr>
          <w:pgSz w:w="11900" w:h="16838" w:orient="portrait"/>
          <w:cols w:equalWidth="0" w:num="2">
            <w:col w:w="9200" w:space="720"/>
            <w:col w:w="1320"/>
          </w:cols>
          <w:pgMar w:left="320" w:top="229" w:right="339" w:bottom="1440" w:gutter="0" w:footer="0" w:header="0"/>
          <w:type w:val="continuous"/>
        </w:sectPr>
      </w:pPr>
    </w:p>
    <w:p>
      <w:pPr>
        <w:ind w:left="3420"/>
        <w:spacing w:after="0"/>
        <w:rPr>
          <w:sz w:val="20"/>
          <w:szCs w:val="20"/>
          <w:color w:val="auto"/>
        </w:rPr>
      </w:pPr>
      <w:r>
        <w:rPr>
          <w:rFonts w:ascii="Arial" w:cs="Arial" w:eastAsia="Arial" w:hAnsi="Arial"/>
          <w:sz w:val="16"/>
          <w:szCs w:val="16"/>
          <w:b w:val="1"/>
          <w:bCs w:val="1"/>
          <w:color w:val="auto"/>
        </w:rPr>
        <w:t>For the transition period from __________ to __________</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1-11416</w:t>
      </w:r>
    </w:p>
    <w:p>
      <w:pPr>
        <w:sectPr>
          <w:pgSz w:w="11900" w:h="16838" w:orient="portrait"/>
          <w:cols w:equalWidth="0" w:num="1">
            <w:col w:w="11240"/>
          </w:cols>
          <w:pgMar w:left="320" w:top="229" w:right="339" w:bottom="1440" w:gutter="0" w:footer="0" w:header="0"/>
          <w:type w:val="continuous"/>
        </w:sect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CONSUMER PORTFOLIO SERVICES,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4"/>
              </w:rPr>
              <w:t>California</w:t>
            </w:r>
          </w:p>
        </w:tc>
        <w:tc>
          <w:tcPr>
            <w:tcW w:w="360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0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0"/>
              </w:rPr>
              <w:t>3800 Howard Hughes Parkway, Suite 1400,</w:t>
            </w:r>
          </w:p>
        </w:tc>
        <w:tc>
          <w:tcPr>
            <w:tcW w:w="360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87"/>
              </w:rPr>
              <w:t>Las Vegas, Nevada</w:t>
            </w:r>
          </w:p>
        </w:tc>
        <w:tc>
          <w:tcPr>
            <w:tcW w:w="3600" w:type="dxa"/>
            <w:vAlign w:val="bottom"/>
          </w:tcPr>
          <w:p>
            <w:pPr>
              <w:spacing w:after="0"/>
              <w:rPr>
                <w:sz w:val="18"/>
                <w:szCs w:val="18"/>
                <w:color w:val="auto"/>
              </w:rPr>
            </w:pP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4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56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color w:val="auto"/>
                <w:w w:val="90"/>
              </w:rPr>
              <w:t>Title of each class</w:t>
            </w:r>
          </w:p>
        </w:tc>
        <w:tc>
          <w:tcPr>
            <w:tcW w:w="24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Trading Symbol(s)</w:t>
            </w:r>
          </w:p>
        </w:tc>
        <w:tc>
          <w:tcPr>
            <w:tcW w:w="42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60" w:type="dxa"/>
            <w:vAlign w:val="bottom"/>
          </w:tcPr>
          <w:p>
            <w:pPr>
              <w:jc w:val="center"/>
              <w:ind w:right="730"/>
              <w:spacing w:after="0"/>
              <w:rPr>
                <w:sz w:val="20"/>
                <w:szCs w:val="20"/>
                <w:color w:val="auto"/>
              </w:rPr>
            </w:pPr>
            <w:r>
              <w:rPr>
                <w:rFonts w:ascii="Arial" w:cs="Arial" w:eastAsia="Arial" w:hAnsi="Arial"/>
                <w:sz w:val="18"/>
                <w:szCs w:val="18"/>
                <w:color w:val="auto"/>
                <w:w w:val="90"/>
              </w:rPr>
              <w:t>Common Stock, no par value</w:t>
            </w:r>
          </w:p>
        </w:tc>
        <w:tc>
          <w:tcPr>
            <w:tcW w:w="2420" w:type="dxa"/>
            <w:vAlign w:val="bottom"/>
          </w:tcPr>
          <w:p>
            <w:pPr>
              <w:jc w:val="center"/>
              <w:ind w:right="190"/>
              <w:spacing w:after="0"/>
              <w:rPr>
                <w:sz w:val="20"/>
                <w:szCs w:val="20"/>
                <w:color w:val="auto"/>
              </w:rPr>
            </w:pPr>
            <w:r>
              <w:rPr>
                <w:rFonts w:ascii="Arial" w:cs="Arial" w:eastAsia="Arial" w:hAnsi="Arial"/>
                <w:sz w:val="18"/>
                <w:szCs w:val="18"/>
                <w:color w:val="auto"/>
                <w:w w:val="85"/>
              </w:rPr>
              <w:t>CPSS</w:t>
            </w:r>
          </w:p>
        </w:tc>
        <w:tc>
          <w:tcPr>
            <w:tcW w:w="4260" w:type="dxa"/>
            <w:vAlign w:val="bottom"/>
          </w:tcPr>
          <w:p>
            <w:pPr>
              <w:jc w:val="center"/>
              <w:ind w:left="470"/>
              <w:spacing w:after="0"/>
              <w:rPr>
                <w:sz w:val="20"/>
                <w:szCs w:val="20"/>
                <w:color w:val="auto"/>
              </w:rPr>
            </w:pPr>
            <w:r>
              <w:rPr>
                <w:rFonts w:ascii="Arial" w:cs="Arial" w:eastAsia="Arial" w:hAnsi="Arial"/>
                <w:sz w:val="18"/>
                <w:szCs w:val="18"/>
                <w:color w:val="auto"/>
                <w:w w:val="93"/>
              </w:rPr>
              <w:t>The Nasdaq Stock Market LLC (Global Market)</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14"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5" w:lineRule="exact"/>
        <w:rPr>
          <w:sz w:val="24"/>
          <w:szCs w:val="24"/>
          <w:color w:val="auto"/>
        </w:rPr>
      </w:pPr>
    </w:p>
    <w:p>
      <w:pPr>
        <w:sectPr>
          <w:pgSz w:w="11900" w:h="16838" w:orient="portrait"/>
          <w:cols w:equalWidth="0" w:num="2">
            <w:col w:w="6920" w:space="720"/>
            <w:col w:w="3600"/>
          </w:cols>
          <w:pgMar w:left="320" w:top="229" w:right="339" w:bottom="1440" w:gutter="0" w:footer="0" w:header="0"/>
          <w:type w:val="continuous"/>
        </w:sectPr>
      </w:pPr>
    </w:p>
    <w:p>
      <w:pPr>
        <w:spacing w:after="0" w:line="14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July 24, 2020 the registrant had 22,704,868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40" w:type="dxa"/>
            <w:vAlign w:val="bottom"/>
            <w:gridSpan w:val="4"/>
            <w:vMerge w:val="restart"/>
          </w:tcPr>
          <w:p>
            <w:pPr>
              <w:ind w:left="1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40" w:type="dxa"/>
            <w:vAlign w:val="bottom"/>
            <w:gridSpan w:val="4"/>
            <w:vMerge w:val="continue"/>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6"/>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360" w:type="dxa"/>
            <w:vAlign w:val="bottom"/>
            <w:gridSpan w:val="6"/>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June 30, 2020 and December 31, 2019</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9360" w:type="dxa"/>
            <w:vAlign w:val="bottom"/>
            <w:gridSpan w:val="6"/>
          </w:tcPr>
          <w:p>
            <w:pPr>
              <w:ind w:left="20"/>
              <w:spacing w:after="0" w:line="190"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Operations for the three-month and six-month periods ended June 30, 2020</w:t>
              </w:r>
            </w:hyperlink>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2019</w:t>
              </w:r>
            </w:hyperlink>
          </w:p>
        </w:tc>
        <w:tc>
          <w:tcPr>
            <w:tcW w:w="8400" w:type="dxa"/>
            <w:vAlign w:val="bottom"/>
            <w:tcBorders>
              <w:top w:val="single" w:sz="8" w:color="0000EE"/>
            </w:tcBorders>
            <w:gridSpan w:val="4"/>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96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three-month and six-month periods ended</w:t>
              </w:r>
            </w:hyperlink>
          </w:p>
        </w:tc>
        <w:tc>
          <w:tcPr>
            <w:tcW w:w="4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6"/>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2020 and 2019</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40" w:type="dxa"/>
            <w:vAlign w:val="bottom"/>
          </w:tcPr>
          <w:p>
            <w:pPr>
              <w:spacing w:after="0"/>
              <w:rPr>
                <w:sz w:val="19"/>
                <w:szCs w:val="19"/>
                <w:color w:val="auto"/>
              </w:rPr>
            </w:pPr>
          </w:p>
        </w:tc>
        <w:tc>
          <w:tcPr>
            <w:tcW w:w="9360" w:type="dxa"/>
            <w:vAlign w:val="bottom"/>
            <w:gridSpan w:val="6"/>
          </w:tcPr>
          <w:p>
            <w:pPr>
              <w:ind w:left="20"/>
              <w:spacing w:after="0"/>
              <w:rPr>
                <w:rFonts w:ascii="Arial" w:cs="Arial" w:eastAsia="Arial" w:hAnsi="Arial"/>
                <w:sz w:val="18"/>
                <w:szCs w:val="18"/>
                <w:u w:val="single" w:color="auto"/>
                <w:color w:val="0000EE"/>
                <w:w w:val="96"/>
              </w:rPr>
            </w:pPr>
            <w:hyperlink w:anchor="page6">
              <w:r>
                <w:rPr>
                  <w:rFonts w:ascii="Arial" w:cs="Arial" w:eastAsia="Arial" w:hAnsi="Arial"/>
                  <w:sz w:val="18"/>
                  <w:szCs w:val="18"/>
                  <w:u w:val="single" w:color="auto"/>
                  <w:color w:val="0000EE"/>
                  <w:w w:val="96"/>
                </w:rPr>
                <w:t>Unaudited Condensed Consolidated Statements of Cash Flows for the six-month periods ended June 30, 2020 and 2019</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9360" w:type="dxa"/>
            <w:vAlign w:val="bottom"/>
            <w:gridSpan w:val="6"/>
          </w:tcPr>
          <w:p>
            <w:pPr>
              <w:ind w:left="20"/>
              <w:spacing w:after="0" w:line="190"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Unaudited Condensed Consolidated Statements of Shareholders’ Equity for the three-month and six-month periods ended</w:t>
              </w:r>
            </w:hyperlink>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tcBorders>
              <w:top w:val="single" w:sz="8" w:color="0000EE"/>
            </w:tcBorders>
            <w:gridSpan w:val="3"/>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2020 and 2019</w:t>
              </w:r>
            </w:hyperlink>
          </w:p>
        </w:tc>
        <w:tc>
          <w:tcPr>
            <w:tcW w:w="60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40" w:type="dxa"/>
            <w:vAlign w:val="bottom"/>
          </w:tcPr>
          <w:p>
            <w:pPr>
              <w:spacing w:after="0"/>
              <w:rPr>
                <w:sz w:val="19"/>
                <w:szCs w:val="19"/>
                <w:color w:val="auto"/>
              </w:rPr>
            </w:pPr>
          </w:p>
        </w:tc>
        <w:tc>
          <w:tcPr>
            <w:tcW w:w="9360" w:type="dxa"/>
            <w:vAlign w:val="bottom"/>
            <w:gridSpan w:val="6"/>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6"/>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360" w:type="dxa"/>
            <w:vAlign w:val="bottom"/>
            <w:gridSpan w:val="6"/>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Controls and Procedures</w:t>
              </w:r>
            </w:hyperlink>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920" w:type="dxa"/>
            <w:vAlign w:val="bottom"/>
          </w:tcPr>
          <w:p>
            <w:pPr>
              <w:ind w:left="3300"/>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PART II. OTHER INFORMATION</w:t>
              </w:r>
            </w:hyperlink>
          </w:p>
        </w:tc>
        <w:tc>
          <w:tcPr>
            <w:tcW w:w="202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7920" w:type="dxa"/>
            <w:vAlign w:val="bottom"/>
          </w:tcPr>
          <w:p>
            <w:pPr>
              <w:ind w:left="3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7920" w:type="dxa"/>
            <w:vAlign w:val="bottom"/>
          </w:tcPr>
          <w:p>
            <w:pPr>
              <w:ind w:left="3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7920" w:type="dxa"/>
            <w:vAlign w:val="bottom"/>
          </w:tcPr>
          <w:p>
            <w:pPr>
              <w:ind w:left="3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Unregistered Sales of Equity Securities and Use of Proceeds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7920" w:type="dxa"/>
            <w:vAlign w:val="bottom"/>
          </w:tcPr>
          <w:p>
            <w:pPr>
              <w:ind w:left="3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40" w:type="dxa"/>
            <w:vAlign w:val="bottom"/>
          </w:tcPr>
          <w:p>
            <w:pPr>
              <w:spacing w:after="0"/>
              <w:rPr>
                <w:sz w:val="20"/>
                <w:szCs w:val="20"/>
                <w:color w:val="auto"/>
              </w:rPr>
            </w:pPr>
          </w:p>
        </w:tc>
        <w:tc>
          <w:tcPr>
            <w:tcW w:w="7920" w:type="dxa"/>
            <w:vAlign w:val="bottom"/>
          </w:tcPr>
          <w:p>
            <w:pPr>
              <w:ind w:left="3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Signatures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7880" w:type="dxa"/>
            <w:vAlign w:val="bottom"/>
            <w:tcBorders>
              <w:bottom w:val="single" w:sz="8" w:color="EEEEEE"/>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EEEEEE"/>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7,475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139,191</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135,537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1,537,649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1,444,038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669,772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897,530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Less: Allowance for finance credit losses</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(98,602)</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(11,640)</w:t>
            </w:r>
          </w:p>
        </w:tc>
        <w:tc>
          <w:tcPr>
            <w:tcW w:w="0" w:type="dxa"/>
            <w:vAlign w:val="bottom"/>
          </w:tcPr>
          <w:p>
            <w:pPr>
              <w:spacing w:after="0"/>
              <w:rPr>
                <w:sz w:val="1"/>
                <w:szCs w:val="1"/>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571,170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885,890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33,442</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15,480</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7,229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40,038</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39,852</w:t>
            </w:r>
          </w:p>
        </w:tc>
        <w:tc>
          <w:tcPr>
            <w:tcW w:w="0" w:type="dxa"/>
            <w:vAlign w:val="bottom"/>
          </w:tcPr>
          <w:p>
            <w:pPr>
              <w:spacing w:after="0"/>
              <w:rPr>
                <w:sz w:val="1"/>
                <w:szCs w:val="1"/>
                <w:color w:val="auto"/>
              </w:rPr>
            </w:pPr>
          </w:p>
        </w:tc>
      </w:tr>
      <w:tr>
        <w:trPr>
          <w:trHeight w:val="263"/>
        </w:trPr>
        <w:tc>
          <w:tcPr>
            <w:tcW w:w="788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2,337,460</w:t>
            </w:r>
          </w:p>
        </w:tc>
        <w:tc>
          <w:tcPr>
            <w:tcW w:w="3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2,539,249</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47,415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47,077</w:t>
            </w:r>
          </w:p>
        </w:tc>
        <w:tc>
          <w:tcPr>
            <w:tcW w:w="0" w:type="dxa"/>
            <w:vAlign w:val="bottom"/>
          </w:tcPr>
          <w:p>
            <w:pPr>
              <w:spacing w:after="0"/>
              <w:rPr>
                <w:sz w:val="1"/>
                <w:szCs w:val="1"/>
                <w:color w:val="auto"/>
              </w:rPr>
            </w:pPr>
          </w:p>
        </w:tc>
      </w:tr>
      <w:tr>
        <w:trPr>
          <w:trHeight w:val="216"/>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56,668</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134,791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37,544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39,478</w:t>
            </w:r>
          </w:p>
        </w:tc>
        <w:tc>
          <w:tcPr>
            <w:tcW w:w="0" w:type="dxa"/>
            <w:vAlign w:val="bottom"/>
          </w:tcPr>
          <w:p>
            <w:pPr>
              <w:spacing w:after="0"/>
              <w:rPr>
                <w:sz w:val="1"/>
                <w:szCs w:val="1"/>
                <w:color w:val="auto"/>
              </w:rPr>
            </w:pPr>
          </w:p>
        </w:tc>
      </w:tr>
      <w:tr>
        <w:trPr>
          <w:trHeight w:val="216"/>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2,051,172</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2,097,728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19,580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21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2,212,379</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2,336,608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1"/>
              </w:rPr>
              <w:t>Common stock, no par value; authorized 75,000,000 shares; 22,715,496 and 22,530,918 shares issued and</w:t>
            </w: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outstanding at June 30, 2020 and December 31, 2019, respectively</w:t>
            </w: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72,402</w:t>
            </w: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71,257</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61,100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139,805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(8,421)</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125,081</w:t>
            </w:r>
          </w:p>
        </w:tc>
        <w:tc>
          <w:tcPr>
            <w:tcW w:w="3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202,641</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80" w:type="dxa"/>
            <w:vAlign w:val="bottom"/>
          </w:tcPr>
          <w:p>
            <w:pPr>
              <w:spacing w:after="0"/>
              <w:rPr>
                <w:sz w:val="21"/>
                <w:szCs w:val="21"/>
                <w:color w:val="auto"/>
              </w:rPr>
            </w:pP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2,337,460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2,539,249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820" w:type="dxa"/>
            <w:vAlign w:val="bottom"/>
            <w:gridSpan w:val="6"/>
          </w:tcPr>
          <w:p>
            <w:pPr>
              <w:ind w:lef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 income</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75,552</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84,449</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154,689</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170,294</w:t>
            </w:r>
          </w:p>
        </w:tc>
        <w:tc>
          <w:tcPr>
            <w:tcW w:w="0" w:type="dxa"/>
            <w:vAlign w:val="bottom"/>
          </w:tcPr>
          <w:p>
            <w:pPr>
              <w:spacing w:after="0"/>
              <w:rPr>
                <w:sz w:val="1"/>
                <w:szCs w:val="1"/>
                <w:color w:val="auto"/>
              </w:rPr>
            </w:pPr>
          </w:p>
        </w:tc>
      </w:tr>
      <w:tr>
        <w:trPr>
          <w:trHeight w:val="216"/>
        </w:trPr>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(9,549)</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(19,899)</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1,289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1,876</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3,269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67,292</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86,325</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138,059</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174,555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Employee costs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19,828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19,706</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41,671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38,779</w:t>
            </w:r>
          </w:p>
        </w:tc>
        <w:tc>
          <w:tcPr>
            <w:tcW w:w="0" w:type="dxa"/>
            <w:vAlign w:val="bottom"/>
          </w:tcPr>
          <w:p>
            <w:pPr>
              <w:spacing w:after="0"/>
              <w:rPr>
                <w:sz w:val="1"/>
                <w:szCs w:val="1"/>
                <w:color w:val="auto"/>
              </w:rPr>
            </w:pPr>
          </w:p>
        </w:tc>
      </w:tr>
      <w:tr>
        <w:trPr>
          <w:trHeight w:val="216"/>
        </w:trPr>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7,837</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8,750</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16,506</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16,924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26,485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27,703</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53,476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54,993</w:t>
            </w:r>
          </w:p>
        </w:tc>
        <w:tc>
          <w:tcPr>
            <w:tcW w:w="0" w:type="dxa"/>
            <w:vAlign w:val="bottom"/>
          </w:tcPr>
          <w:p>
            <w:pPr>
              <w:spacing w:after="0"/>
              <w:rPr>
                <w:sz w:val="1"/>
                <w:szCs w:val="1"/>
                <w:color w:val="auto"/>
              </w:rPr>
            </w:pPr>
          </w:p>
        </w:tc>
      </w:tr>
      <w:tr>
        <w:trPr>
          <w:trHeight w:val="216"/>
        </w:trPr>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3,100</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20,489</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6,713</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44,445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3,079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4,634</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7,508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16"/>
        </w:trPr>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1,833</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3,524</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9"/>
        </w:trPr>
        <w:tc>
          <w:tcPr>
            <w:tcW w:w="4500" w:type="dxa"/>
            <w:vAlign w:val="bottom"/>
            <w:vMerge w:val="restart"/>
          </w:tcPr>
          <w:p>
            <w:pPr>
              <w:spacing w:after="0"/>
              <w:rPr>
                <w:sz w:val="20"/>
                <w:szCs w:val="20"/>
                <w:color w:val="auto"/>
              </w:rPr>
            </w:pPr>
            <w:r>
              <w:rPr>
                <w:rFonts w:ascii="Arial" w:cs="Arial" w:eastAsia="Arial" w:hAnsi="Arial"/>
                <w:sz w:val="18"/>
                <w:szCs w:val="18"/>
                <w:color w:val="auto"/>
              </w:rPr>
              <w:t>Income before income tax expense (benefit)</w:t>
            </w:r>
          </w:p>
        </w:tc>
        <w:tc>
          <w:tcPr>
            <w:tcW w:w="2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62,649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83,555</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130,304</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169,109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1,671</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970</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(6,009)</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63"/>
        </w:trPr>
        <w:tc>
          <w:tcPr>
            <w:tcW w:w="45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32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0.13</w:t>
            </w:r>
          </w:p>
        </w:tc>
        <w:tc>
          <w:tcPr>
            <w:tcW w:w="48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0.61</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w w:val="98"/>
              </w:rPr>
              <w:t>Number of shares used in computing earnings per share: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22,685</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22,362</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22,612</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22,302</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23,687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23,978</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23,783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24,119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62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7"/>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EEEEEE"/>
          </w:tcPr>
          <w:p>
            <w:pPr>
              <w:jc w:val="right"/>
              <w:ind w:right="73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7"/>
              </w:rPr>
              <w:t>2,972</w:t>
            </w:r>
          </w:p>
        </w:tc>
        <w:tc>
          <w:tcPr>
            <w:tcW w:w="108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1,800</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13,764</w:t>
            </w:r>
          </w:p>
        </w:tc>
        <w:tc>
          <w:tcPr>
            <w:tcW w:w="320" w:type="dxa"/>
            <w:vAlign w:val="bottom"/>
            <w:gridSpan w:val="2"/>
            <w:shd w:val="clear" w:color="auto" w:fill="EEEEEE"/>
          </w:tcPr>
          <w:p>
            <w:pPr>
              <w:jc w:val="right"/>
              <w:ind w:right="18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3,539</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Other comprehensive income/(loss); change in funded status</w:t>
            </w:r>
          </w:p>
        </w:tc>
        <w:tc>
          <w:tcPr>
            <w:tcW w:w="9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4"/>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 pension plan</w:t>
            </w:r>
          </w:p>
        </w:tc>
        <w:tc>
          <w:tcPr>
            <w:tcW w:w="90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1"/>
                <w:szCs w:val="21"/>
                <w:color w:val="auto"/>
              </w:rPr>
            </w:pPr>
          </w:p>
        </w:tc>
        <w:tc>
          <w:tcPr>
            <w:tcW w:w="920" w:type="dxa"/>
            <w:vAlign w:val="bottom"/>
            <w:shd w:val="clear" w:color="auto" w:fill="EEEEEE"/>
          </w:tcPr>
          <w:p>
            <w:pPr>
              <w:spacing w:after="0"/>
              <w:rPr>
                <w:sz w:val="21"/>
                <w:szCs w:val="21"/>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2,972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1,800</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6"/>
          </w:tcPr>
          <w:p>
            <w:pPr>
              <w:jc w:val="right"/>
              <w:ind w:right="821"/>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1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EEEEEE"/>
            </w:tcBorders>
          </w:tcPr>
          <w:p>
            <w:pPr>
              <w:spacing w:after="0"/>
              <w:rPr>
                <w:sz w:val="19"/>
                <w:szCs w:val="19"/>
                <w:color w:val="auto"/>
              </w:rPr>
            </w:pPr>
          </w:p>
        </w:tc>
      </w:tr>
      <w:tr>
        <w:trPr>
          <w:trHeight w:val="209"/>
        </w:trPr>
        <w:tc>
          <w:tcPr>
            <w:tcW w:w="81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13,764</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3,539</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952</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interest income accretion on fair value receivables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64,156</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39,822</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513</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4,127</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4,127</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Mark to finance receivables measured at fair value</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19,899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6,713</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44,445</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1,119</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Accrued interest receivable</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4,416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15,575</w:t>
            </w: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16,569</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2,069</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(3,074)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399</w:t>
            </w:r>
          </w:p>
        </w:tc>
      </w:tr>
      <w:tr>
        <w:trPr>
          <w:trHeight w:val="209"/>
        </w:trPr>
        <w:tc>
          <w:tcPr>
            <w:tcW w:w="810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129,353</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112,418</w:t>
            </w:r>
          </w:p>
        </w:tc>
        <w:tc>
          <w:tcPr>
            <w:tcW w:w="100" w:type="dxa"/>
            <w:vAlign w:val="bottom"/>
            <w:tcBorders>
              <w:bottom w:val="single" w:sz="8" w:color="EEEEEE"/>
            </w:tcBorders>
          </w:tcPr>
          <w:p>
            <w:pPr>
              <w:spacing w:after="0"/>
              <w:rPr>
                <w:sz w:val="18"/>
                <w:szCs w:val="18"/>
                <w:color w:val="auto"/>
              </w:rPr>
            </w:pPr>
          </w:p>
        </w:tc>
      </w:tr>
      <w:tr>
        <w:trPr>
          <w:trHeight w:val="209"/>
        </w:trPr>
        <w:tc>
          <w:tcPr>
            <w:tcW w:w="8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180,366</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261,723</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3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(399,729)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(494,626)</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222,063</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117,505</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2,888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425</w:t>
            </w:r>
          </w:p>
        </w:tc>
      </w:tr>
      <w:tr>
        <w:trPr>
          <w:trHeight w:val="229"/>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(404)</w:t>
            </w:r>
          </w:p>
        </w:tc>
      </w:tr>
      <w:tr>
        <w:trPr>
          <w:trHeight w:val="210"/>
        </w:trPr>
        <w:tc>
          <w:tcPr>
            <w:tcW w:w="810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(115,377</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462,343</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482,675</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3,450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1,613</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(1,404)</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(4,535)</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advances of warehouse lines of credit</w:t>
            </w:r>
          </w:p>
        </w:tc>
        <w:tc>
          <w:tcPr>
            <w:tcW w:w="3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(78,843)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2,677</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residual interest financing debt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(2,120)</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(508,942)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(468,874)</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(3,178)</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(4,383)</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3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(1,440)</w:t>
            </w:r>
          </w:p>
        </w:tc>
      </w:tr>
      <w:tr>
        <w:trPr>
          <w:trHeight w:val="230"/>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347</w:t>
            </w:r>
          </w:p>
        </w:tc>
      </w:tr>
      <w:tr>
        <w:trPr>
          <w:trHeight w:val="210"/>
        </w:trPr>
        <w:tc>
          <w:tcPr>
            <w:tcW w:w="810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(128,447</w:t>
            </w:r>
          </w:p>
        </w:tc>
        <w:tc>
          <w:tcPr>
            <w:tcW w:w="180" w:type="dxa"/>
            <w:vAlign w:val="bottom"/>
            <w:tcBorders>
              <w:bottom w:val="single" w:sz="8" w:color="EEEEEE"/>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Borders>
              <w:bottom w:val="single" w:sz="8" w:color="EEEEEE"/>
            </w:tcBorders>
          </w:tcPr>
          <w:p>
            <w:pPr>
              <w:spacing w:after="0"/>
              <w:rPr>
                <w:sz w:val="18"/>
                <w:szCs w:val="18"/>
                <w:color w:val="auto"/>
              </w:rPr>
            </w:pPr>
          </w:p>
        </w:tc>
      </w:tr>
      <w:tr>
        <w:trPr>
          <w:trHeight w:val="210"/>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5,834</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EEEEEE"/>
          </w:tcPr>
          <w:p>
            <w:pPr>
              <w:spacing w:after="0"/>
              <w:rPr>
                <w:sz w:val="18"/>
                <w:szCs w:val="18"/>
                <w:color w:val="auto"/>
              </w:rPr>
            </w:pPr>
          </w:p>
        </w:tc>
      </w:tr>
      <w:tr>
        <w:trPr>
          <w:trHeight w:val="229"/>
        </w:trPr>
        <w:tc>
          <w:tcPr>
            <w:tcW w:w="8100" w:type="dxa"/>
            <w:vAlign w:val="bottom"/>
          </w:tcPr>
          <w:p>
            <w:pPr>
              <w:spacing w:after="0"/>
              <w:rPr>
                <w:sz w:val="20"/>
                <w:szCs w:val="20"/>
                <w:color w:val="auto"/>
              </w:rPr>
            </w:pPr>
            <w:r>
              <w:rPr>
                <w:rFonts w:ascii="Arial" w:cs="Arial" w:eastAsia="Arial" w:hAnsi="Arial"/>
                <w:sz w:val="18"/>
                <w:szCs w:val="18"/>
                <w:color w:val="auto"/>
              </w:rPr>
              <w:t>Cash and restricted cash at beginning of period</w:t>
            </w:r>
          </w:p>
        </w:tc>
        <w:tc>
          <w:tcPr>
            <w:tcW w:w="3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140,832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130,110</w:t>
            </w:r>
          </w:p>
        </w:tc>
      </w:tr>
      <w:tr>
        <w:trPr>
          <w:trHeight w:val="223"/>
        </w:trPr>
        <w:tc>
          <w:tcPr>
            <w:tcW w:w="81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restricted cash at end of period</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146,666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135,231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49,372</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50,417</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(17,580)</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(3,227)</w:t>
            </w:r>
          </w:p>
        </w:tc>
      </w:tr>
      <w:tr>
        <w:trPr>
          <w:trHeight w:val="216"/>
        </w:trPr>
        <w:tc>
          <w:tcPr>
            <w:tcW w:w="8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Non-cash financing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Right-of-use asset,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(21,869)</w:t>
            </w:r>
          </w:p>
        </w:tc>
      </w:tr>
      <w:tr>
        <w:trPr>
          <w:trHeight w:val="216"/>
        </w:trPr>
        <w:tc>
          <w:tcPr>
            <w:tcW w:w="8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Lease liability</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23,327</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Deferred office 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(1,458)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right"/>
              <w:ind w:right="961"/>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8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 (Shares Outstanding)</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22,559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22,134</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22,531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22,422</w:t>
            </w:r>
          </w:p>
        </w:tc>
      </w:tr>
      <w:tr>
        <w:trPr>
          <w:trHeight w:val="202"/>
        </w:trPr>
        <w:tc>
          <w:tcPr>
            <w:tcW w:w="474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47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warrants</w:t>
            </w:r>
          </w:p>
        </w:tc>
        <w:tc>
          <w:tcPr>
            <w:tcW w:w="2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256</w:t>
            </w: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483</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(379)</w:t>
            </w:r>
          </w:p>
        </w:tc>
      </w:tr>
      <w:tr>
        <w:trPr>
          <w:trHeight w:val="209"/>
        </w:trPr>
        <w:tc>
          <w:tcPr>
            <w:tcW w:w="474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22,715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22,526</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22,715</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22,526</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71,792</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69,544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71,257</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70,273</w:t>
            </w:r>
          </w:p>
        </w:tc>
      </w:tr>
      <w:tr>
        <w:trPr>
          <w:trHeight w:val="202"/>
        </w:trPr>
        <w:tc>
          <w:tcPr>
            <w:tcW w:w="474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47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warrants</w:t>
            </w:r>
          </w:p>
        </w:tc>
        <w:tc>
          <w:tcPr>
            <w:tcW w:w="2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452</w:t>
            </w: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(1,440)</w:t>
            </w:r>
          </w:p>
        </w:tc>
      </w:tr>
      <w:tr>
        <w:trPr>
          <w:trHeight w:val="230"/>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898</w:t>
            </w: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1,119</w:t>
            </w:r>
          </w:p>
        </w:tc>
      </w:tr>
      <w:tr>
        <w:trPr>
          <w:trHeight w:val="209"/>
        </w:trPr>
        <w:tc>
          <w:tcPr>
            <w:tcW w:w="47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72,402</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70,299</w:t>
            </w:r>
          </w:p>
        </w:tc>
        <w:tc>
          <w:tcPr>
            <w:tcW w:w="3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72,402</w:t>
            </w:r>
          </w:p>
        </w:tc>
        <w:tc>
          <w:tcPr>
            <w:tcW w:w="3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70,299</w:t>
            </w:r>
          </w:p>
        </w:tc>
        <w:tc>
          <w:tcPr>
            <w:tcW w:w="100" w:type="dxa"/>
            <w:vAlign w:val="bottom"/>
            <w:tcBorders>
              <w:bottom w:val="single" w:sz="8" w:color="EEEEEE"/>
            </w:tcBorders>
            <w:gridSpan w:val="2"/>
          </w:tcPr>
          <w:p>
            <w:pPr>
              <w:spacing w:after="0"/>
              <w:rPr>
                <w:sz w:val="18"/>
                <w:szCs w:val="18"/>
                <w:color w:val="auto"/>
              </w:rPr>
            </w:pPr>
          </w:p>
        </w:tc>
      </w:tr>
      <w:tr>
        <w:trPr>
          <w:trHeight w:val="210"/>
        </w:trPr>
        <w:tc>
          <w:tcPr>
            <w:tcW w:w="4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58,128</w:t>
            </w:r>
          </w:p>
        </w:tc>
        <w:tc>
          <w:tcPr>
            <w:tcW w:w="48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136,138</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139,805</w:t>
            </w:r>
          </w:p>
        </w:tc>
        <w:tc>
          <w:tcPr>
            <w:tcW w:w="1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134,399</w:t>
            </w:r>
          </w:p>
        </w:tc>
        <w:tc>
          <w:tcPr>
            <w:tcW w:w="80" w:type="dxa"/>
            <w:vAlign w:val="bottom"/>
            <w:shd w:val="clear" w:color="auto" w:fill="EEEEEE"/>
          </w:tcPr>
          <w:p>
            <w:pPr>
              <w:spacing w:after="0"/>
              <w:rPr>
                <w:sz w:val="18"/>
                <w:szCs w:val="18"/>
                <w:color w:val="auto"/>
              </w:rPr>
            </w:pP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Cumulative change in accounting principle (Note 2)</w:t>
            </w:r>
          </w:p>
        </w:tc>
        <w:tc>
          <w:tcPr>
            <w:tcW w:w="28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(92,469)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182"/>
        </w:trPr>
        <w:tc>
          <w:tcPr>
            <w:tcW w:w="4740" w:type="dxa"/>
            <w:vAlign w:val="bottom"/>
            <w:tcBorders>
              <w:top w:val="single" w:sz="8" w:color="EEEEEE"/>
            </w:tcBorders>
            <w:shd w:val="clear" w:color="auto" w:fill="EEEEEE"/>
          </w:tcPr>
          <w:p>
            <w:pPr>
              <w:ind w:left="180"/>
              <w:spacing w:after="0" w:line="182" w:lineRule="exact"/>
              <w:rPr>
                <w:sz w:val="20"/>
                <w:szCs w:val="20"/>
                <w:color w:val="auto"/>
              </w:rPr>
            </w:pPr>
            <w:r>
              <w:rPr>
                <w:rFonts w:ascii="Arial" w:cs="Arial" w:eastAsia="Arial" w:hAnsi="Arial"/>
                <w:sz w:val="18"/>
                <w:szCs w:val="18"/>
                <w:color w:val="auto"/>
              </w:rPr>
              <w:t>Balance, beginning of period (as adjusted for change in</w:t>
            </w:r>
          </w:p>
        </w:tc>
        <w:tc>
          <w:tcPr>
            <w:tcW w:w="280" w:type="dxa"/>
            <w:vAlign w:val="bottom"/>
            <w:tcBorders>
              <w:top w:val="single" w:sz="8" w:color="auto"/>
            </w:tcBorders>
            <w:shd w:val="clear" w:color="auto" w:fill="EEEEEE"/>
          </w:tcPr>
          <w:p>
            <w:pPr>
              <w:spacing w:after="0"/>
              <w:rPr>
                <w:sz w:val="15"/>
                <w:szCs w:val="15"/>
                <w:color w:val="auto"/>
              </w:rPr>
            </w:pPr>
          </w:p>
        </w:tc>
        <w:tc>
          <w:tcPr>
            <w:tcW w:w="108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34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280" w:type="dxa"/>
            <w:vAlign w:val="bottom"/>
            <w:tcBorders>
              <w:top w:val="single" w:sz="8" w:color="auto"/>
            </w:tcBorders>
            <w:shd w:val="clear" w:color="auto" w:fill="EEEEEE"/>
          </w:tcPr>
          <w:p>
            <w:pPr>
              <w:spacing w:after="0"/>
              <w:rPr>
                <w:sz w:val="15"/>
                <w:szCs w:val="15"/>
                <w:color w:val="auto"/>
              </w:rPr>
            </w:pPr>
          </w:p>
        </w:tc>
        <w:tc>
          <w:tcPr>
            <w:tcW w:w="10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8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auto"/>
            </w:tcBorders>
            <w:shd w:val="clear" w:color="auto" w:fill="EEEEEE"/>
          </w:tcPr>
          <w:p>
            <w:pPr>
              <w:spacing w:after="0"/>
              <w:rPr>
                <w:sz w:val="15"/>
                <w:szCs w:val="15"/>
                <w:color w:val="auto"/>
              </w:rPr>
            </w:pPr>
          </w:p>
        </w:tc>
        <w:tc>
          <w:tcPr>
            <w:tcW w:w="1020" w:type="dxa"/>
            <w:vAlign w:val="bottom"/>
            <w:tcBorders>
              <w:top w:val="single" w:sz="8" w:color="auto"/>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80" w:type="dxa"/>
            <w:vAlign w:val="bottom"/>
            <w:tcBorders>
              <w:top w:val="single" w:sz="8" w:color="EEEEEE"/>
            </w:tcBorders>
            <w:shd w:val="clear" w:color="auto" w:fill="EEEEEE"/>
          </w:tcPr>
          <w:p>
            <w:pPr>
              <w:spacing w:after="0"/>
              <w:rPr>
                <w:sz w:val="15"/>
                <w:szCs w:val="15"/>
                <w:color w:val="auto"/>
              </w:rPr>
            </w:pPr>
          </w:p>
        </w:tc>
      </w:tr>
      <w:tr>
        <w:trPr>
          <w:trHeight w:val="230"/>
        </w:trPr>
        <w:tc>
          <w:tcPr>
            <w:tcW w:w="47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accounting principle)</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58,128</w:t>
            </w:r>
          </w:p>
        </w:tc>
        <w:tc>
          <w:tcPr>
            <w:tcW w:w="48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136,138</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47,336</w:t>
            </w:r>
          </w:p>
        </w:tc>
        <w:tc>
          <w:tcPr>
            <w:tcW w:w="1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134,399</w:t>
            </w:r>
          </w:p>
        </w:tc>
        <w:tc>
          <w:tcPr>
            <w:tcW w:w="80" w:type="dxa"/>
            <w:vAlign w:val="bottom"/>
            <w:shd w:val="clear" w:color="auto" w:fill="EEEEEE"/>
          </w:tcPr>
          <w:p>
            <w:pPr>
              <w:spacing w:after="0"/>
              <w:rPr>
                <w:sz w:val="20"/>
                <w:szCs w:val="20"/>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2,972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1,800</w:t>
            </w:r>
          </w:p>
        </w:tc>
        <w:tc>
          <w:tcPr>
            <w:tcW w:w="280" w:type="dxa"/>
            <w:vAlign w:val="bottom"/>
          </w:tcPr>
          <w:p>
            <w:pPr>
              <w:spacing w:after="0"/>
              <w:rPr>
                <w:sz w:val="19"/>
                <w:szCs w:val="19"/>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13,764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9"/>
                <w:szCs w:val="19"/>
                <w:color w:val="auto"/>
              </w:rPr>
            </w:pPr>
          </w:p>
        </w:tc>
      </w:tr>
      <w:tr>
        <w:trPr>
          <w:trHeight w:val="210"/>
        </w:trPr>
        <w:tc>
          <w:tcPr>
            <w:tcW w:w="474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61,100</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137,938</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61,100</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137,938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(8,421)</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(7,554)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(8,421)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(7,554)</w:t>
            </w:r>
          </w:p>
        </w:tc>
      </w:tr>
      <w:tr>
        <w:trPr>
          <w:trHeight w:val="230"/>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Pension benefit obligation</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200" w:type="dxa"/>
            <w:vAlign w:val="bottom"/>
            <w:tcBorders>
              <w:bottom w:val="single" w:sz="8" w:color="EEEEEE"/>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EEEEEE"/>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125,081</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200,683</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125,081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200,683</w:t>
            </w:r>
          </w:p>
        </w:tc>
        <w:tc>
          <w:tcPr>
            <w:tcW w:w="8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4" w:lineRule="exact"/>
        <w:rPr>
          <w:sz w:val="20"/>
          <w:szCs w:val="20"/>
          <w:color w:val="auto"/>
        </w:rPr>
      </w:pPr>
    </w:p>
    <w:p>
      <w:pPr>
        <w:ind w:firstLine="8"/>
        <w:spacing w:after="0" w:line="260" w:lineRule="auto"/>
        <w:tabs>
          <w:tab w:leader="none" w:pos="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In this report, we refer to all of such contracts and loans as "automobile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six-month period ended June 30, 2020 are not necessarily indicative of the operating results to be expected for the full year.</w:t>
      </w:r>
    </w:p>
    <w:p>
      <w:pPr>
        <w:spacing w:after="0" w:line="188"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We re-evaluate the fair value of such receivables at the close of each measurement period. If the reevaluation were to yield a value materially different from the recorded value, an adjustment would be required. Results for the second quarter include the estimated potential effect on credit performance resulting from the COVID-19 pandemic. We recorded a $9.5 million mark down to the recorded value of the portion of the receivables portfolio accounted for at fair value in the second quarter and $10.4 million in the first quarter. The mark down is reflected as a reduction in revenue for each period.</w:t>
      </w:r>
    </w:p>
    <w:p>
      <w:pPr>
        <w:spacing w:after="0" w:line="157"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the primary components of Other Income for the three-month and six-month periods ending June 30, 2020 and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20" w:type="dxa"/>
            <w:vAlign w:val="bottom"/>
            <w:gridSpan w:val="5"/>
          </w:tcPr>
          <w:p>
            <w:pPr>
              <w:jc w:val="center"/>
              <w:ind w:left="378"/>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left="358"/>
              <w:spacing w:after="0"/>
              <w:rPr>
                <w:sz w:val="20"/>
                <w:szCs w:val="20"/>
                <w:color w:val="auto"/>
              </w:rPr>
            </w:pPr>
            <w:r>
              <w:rPr>
                <w:rFonts w:ascii="Arial" w:cs="Arial" w:eastAsia="Arial" w:hAnsi="Arial"/>
                <w:sz w:val="18"/>
                <w:szCs w:val="18"/>
                <w:b w:val="1"/>
                <w:bCs w:val="1"/>
                <w:color w:val="auto"/>
                <w:w w:val="90"/>
              </w:rPr>
              <w:t>Six Months Ended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5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369"/>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jc w:val="center"/>
              <w:ind w:right="369"/>
              <w:spacing w:after="0"/>
              <w:rPr>
                <w:sz w:val="20"/>
                <w:szCs w:val="20"/>
                <w:color w:val="auto"/>
              </w:rPr>
            </w:pPr>
            <w:r>
              <w:rPr>
                <w:rFonts w:ascii="Arial" w:cs="Arial" w:eastAsia="Arial" w:hAnsi="Arial"/>
                <w:sz w:val="18"/>
                <w:szCs w:val="18"/>
                <w:b w:val="1"/>
                <w:bCs w:val="1"/>
                <w:color w:val="auto"/>
                <w:w w:val="90"/>
              </w:rPr>
              <w:t>(In thousands)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900" w:type="dxa"/>
            <w:vAlign w:val="bottom"/>
            <w:shd w:val="clear" w:color="auto" w:fill="EEEEEE"/>
          </w:tcPr>
          <w:p>
            <w:pPr>
              <w:jc w:val="right"/>
              <w:ind w:right="73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501</w:t>
            </w:r>
          </w:p>
        </w:tc>
        <w:tc>
          <w:tcPr>
            <w:tcW w:w="108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1,051</w:t>
            </w:r>
          </w:p>
        </w:tc>
        <w:tc>
          <w:tcPr>
            <w:tcW w:w="880" w:type="dxa"/>
            <w:vAlign w:val="bottom"/>
            <w:shd w:val="clear" w:color="auto" w:fill="EEEEEE"/>
          </w:tcPr>
          <w:p>
            <w:pPr>
              <w:jc w:val="right"/>
              <w:ind w:right="71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1,684</w:t>
            </w:r>
          </w:p>
        </w:tc>
        <w:tc>
          <w:tcPr>
            <w:tcW w:w="880" w:type="dxa"/>
            <w:vAlign w:val="bottom"/>
            <w:gridSpan w:val="2"/>
            <w:shd w:val="clear" w:color="auto" w:fill="EEEEEE"/>
          </w:tcPr>
          <w:p>
            <w:pPr>
              <w:jc w:val="right"/>
              <w:ind w:right="749"/>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7"/>
              </w:rPr>
              <w:t>2,387</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570</w:t>
            </w:r>
          </w:p>
        </w:tc>
        <w:tc>
          <w:tcPr>
            <w:tcW w:w="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1,060</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1,270</w:t>
            </w: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9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w:t>
            </w:r>
          </w:p>
        </w:tc>
        <w:tc>
          <w:tcPr>
            <w:tcW w:w="8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Sales tax refunds</w:t>
            </w:r>
          </w:p>
        </w:tc>
        <w:tc>
          <w:tcPr>
            <w:tcW w:w="9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431</w:t>
            </w:r>
          </w:p>
        </w:tc>
      </w:tr>
      <w:tr>
        <w:trPr>
          <w:trHeight w:val="229"/>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w:t>
            </w:r>
          </w:p>
        </w:tc>
        <w:tc>
          <w:tcPr>
            <w:tcW w:w="88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w:t>
            </w:r>
          </w:p>
        </w:tc>
        <w:tc>
          <w:tcPr>
            <w:tcW w:w="2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EEEEEE"/>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1,876</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3,269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7"/>
          </w:tcPr>
          <w:p>
            <w:pPr>
              <w:jc w:val="right"/>
              <w:ind w:right="87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23,735</w:t>
            </w:r>
          </w:p>
        </w:tc>
        <w:tc>
          <w:tcPr>
            <w:tcW w:w="1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23,735</w:t>
            </w:r>
          </w:p>
        </w:tc>
        <w:tc>
          <w:tcPr>
            <w:tcW w:w="100" w:type="dxa"/>
            <w:vAlign w:val="bottom"/>
          </w:tcPr>
          <w:p>
            <w:pPr>
              <w:spacing w:after="0"/>
              <w:rPr>
                <w:sz w:val="18"/>
                <w:szCs w:val="18"/>
                <w:color w:val="auto"/>
              </w:rPr>
            </w:pPr>
          </w:p>
        </w:tc>
      </w:tr>
      <w:tr>
        <w:trPr>
          <w:trHeight w:val="229"/>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amortization right-of-use assets</w:t>
            </w:r>
          </w:p>
        </w:tc>
        <w:tc>
          <w:tcPr>
            <w:tcW w:w="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(9,729)</w:t>
            </w: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(6,600)</w:t>
            </w:r>
          </w:p>
        </w:tc>
      </w:tr>
      <w:tr>
        <w:trPr>
          <w:trHeight w:val="263"/>
        </w:trPr>
        <w:tc>
          <w:tcPr>
            <w:tcW w:w="80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14,006</w:t>
            </w:r>
          </w:p>
        </w:tc>
        <w:tc>
          <w:tcPr>
            <w:tcW w:w="12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r>
      <w:tr>
        <w:trPr>
          <w:trHeight w:val="197"/>
        </w:trPr>
        <w:tc>
          <w:tcPr>
            <w:tcW w:w="80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(15,308)</w:t>
            </w:r>
          </w:p>
        </w:tc>
        <w:tc>
          <w:tcPr>
            <w:tcW w:w="1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(18,527)</w:t>
            </w:r>
          </w:p>
        </w:tc>
      </w:tr>
      <w:tr>
        <w:trPr>
          <w:trHeight w:val="216"/>
        </w:trPr>
        <w:tc>
          <w:tcPr>
            <w:tcW w:w="80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at cost</w:t>
            </w:r>
          </w:p>
        </w:tc>
        <w:tc>
          <w:tcPr>
            <w:tcW w:w="26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3,224</w:t>
            </w:r>
          </w:p>
        </w:tc>
        <w:tc>
          <w:tcPr>
            <w:tcW w:w="160" w:type="dxa"/>
            <w:vAlign w:val="bottom"/>
            <w:shd w:val="clear" w:color="auto" w:fill="EEEEEE"/>
          </w:tcPr>
          <w:p>
            <w:pPr>
              <w:spacing w:after="0"/>
              <w:rPr>
                <w:sz w:val="18"/>
                <w:szCs w:val="18"/>
                <w:color w:val="auto"/>
              </w:rPr>
            </w:pPr>
          </w:p>
        </w:tc>
        <w:tc>
          <w:tcPr>
            <w:tcW w:w="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EEEEEE"/>
          </w:tcPr>
          <w:p>
            <w:pPr>
              <w:spacing w:after="0"/>
              <w:rPr>
                <w:sz w:val="18"/>
                <w:szCs w:val="18"/>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r>
      <w:tr>
        <w:trPr>
          <w:trHeight w:val="223"/>
        </w:trPr>
        <w:tc>
          <w:tcPr>
            <w:tcW w:w="80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gridSpan w:val="2"/>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Finance lease liabilities</w:t>
            </w:r>
          </w:p>
        </w:tc>
        <w:tc>
          <w:tcPr>
            <w:tcW w:w="26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(2,586)</w:t>
            </w:r>
          </w:p>
        </w:tc>
        <w:tc>
          <w:tcPr>
            <w:tcW w:w="160" w:type="dxa"/>
            <w:vAlign w:val="bottom"/>
            <w:shd w:val="clear" w:color="auto" w:fill="EEEEEE"/>
          </w:tcPr>
          <w:p>
            <w:pPr>
              <w:spacing w:after="0"/>
              <w:rPr>
                <w:sz w:val="18"/>
                <w:szCs w:val="18"/>
                <w:color w:val="auto"/>
              </w:rPr>
            </w:pPr>
          </w:p>
        </w:tc>
        <w:tc>
          <w:tcPr>
            <w:tcW w:w="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(718)</w:t>
            </w:r>
          </w:p>
        </w:tc>
      </w:tr>
      <w:tr>
        <w:trPr>
          <w:trHeight w:val="216"/>
        </w:trPr>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Operating lease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Finance lease</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6.4%</w:t>
            </w:r>
          </w:p>
        </w:tc>
      </w:tr>
      <w:tr>
        <w:trPr>
          <w:trHeight w:val="459"/>
        </w:trPr>
        <w:tc>
          <w:tcPr>
            <w:tcW w:w="802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8020" w:type="dxa"/>
            <w:vAlign w:val="bottom"/>
          </w:tcPr>
          <w:p>
            <w:pPr>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Operating</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Finance</w:t>
            </w:r>
          </w:p>
        </w:tc>
      </w:tr>
      <w:tr>
        <w:trPr>
          <w:trHeight w:val="244"/>
        </w:trPr>
        <w:tc>
          <w:tcPr>
            <w:tcW w:w="8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Lease</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Lease</w:t>
            </w:r>
          </w:p>
        </w:tc>
      </w:tr>
      <w:tr>
        <w:trPr>
          <w:trHeight w:val="210"/>
        </w:trPr>
        <w:tc>
          <w:tcPr>
            <w:tcW w:w="8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2020 (excluding the six months ended June 30, 2020)</w:t>
            </w:r>
          </w:p>
        </w:tc>
        <w:tc>
          <w:tcPr>
            <w:tcW w:w="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gridSpan w:val="2"/>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1,170</w:t>
            </w: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992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802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19,525</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(219)</w:t>
            </w:r>
          </w:p>
        </w:tc>
      </w:tr>
      <w:tr>
        <w:trPr>
          <w:trHeight w:val="223"/>
        </w:trPr>
        <w:tc>
          <w:tcPr>
            <w:tcW w:w="80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15,308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gridSpan w:val="2"/>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Operating lease cost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Finance lease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20" w:type="dxa"/>
            <w:vAlign w:val="bottom"/>
            <w:gridSpan w:val="5"/>
          </w:tcPr>
          <w:p>
            <w:pPr>
              <w:jc w:val="center"/>
              <w:ind w:left="378"/>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5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r>
      <w:tr>
        <w:trPr>
          <w:trHeight w:val="195"/>
        </w:trPr>
        <w:tc>
          <w:tcPr>
            <w:tcW w:w="900" w:type="dxa"/>
            <w:vAlign w:val="bottom"/>
          </w:tcPr>
          <w:p>
            <w:pPr>
              <w:spacing w:after="0"/>
              <w:rPr>
                <w:sz w:val="16"/>
                <w:szCs w:val="16"/>
                <w:color w:val="auto"/>
              </w:rPr>
            </w:pPr>
          </w:p>
        </w:tc>
        <w:tc>
          <w:tcPr>
            <w:tcW w:w="1720" w:type="dxa"/>
            <w:vAlign w:val="bottom"/>
            <w:gridSpan w:val="4"/>
          </w:tcPr>
          <w:p>
            <w:pPr>
              <w:jc w:val="center"/>
              <w:ind w:right="370"/>
              <w:spacing w:after="0" w:line="195" w:lineRule="exact"/>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4"/>
          </w:tcPr>
          <w:p>
            <w:pPr>
              <w:jc w:val="center"/>
              <w:ind w:left="53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6"/>
                <w:szCs w:val="16"/>
                <w:color w:val="auto"/>
              </w:rPr>
            </w:pPr>
          </w:p>
        </w:tc>
      </w:tr>
      <w:tr>
        <w:trPr>
          <w:trHeight w:val="230"/>
        </w:trPr>
        <w:tc>
          <w:tcPr>
            <w:tcW w:w="900" w:type="dxa"/>
            <w:vAlign w:val="bottom"/>
          </w:tcPr>
          <w:p>
            <w:pPr>
              <w:jc w:val="right"/>
              <w:ind w:right="738"/>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1,885</w:t>
            </w:r>
          </w:p>
        </w:tc>
        <w:tc>
          <w:tcPr>
            <w:tcW w:w="10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1,886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3,769</w:t>
            </w: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3,775</w:t>
            </w:r>
          </w:p>
        </w:tc>
      </w:tr>
      <w:tr>
        <w:trPr>
          <w:trHeight w:val="230"/>
        </w:trPr>
        <w:tc>
          <w:tcPr>
            <w:tcW w:w="9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1,930</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-462280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796" w:right="33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20" w:type="dxa"/>
            <w:vAlign w:val="bottom"/>
            <w:gridSpan w:val="3"/>
          </w:tcPr>
          <w:p>
            <w:pPr>
              <w:jc w:val="center"/>
              <w:ind w:left="376"/>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Cash paid for amounts included in the measurement of</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7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jc w:val="center"/>
              <w:ind w:right="370"/>
              <w:spacing w:after="0" w:line="177" w:lineRule="exact"/>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2"/>
          </w:tcPr>
          <w:p>
            <w:pPr>
              <w:jc w:val="center"/>
              <w:ind w:left="530"/>
              <w:spacing w:after="0" w:line="177" w:lineRule="exact"/>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shd w:val="clear" w:color="auto" w:fill="EEEEEE"/>
          </w:tcPr>
          <w:p>
            <w:pPr>
              <w:jc w:val="right"/>
              <w:ind w:right="73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97"/>
              </w:rPr>
              <w:t>1,932</w:t>
            </w:r>
          </w:p>
        </w:tc>
        <w:tc>
          <w:tcPr>
            <w:tcW w:w="1080" w:type="dxa"/>
            <w:vAlign w:val="bottom"/>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1,890</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3,858</w:t>
            </w:r>
          </w:p>
        </w:tc>
        <w:tc>
          <w:tcPr>
            <w:tcW w:w="60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90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248</w:t>
            </w:r>
          </w:p>
        </w:tc>
        <w:tc>
          <w:tcPr>
            <w:tcW w:w="10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481</w:t>
            </w: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9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45</w:t>
            </w:r>
          </w:p>
        </w:tc>
        <w:tc>
          <w:tcPr>
            <w:tcW w:w="10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91</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For the three and six months ended June 30, 2020, we recorded stock-based compensation costs in the amount of $412,000 and $898,000, respectively. These stock-based compensation costs were $481,000 and $1.1 million for the three and six months ended June 30, 2019. As of June 30, 2020, unrecognized stock-based compensation costs to be recognized over future periods equaled $4.2 million. This amount will be recognized as expense over a weighted-average period of 2.6 years.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represents stock option activity for the six months ended June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3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3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Shares (in</w:t>
            </w: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Average Exercise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5300" w:type="dxa"/>
            <w:vAlign w:val="bottom"/>
          </w:tcPr>
          <w:p>
            <w:pPr>
              <w:spacing w:after="0"/>
              <w:rPr>
                <w:sz w:val="20"/>
                <w:szCs w:val="20"/>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thousands)</w:t>
            </w:r>
          </w:p>
        </w:tc>
        <w:tc>
          <w:tcPr>
            <w:tcW w:w="22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r>
      <w:tr>
        <w:trPr>
          <w:trHeight w:val="210"/>
        </w:trPr>
        <w:tc>
          <w:tcPr>
            <w:tcW w:w="53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15,348</w:t>
            </w:r>
          </w:p>
        </w:tc>
        <w:tc>
          <w:tcPr>
            <w:tcW w:w="3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center"/>
              <w:ind w:left="3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2.47</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53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1.76</w:t>
            </w:r>
          </w:p>
        </w:tc>
        <w:tc>
          <w:tcPr>
            <w:tcW w:w="14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5.48</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rPr>
              <w:t>N/A</w:t>
            </w:r>
          </w:p>
        </w:tc>
      </w:tr>
      <w:tr>
        <w:trPr>
          <w:trHeight w:val="223"/>
        </w:trPr>
        <w:tc>
          <w:tcPr>
            <w:tcW w:w="53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16,528</w:t>
            </w:r>
          </w:p>
        </w:tc>
        <w:tc>
          <w:tcPr>
            <w:tcW w:w="300" w:type="dxa"/>
            <w:vAlign w:val="bottom"/>
            <w:tcBorders>
              <w:top w:val="single" w:sz="8" w:color="EEEEEE"/>
            </w:tcBorders>
            <w:shd w:val="clear" w:color="auto" w:fill="EEEEEE"/>
          </w:tcPr>
          <w:p>
            <w:pPr>
              <w:spacing w:after="0"/>
              <w:rPr>
                <w:sz w:val="19"/>
                <w:szCs w:val="19"/>
                <w:color w:val="auto"/>
              </w:rPr>
            </w:pPr>
          </w:p>
        </w:tc>
        <w:tc>
          <w:tcPr>
            <w:tcW w:w="220" w:type="dxa"/>
            <w:vAlign w:val="bottom"/>
            <w:tcBorders>
              <w:top w:val="single" w:sz="8" w:color="EEEEEE"/>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4.42</w:t>
            </w:r>
          </w:p>
        </w:tc>
        <w:tc>
          <w:tcPr>
            <w:tcW w:w="1460" w:type="dxa"/>
            <w:vAlign w:val="bottom"/>
            <w:tcBorders>
              <w:top w:val="single" w:sz="8" w:color="EEEEEE"/>
            </w:tcBorders>
            <w:gridSpan w:val="2"/>
            <w:shd w:val="clear" w:color="auto" w:fill="EEEEEE"/>
          </w:tcPr>
          <w:p>
            <w:pPr>
              <w:jc w:val="center"/>
              <w:spacing w:after="0"/>
              <w:rPr>
                <w:sz w:val="20"/>
                <w:szCs w:val="20"/>
                <w:color w:val="auto"/>
              </w:rPr>
            </w:pPr>
            <w:r>
              <w:rPr>
                <w:rFonts w:ascii="Arial" w:cs="Arial" w:eastAsia="Arial" w:hAnsi="Arial"/>
                <w:sz w:val="18"/>
                <w:szCs w:val="18"/>
                <w:color w:val="auto"/>
                <w:w w:val="87"/>
              </w:rPr>
              <w:t>3.31 years</w:t>
            </w:r>
          </w:p>
        </w:tc>
      </w:tr>
      <w:tr>
        <w:trPr>
          <w:trHeight w:val="20"/>
        </w:trPr>
        <w:tc>
          <w:tcPr>
            <w:tcW w:w="53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12,535</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4.81</w:t>
            </w:r>
          </w:p>
        </w:tc>
        <w:tc>
          <w:tcPr>
            <w:tcW w:w="14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7"/>
              </w:rPr>
              <w:t>2.45 years</w:t>
            </w:r>
          </w:p>
        </w:tc>
      </w:tr>
      <w:tr>
        <w:trPr>
          <w:trHeight w:val="20"/>
        </w:trPr>
        <w:tc>
          <w:tcPr>
            <w:tcW w:w="53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At June 30, 2020, the aggregate intrinsic value of options outstanding and exercisable was $3.5 million and $3.0 million, respectively. There were 256,600 options exercised for the six months ended June 30, 2020 compared to 482,500 for the comparable period in 2019. The total intrinsic value of options exercised was $285,000 and $1.4 million for the six-month periods ended June 30, 2020 and 2019. There were 21,000 shares available for future stock option grants under existing plans as of June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describes the purchase of our common stock for the six-month ended June 30, 2020 and 2019:</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Shares redeemed upon net exercise of stock options Other purchases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4"/>
          </w:tcPr>
          <w:p>
            <w:pPr>
              <w:ind w:left="58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400" w:type="dxa"/>
            <w:vAlign w:val="bottom"/>
            <w:gridSpan w:val="5"/>
          </w:tcPr>
          <w:p>
            <w:pPr>
              <w:ind w:left="1000"/>
              <w:spacing w:after="0"/>
              <w:rPr>
                <w:sz w:val="20"/>
                <w:szCs w:val="20"/>
                <w:color w:val="auto"/>
              </w:rPr>
            </w:pPr>
            <w:r>
              <w:rPr>
                <w:rFonts w:ascii="Arial" w:cs="Arial" w:eastAsia="Arial" w:hAnsi="Arial"/>
                <w:sz w:val="18"/>
                <w:szCs w:val="18"/>
                <w:b w:val="1"/>
                <w:bCs w:val="1"/>
                <w:color w:val="auto"/>
              </w:rPr>
              <w:t>June 30, 2020</w:t>
            </w:r>
          </w:p>
        </w:tc>
        <w:tc>
          <w:tcPr>
            <w:tcW w:w="3020" w:type="dxa"/>
            <w:vAlign w:val="bottom"/>
            <w:gridSpan w:val="6"/>
          </w:tcPr>
          <w:p>
            <w:pPr>
              <w:ind w:left="980"/>
              <w:spacing w:after="0"/>
              <w:rPr>
                <w:sz w:val="20"/>
                <w:szCs w:val="20"/>
                <w:color w:val="auto"/>
              </w:rPr>
            </w:pPr>
            <w:r>
              <w:rPr>
                <w:rFonts w:ascii="Arial" w:cs="Arial" w:eastAsia="Arial" w:hAnsi="Arial"/>
                <w:sz w:val="18"/>
                <w:szCs w:val="18"/>
                <w:b w:val="1"/>
                <w:bCs w:val="1"/>
                <w:color w:val="auto"/>
              </w:rPr>
              <w:t>June 30, 2019</w:t>
            </w:r>
          </w:p>
        </w:tc>
      </w:tr>
      <w:tr>
        <w:trPr>
          <w:trHeight w:val="223"/>
        </w:trPr>
        <w:tc>
          <w:tcPr>
            <w:tcW w:w="170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Avg. Price</w:t>
            </w:r>
          </w:p>
        </w:tc>
        <w:tc>
          <w:tcPr>
            <w:tcW w:w="20" w:type="dxa"/>
            <w:vAlign w:val="bottom"/>
          </w:tcPr>
          <w:p>
            <w:pPr>
              <w:spacing w:after="0"/>
              <w:rPr>
                <w:sz w:val="19"/>
                <w:szCs w:val="19"/>
                <w:color w:val="auto"/>
              </w:rPr>
            </w:pPr>
          </w:p>
        </w:tc>
      </w:tr>
      <w:tr>
        <w:trPr>
          <w:trHeight w:val="195"/>
        </w:trPr>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25,113</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2.85</w:t>
            </w:r>
          </w:p>
        </w:tc>
        <w:tc>
          <w:tcPr>
            <w:tcW w:w="3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335,546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3.95</w:t>
            </w:r>
          </w:p>
        </w:tc>
        <w:tc>
          <w:tcPr>
            <w:tcW w:w="20" w:type="dxa"/>
            <w:vAlign w:val="bottom"/>
          </w:tcPr>
          <w:p>
            <w:pPr>
              <w:spacing w:after="0"/>
              <w:rPr>
                <w:sz w:val="16"/>
                <w:szCs w:val="16"/>
                <w:color w:val="auto"/>
              </w:rPr>
            </w:pPr>
          </w:p>
        </w:tc>
      </w:tr>
      <w:tr>
        <w:trPr>
          <w:trHeight w:val="230"/>
        </w:trPr>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46,909</w:t>
            </w: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18,424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r>
      <w:tr>
        <w:trPr>
          <w:trHeight w:val="230"/>
        </w:trPr>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24,500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72,022</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378,470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020" w:space="720"/>
            <w:col w:w="6500"/>
          </w:cols>
          <w:pgMar w:left="320" w:top="796" w:right="339" w:bottom="1440" w:gutter="0" w:footer="0" w:header="0"/>
          <w:type w:val="continuous"/>
        </w:sectPr>
      </w:pPr>
    </w:p>
    <w:p>
      <w:pPr>
        <w:spacing w:after="0" w:line="2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2020,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which changes the criteria under which credit losses on financial instruments (such as the Company’s finance receivables) are measured. ASU 2016-3 introduces a new credit reserving model known as the Current Expected Credit Loss (“CECL”) model, which replaces the incurred loss impairment methodology previously used under U.S. GAAP with a methodology that records currently the expected lifetime credit losses on financial instruments. To establish such lifetime credit loss estimates, consideration of a broadened range of reasonable and supportable information to establish credit loss estimates is required. ASU 2016-13 was initially scheduled to become effective for interim and annual reporting periods beginning after December 15, 2019, however on October 16, 2019, the FASB changed the effective date for smaller reporting companies to interim and annual reporting periods beginning after December 15, 2022, with early adoption permitted.</w:t>
      </w:r>
    </w:p>
    <w:p>
      <w:pPr>
        <w:spacing w:after="0" w:line="19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Effective January 1, 2020, the Company adopted the CECL model.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 and not a current period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w:t>
      </w:r>
    </w:p>
    <w:p>
      <w:pPr>
        <w:spacing w:after="0" w:line="1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Results for the six-month period ending June 30, 2020 include the estimated potential effect on credit performance resulting from the pandemic. We recorded a $6.7 million charge to the provision for credit losses for the legacy portfolio accounted for under CECL and a $19.9 million mark down to the recorded value of the finance receivables measured at fair value.</w:t>
      </w:r>
    </w:p>
    <w:p>
      <w:pPr>
        <w:spacing w:after="0" w:line="1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pandemic itself, if sufficient numbers of people were to be afflicted, could cause obligors under our automobile contracts to be unable to pay their contractual obligations. As the future course of the COVID-19 pandemic is as yet unknown, its direct effect on future obligor payments is likewise uncertain.</w:t>
      </w:r>
    </w:p>
    <w:p>
      <w:pPr>
        <w:spacing w:after="0" w:line="184"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The mandatory shutdown of large portions of the United States economy pursuant to emergency restrictions has impaired and will impair the ability of obligors under our automobile contracts to pay their contractual obligations. The extent to which that ability will be impaired, and the extent to which public ameliorative measures such as stimulus payments and enhanced unemployment benefits may restore such ability, cannot be estimated.</w:t>
      </w:r>
    </w:p>
    <w:p>
      <w:pPr>
        <w:spacing w:after="0" w:line="14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w:t>
      </w:r>
      <w:r>
        <w:rPr>
          <w:rFonts w:ascii="Arial" w:cs="Arial" w:eastAsia="Arial" w:hAnsi="Arial"/>
          <w:sz w:val="18"/>
          <w:szCs w:val="18"/>
          <w:color w:val="323232"/>
        </w:rPr>
        <w:t>ignificant changes in any of those inputs, which in turn may have a significant</w:t>
      </w:r>
      <w:r>
        <w:rPr>
          <w:rFonts w:ascii="Arial" w:cs="Arial" w:eastAsia="Arial" w:hAnsi="Arial"/>
          <w:sz w:val="18"/>
          <w:szCs w:val="18"/>
          <w:color w:val="auto"/>
        </w:rPr>
        <w:t xml:space="preserve"> </w:t>
      </w:r>
      <w:r>
        <w:rPr>
          <w:rFonts w:ascii="Arial" w:cs="Arial" w:eastAsia="Arial" w:hAnsi="Arial"/>
          <w:sz w:val="18"/>
          <w:szCs w:val="18"/>
          <w:color w:val="323232"/>
        </w:rPr>
        <w:t>effect on our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668,449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895,566</w:t>
            </w:r>
          </w:p>
        </w:tc>
        <w:tc>
          <w:tcPr>
            <w:tcW w:w="100" w:type="dxa"/>
            <w:vAlign w:val="bottom"/>
          </w:tcPr>
          <w:p>
            <w:pPr>
              <w:spacing w:after="0"/>
              <w:rPr>
                <w:sz w:val="18"/>
                <w:szCs w:val="18"/>
                <w:color w:val="auto"/>
              </w:rPr>
            </w:pPr>
          </w:p>
        </w:tc>
      </w:tr>
      <w:tr>
        <w:trPr>
          <w:trHeight w:val="229"/>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Unearned acquisition fees and originations costs</w:t>
            </w:r>
          </w:p>
        </w:tc>
        <w:tc>
          <w:tcPr>
            <w:tcW w:w="2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669,772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897,530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June 30, 2020 and December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09"/>
        </w:trPr>
        <w:tc>
          <w:tcPr>
            <w:tcW w:w="2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5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553,523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669,937</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50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55,498</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107,951</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5060" w:type="dxa"/>
            <w:vAlign w:val="bottom"/>
          </w:tcPr>
          <w:p>
            <w:pPr>
              <w:ind w:left="20"/>
              <w:spacing w:after="0"/>
              <w:rPr>
                <w:sz w:val="20"/>
                <w:szCs w:val="20"/>
                <w:color w:val="auto"/>
              </w:rPr>
            </w:pPr>
            <w:r>
              <w:rPr>
                <w:rFonts w:ascii="Arial" w:cs="Arial" w:eastAsia="Arial" w:hAnsi="Arial"/>
                <w:sz w:val="18"/>
                <w:szCs w:val="18"/>
                <w:color w:val="auto"/>
              </w:rPr>
              <w:t>- 90 days</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23,199</w:t>
            </w: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57,395</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50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8,464</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31,350</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Repo</w:t>
            </w:r>
          </w:p>
        </w:tc>
        <w:tc>
          <w:tcPr>
            <w:tcW w:w="2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27,765</w:t>
            </w:r>
          </w:p>
        </w:tc>
        <w:tc>
          <w:tcPr>
            <w:tcW w:w="1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28,933</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50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668,449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895,566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Finance receivables totaling $8.5 million and $31.4 million at June 30, 2020 and December 31, 2019, respectively, including all receivables greater than 90 days delinquent, have been placed on non-accrual status as a result of their delinquency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4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The data reflect the effect on vintage pools of past events as well as more recent events reflecting current conditions.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amortized cost basis of our finance receivables by annual vintage as of June 30, 2020 and December 31, 2019.</w:t>
      </w:r>
    </w:p>
    <w:p>
      <w:pPr>
        <w:spacing w:after="0" w:line="233"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80" w:type="dxa"/>
            <w:vAlign w:val="bottom"/>
            <w:gridSpan w:val="3"/>
            <w:vMerge w:val="restart"/>
          </w:tcPr>
          <w:p>
            <w:pPr>
              <w:jc w:val="right"/>
              <w:ind w:right="1287"/>
              <w:spacing w:after="0"/>
              <w:rPr>
                <w:sz w:val="20"/>
                <w:szCs w:val="20"/>
                <w:color w:val="auto"/>
              </w:rPr>
            </w:pPr>
            <w:r>
              <w:rPr>
                <w:rFonts w:ascii="Arial" w:cs="Arial" w:eastAsia="Arial" w:hAnsi="Arial"/>
                <w:sz w:val="18"/>
                <w:szCs w:val="18"/>
                <w:color w:val="auto"/>
                <w:w w:val="91"/>
              </w:rPr>
              <w:t>Annual Vintage Pool</w:t>
            </w:r>
          </w:p>
        </w:tc>
        <w:tc>
          <w:tcPr>
            <w:tcW w:w="28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8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w w:val="79"/>
              </w:rPr>
              <w:t>2012</w:t>
            </w:r>
          </w:p>
        </w:tc>
        <w:tc>
          <w:tcPr>
            <w:tcW w:w="2880" w:type="dxa"/>
            <w:vAlign w:val="bottom"/>
            <w:gridSpan w:val="3"/>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1,312</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jc w:val="right"/>
              <w:ind w:right="470"/>
              <w:spacing w:after="0"/>
              <w:rPr>
                <w:sz w:val="20"/>
                <w:szCs w:val="20"/>
                <w:color w:val="auto"/>
              </w:rPr>
            </w:pPr>
            <w:r>
              <w:rPr>
                <w:rFonts w:ascii="Arial" w:cs="Arial" w:eastAsia="Arial" w:hAnsi="Arial"/>
                <w:sz w:val="18"/>
                <w:szCs w:val="18"/>
                <w:color w:val="auto"/>
                <w:w w:val="79"/>
              </w:rPr>
              <w:t>2013</w:t>
            </w: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w w:val="79"/>
              </w:rPr>
              <w:t>2014</w:t>
            </w:r>
          </w:p>
        </w:tc>
        <w:tc>
          <w:tcPr>
            <w:tcW w:w="15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41,225</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61,290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jc w:val="right"/>
              <w:ind w:right="470"/>
              <w:spacing w:after="0"/>
              <w:rPr>
                <w:sz w:val="20"/>
                <w:szCs w:val="20"/>
                <w:color w:val="auto"/>
              </w:rPr>
            </w:pPr>
            <w:r>
              <w:rPr>
                <w:rFonts w:ascii="Arial" w:cs="Arial" w:eastAsia="Arial" w:hAnsi="Arial"/>
                <w:sz w:val="18"/>
                <w:szCs w:val="18"/>
                <w:color w:val="auto"/>
                <w:w w:val="79"/>
              </w:rPr>
              <w:t>2015</w:t>
            </w: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122,363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w w:val="79"/>
              </w:rPr>
              <w:t>2016</w:t>
            </w:r>
          </w:p>
        </w:tc>
        <w:tc>
          <w:tcPr>
            <w:tcW w:w="15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228,234</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292,360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0" w:type="dxa"/>
            <w:vAlign w:val="bottom"/>
            <w:tcBorders>
              <w:bottom w:val="single" w:sz="8" w:color="EEEEEE"/>
            </w:tcBorders>
          </w:tcPr>
          <w:p>
            <w:pPr>
              <w:jc w:val="right"/>
              <w:ind w:right="470"/>
              <w:spacing w:after="0"/>
              <w:rPr>
                <w:sz w:val="20"/>
                <w:szCs w:val="20"/>
                <w:color w:val="auto"/>
              </w:rPr>
            </w:pPr>
            <w:r>
              <w:rPr>
                <w:rFonts w:ascii="Arial" w:cs="Arial" w:eastAsia="Arial" w:hAnsi="Arial"/>
                <w:sz w:val="18"/>
                <w:szCs w:val="18"/>
                <w:color w:val="auto"/>
                <w:w w:val="79"/>
              </w:rPr>
              <w:t>2017</w:t>
            </w:r>
          </w:p>
        </w:tc>
        <w:tc>
          <w:tcPr>
            <w:tcW w:w="1520" w:type="dxa"/>
            <w:vAlign w:val="bottom"/>
            <w:tcBorders>
              <w:bottom w:val="single" w:sz="8" w:color="EEEEEE"/>
            </w:tcBorders>
          </w:tcPr>
          <w:p>
            <w:pPr>
              <w:spacing w:after="0"/>
              <w:rPr>
                <w:sz w:val="19"/>
                <w:szCs w:val="19"/>
                <w:color w:val="auto"/>
              </w:rPr>
            </w:pPr>
          </w:p>
        </w:tc>
        <w:tc>
          <w:tcPr>
            <w:tcW w:w="11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266,258</w:t>
            </w:r>
          </w:p>
        </w:tc>
        <w:tc>
          <w:tcPr>
            <w:tcW w:w="30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361,753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Borders>
              <w:bottom w:val="single" w:sz="8" w:color="EEEEEE"/>
            </w:tcBorders>
            <w:shd w:val="clear" w:color="auto" w:fill="EEEEEE"/>
          </w:tcPr>
          <w:p>
            <w:pPr>
              <w:spacing w:after="0"/>
              <w:rPr>
                <w:sz w:val="19"/>
                <w:szCs w:val="19"/>
                <w:color w:val="auto"/>
              </w:rPr>
            </w:pPr>
          </w:p>
        </w:tc>
        <w:tc>
          <w:tcPr>
            <w:tcW w:w="15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668,449</w:t>
            </w:r>
          </w:p>
        </w:tc>
        <w:tc>
          <w:tcPr>
            <w:tcW w:w="3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895,566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At the adoption of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84"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In consideration of the uncertainty associated with the pandemic, the Company made additional provision for credit losses on finance receivables for the for the three-month and six-month periods ended June 30, 2020, in the amounts of $3.1 million and $6.7 million, respectively.</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9"/>
                <w:szCs w:val="19"/>
                <w:color w:val="auto"/>
              </w:rPr>
            </w:pPr>
          </w:p>
        </w:tc>
        <w:tc>
          <w:tcPr>
            <w:tcW w:w="28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114,073</w:t>
            </w:r>
          </w:p>
        </w:tc>
        <w:tc>
          <w:tcPr>
            <w:tcW w:w="58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48,196</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11,640</w:t>
            </w:r>
          </w:p>
        </w:tc>
        <w:tc>
          <w:tcPr>
            <w:tcW w:w="440" w:type="dxa"/>
            <w:vAlign w:val="bottom"/>
            <w:gridSpan w:val="2"/>
            <w:shd w:val="clear" w:color="auto" w:fill="EEEEEE"/>
          </w:tcPr>
          <w:p>
            <w:pPr>
              <w:jc w:val="right"/>
              <w:ind w:right="30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67,376</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Early adoption of CECL</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127,000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 on finance receivables</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3,100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20,489</w:t>
            </w:r>
          </w:p>
        </w:tc>
        <w:tc>
          <w:tcPr>
            <w:tcW w:w="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6,713</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44,445</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Charge-offs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(23,308)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(50,409)</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(57,522)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(102,919)</w:t>
            </w: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Recoveries</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4,737</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14,388</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10,771</w:t>
            </w: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23,762</w:t>
            </w:r>
          </w:p>
        </w:tc>
        <w:tc>
          <w:tcPr>
            <w:tcW w:w="80" w:type="dxa"/>
            <w:vAlign w:val="bottom"/>
            <w:shd w:val="clear" w:color="auto" w:fill="EEEEEE"/>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32,664</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98,602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10"/>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27,765</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28,933</w:t>
            </w: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2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(23,109)</w:t>
            </w:r>
          </w:p>
        </w:tc>
        <w:tc>
          <w:tcPr>
            <w:tcW w:w="1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(21,389)</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4,656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7,544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Final</w:t>
            </w: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Receivables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Scheduled</w:t>
            </w:r>
          </w:p>
        </w:tc>
        <w:tc>
          <w:tcPr>
            <w:tcW w:w="9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Pledged at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Interest Rate at</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Payment</w:t>
            </w:r>
          </w:p>
        </w:tc>
        <w:tc>
          <w:tcPr>
            <w:tcW w:w="9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Initial</w:t>
            </w:r>
          </w:p>
        </w:tc>
        <w:tc>
          <w:tcPr>
            <w:tcW w:w="1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1940" w:type="dxa"/>
            <w:vAlign w:val="bottom"/>
            <w:gridSpan w:val="2"/>
          </w:tcPr>
          <w:p>
            <w:pPr>
              <w:ind w:left="680"/>
              <w:spacing w:after="0"/>
              <w:rPr>
                <w:sz w:val="20"/>
                <w:szCs w:val="20"/>
                <w:color w:val="auto"/>
              </w:rPr>
            </w:pPr>
            <w:r>
              <w:rPr>
                <w:rFonts w:ascii="Arial" w:cs="Arial" w:eastAsia="Arial" w:hAnsi="Arial"/>
                <w:sz w:val="18"/>
                <w:szCs w:val="18"/>
                <w:b w:val="1"/>
                <w:bCs w:val="1"/>
                <w:color w:val="auto"/>
              </w:rPr>
              <w:t>Series</w:t>
            </w:r>
          </w:p>
        </w:tc>
        <w:tc>
          <w:tcPr>
            <w:tcW w:w="2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Date (1)</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2020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Principal</w:t>
            </w:r>
          </w:p>
        </w:tc>
        <w:tc>
          <w:tcPr>
            <w:tcW w:w="1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(Dollars in thousands)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2014-C</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December 2021</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273,000</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19,758</w:t>
            </w:r>
          </w:p>
        </w:tc>
        <w:tc>
          <w:tcPr>
            <w:tcW w:w="1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2014-D</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March 2022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17,002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267,500</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15,647</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23,755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2015-A</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June 2022</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18,894</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245,000</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17,301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26,713</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2015-B</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September 2022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26,444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26,142</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36,338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2015-C</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December 2022</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39,594</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39,739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53,579</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2016-A</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March 2023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50,410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329,460</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53,801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71,599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2016-B</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June 2023</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62,854</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332,690</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62,967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82,667</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2016-C</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September 2023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64,356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318,500</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63,748</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83,696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2016-D</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April 2024</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51,487</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206,325</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49,635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65,021</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2017-A</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April 2024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57,147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206,320</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54,980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71,450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2017-B</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December 2023</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70,008</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225,170</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56,243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76,201</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2017-C</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September 2024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72,442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224,825</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61,597</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80,315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2017-D</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June 2024</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74,749</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196,300</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64,292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83,801</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2018-A</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March 2025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80,427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190,000</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70,616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91,258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2018-B</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December 2024</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94,479</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201,823</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86,861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111,188</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2018-C</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September 2025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111,494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230,275</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100,415</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130,064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2018-D</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June 2025</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131,159</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233,730</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115,229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149,470</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2019-A</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March 2026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164,744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254,400</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147,634</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186,900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2019-B</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June 2026</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159,841</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228,275</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150,112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184,308</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2019-C</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September 2026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186,160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243,513</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177,905</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216,650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2019-D</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December 2026</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232,484</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274,313</w:t>
            </w: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223,234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265,035</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CPS 2020-A</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March 2027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232,307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260,000</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228,045</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2020-B</w:t>
            </w:r>
          </w:p>
        </w:tc>
        <w:tc>
          <w:tcPr>
            <w:tcW w:w="20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June 2027</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216,306</w:t>
            </w:r>
          </w:p>
        </w:tc>
        <w:tc>
          <w:tcPr>
            <w:tcW w:w="2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202,343</w:t>
            </w:r>
          </w:p>
        </w:tc>
        <w:tc>
          <w:tcPr>
            <w:tcW w:w="1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197,023</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$ 2,214,788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5,693,762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2,063,166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2,109,766</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65" w:lineRule="auto"/>
        <w:tabs>
          <w:tab w:leader="none" w:pos="3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$418.1 million in 2020, $664.0 million in 2021, $450.7 million in 2022, $369.3 million in 2023, $80.9 million in 2024, $65.2 million in 2025, and $3.0 million in 2026.</w:t>
      </w: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1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Debt issuance costs of $12.0 million as of June 30, 2020 and December 31, 2019 have been excluded from the table above. These debt issuance costs are presented as a direct deduction to the carrying amount of the securitization trust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June 30, 2020, we were in compliance with all such covenants.</w:t>
      </w:r>
    </w:p>
    <w:p>
      <w:pPr>
        <w:spacing w:after="0" w:line="16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2020, restricted cash under the various agreements totaled approximately $146.7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7"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6"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and amounts of our other debt outstanding at June 30, 2020 and December 31, 2019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6"/>
          </w:tcPr>
          <w:p>
            <w:pPr>
              <w:ind w:left="36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160" w:type="dxa"/>
            <w:vAlign w:val="bottom"/>
            <w:gridSpan w:val="2"/>
            <w:vMerge w:val="restart"/>
          </w:tcPr>
          <w:p>
            <w:pPr>
              <w:ind w:left="1060"/>
              <w:spacing w:after="0"/>
              <w:rPr>
                <w:sz w:val="20"/>
                <w:szCs w:val="20"/>
                <w:color w:val="auto"/>
              </w:rPr>
            </w:pPr>
            <w:r>
              <w:rPr>
                <w:rFonts w:ascii="Arial" w:cs="Arial" w:eastAsia="Arial" w:hAnsi="Arial"/>
                <w:sz w:val="18"/>
                <w:szCs w:val="18"/>
                <w:color w:val="auto"/>
              </w:rPr>
              <w:t>Description</w:t>
            </w:r>
          </w:p>
        </w:tc>
        <w:tc>
          <w:tcPr>
            <w:tcW w:w="25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Interest Rate</w:t>
            </w:r>
          </w:p>
        </w:tc>
        <w:tc>
          <w:tcPr>
            <w:tcW w:w="24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9"/>
                <w:szCs w:val="19"/>
                <w:color w:val="auto"/>
              </w:rPr>
            </w:pPr>
          </w:p>
        </w:tc>
        <w:tc>
          <w:tcPr>
            <w:tcW w:w="278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60" w:type="dxa"/>
            <w:vAlign w:val="bottom"/>
            <w:gridSpan w:val="2"/>
            <w:vMerge w:val="continue"/>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5.50% over one month Libor</w:t>
            </w:r>
          </w:p>
        </w:tc>
        <w:tc>
          <w:tcPr>
            <w:tcW w:w="2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4"/>
              </w:rPr>
              <w:t>(Minimum 6.50%)</w:t>
            </w: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February 2021</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15,871</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40,558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3.00% over one month Libor</w:t>
            </w:r>
          </w:p>
        </w:tc>
        <w:tc>
          <w:tcPr>
            <w:tcW w:w="2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4"/>
              </w:rPr>
              <w:t>(Minimum 3.75%)</w:t>
            </w: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7"/>
              </w:rPr>
              <w:t>September 2020</w:t>
            </w:r>
          </w:p>
        </w:tc>
        <w:tc>
          <w:tcPr>
            <w:tcW w:w="22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28,563</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96,225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4.00% over a commercial</w:t>
            </w:r>
          </w:p>
        </w:tc>
        <w:tc>
          <w:tcPr>
            <w:tcW w:w="2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paper rate (Minimum 5.00%)</w:t>
            </w: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December 2021</w:t>
            </w:r>
          </w:p>
        </w:tc>
        <w:tc>
          <w:tcPr>
            <w:tcW w:w="22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13,507</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8.60%</w:t>
            </w:r>
          </w:p>
        </w:tc>
        <w:tc>
          <w:tcPr>
            <w:tcW w:w="24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7"/>
              </w:rPr>
              <w:t>January 2026</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37,881</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9"/>
              </w:rPr>
              <w:t>Weighted average rate of</w:t>
            </w:r>
          </w:p>
        </w:tc>
        <w:tc>
          <w:tcPr>
            <w:tcW w:w="2480" w:type="dxa"/>
            <w:vAlign w:val="bottom"/>
            <w:gridSpan w:val="2"/>
            <w:shd w:val="clear" w:color="auto" w:fill="EEEEEE"/>
          </w:tcPr>
          <w:p>
            <w:pPr>
              <w:jc w:val="center"/>
              <w:ind w:right="260"/>
              <w:spacing w:after="0" w:line="201" w:lineRule="exact"/>
              <w:rPr>
                <w:sz w:val="20"/>
                <w:szCs w:val="20"/>
                <w:color w:val="auto"/>
              </w:rPr>
            </w:pPr>
            <w:r>
              <w:rPr>
                <w:rFonts w:ascii="Arial" w:cs="Arial" w:eastAsia="Arial" w:hAnsi="Arial"/>
                <w:sz w:val="18"/>
                <w:szCs w:val="18"/>
                <w:color w:val="auto"/>
                <w:w w:val="91"/>
              </w:rPr>
              <w:t>Weighted average maturity of</w:t>
            </w: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10.36% and 9.75% at June 30,</w:t>
            </w: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1"/>
              </w:rPr>
              <w:t>July 2022 and April 2022 at</w:t>
            </w: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2020 and December 31, 2019 ,</w:t>
            </w: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7"/>
              </w:rPr>
              <w:t>June 30, 2020 and December</w:t>
            </w: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respectively</w:t>
            </w:r>
          </w:p>
        </w:tc>
        <w:tc>
          <w:tcPr>
            <w:tcW w:w="2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1"/>
              </w:rPr>
              <w:t>31, 2019, respectively</w:t>
            </w:r>
          </w:p>
        </w:tc>
        <w:tc>
          <w:tcPr>
            <w:tcW w:w="22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19,580</w:t>
            </w:r>
          </w:p>
        </w:tc>
        <w:tc>
          <w:tcPr>
            <w:tcW w:w="1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226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224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115,402</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194,317</w:t>
            </w:r>
          </w:p>
        </w:tc>
        <w:tc>
          <w:tcPr>
            <w:tcW w:w="0" w:type="dxa"/>
            <w:vAlign w:val="bottom"/>
          </w:tcPr>
          <w:p>
            <w:pPr>
              <w:spacing w:after="0"/>
              <w:rPr>
                <w:sz w:val="1"/>
                <w:szCs w:val="1"/>
                <w:color w:val="auto"/>
              </w:rPr>
            </w:pPr>
          </w:p>
        </w:tc>
      </w:tr>
      <w:tr>
        <w:trPr>
          <w:trHeight w:val="20"/>
        </w:trPr>
        <w:tc>
          <w:tcPr>
            <w:tcW w:w="29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2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2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Unamortized debt issuance costs of $429,000 and $522,000 as of June 30, 2020 and December 31, 2019, respectively, have been excluded from the amount reported above for residual interest financing. Similarly, unamortized debt issuance costs of $1.3 million and $2.0 million as of June 30, 2020 and December 31, 2019,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7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580" w:type="dxa"/>
            <w:vAlign w:val="bottom"/>
            <w:gridSpan w:val="5"/>
          </w:tcPr>
          <w:p>
            <w:pPr>
              <w:jc w:val="center"/>
              <w:ind w:left="418"/>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860" w:type="dxa"/>
            <w:vAlign w:val="bottom"/>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7"/>
              </w:rPr>
              <w:t>33,773</w:t>
            </w:r>
          </w:p>
        </w:tc>
        <w:tc>
          <w:tcPr>
            <w:tcW w:w="102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55,660</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71,580</w:t>
            </w:r>
          </w:p>
        </w:tc>
        <w:tc>
          <w:tcPr>
            <w:tcW w:w="58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117,950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8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41,659</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27,978</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82,465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50,793</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8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4"/>
              </w:rPr>
              <w:t>(9,549)</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(19,899)</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Other interest income</w:t>
            </w:r>
          </w:p>
        </w:tc>
        <w:tc>
          <w:tcPr>
            <w:tcW w:w="8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60" w:type="dxa"/>
            <w:vAlign w:val="bottom"/>
            <w:tcBorders>
              <w:top w:val="single" w:sz="8" w:color="auto"/>
              <w:bottom w:val="single" w:sz="8" w:color="auto"/>
            </w:tcBorders>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66,003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84,449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134,790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170,294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580" w:type="dxa"/>
            <w:vAlign w:val="bottom"/>
            <w:gridSpan w:val="5"/>
          </w:tcPr>
          <w:p>
            <w:pPr>
              <w:jc w:val="center"/>
              <w:ind w:left="418"/>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860" w:type="dxa"/>
            <w:vAlign w:val="bottom"/>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22,367</w:t>
            </w:r>
          </w:p>
        </w:tc>
        <w:tc>
          <w:tcPr>
            <w:tcW w:w="104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24,466</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46,165</w:t>
            </w:r>
          </w:p>
        </w:tc>
        <w:tc>
          <w:tcPr>
            <w:tcW w:w="60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48,454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2,675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1,960</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4,437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3,980</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955</w:t>
            </w:r>
          </w:p>
        </w:tc>
        <w:tc>
          <w:tcPr>
            <w:tcW w:w="2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1,857</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1,911</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860" w:type="dxa"/>
            <w:vAlign w:val="bottom"/>
            <w:tcBorders>
              <w:top w:val="single" w:sz="8" w:color="auto"/>
              <w:bottom w:val="single" w:sz="8" w:color="auto"/>
            </w:tcBorders>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26,485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27,703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53,476</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54,993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Earnings per share for the three-month and six-month periods ended June 30, 2020 and 2019 were calculated using the weighted average number of shares outstanding for the related period. The following table reconciles the number of shares used in the computations of basic and diluted earnings per share for the three-month and six-month periods ended June 30, 2020 and 2019:</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right="60" w:hanging="179"/>
        <w:spacing w:after="0" w:line="291" w:lineRule="auto"/>
        <w:rPr>
          <w:sz w:val="20"/>
          <w:szCs w:val="20"/>
          <w:color w:val="auto"/>
        </w:rPr>
      </w:pPr>
      <w:r>
        <w:rPr>
          <w:rFonts w:ascii="Arial" w:cs="Arial" w:eastAsia="Arial" w:hAnsi="Arial"/>
          <w:sz w:val="16"/>
          <w:szCs w:val="16"/>
          <w:color w:val="auto"/>
        </w:rPr>
        <w:t>Weighted average number of common shares outstanding during the period used to compute basic earnings per share</w:t>
      </w:r>
    </w:p>
    <w:p>
      <w:pPr>
        <w:ind w:left="180" w:right="560" w:hanging="179"/>
        <w:spacing w:after="0" w:line="250"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 w:lineRule="exact"/>
        <w:rPr>
          <w:sz w:val="20"/>
          <w:szCs w:val="20"/>
          <w:color w:val="auto"/>
        </w:rPr>
      </w:pPr>
    </w:p>
    <w:p>
      <w:pPr>
        <w:ind w:left="180" w:hanging="179"/>
        <w:spacing w:after="0" w:line="276"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58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r>
      <w:tr>
        <w:trPr>
          <w:trHeight w:val="22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r>
      <w:tr>
        <w:trPr>
          <w:trHeight w:val="228"/>
        </w:trPr>
        <w:tc>
          <w:tcPr>
            <w:tcW w:w="860" w:type="dxa"/>
            <w:vAlign w:val="bottom"/>
          </w:tcPr>
          <w:p>
            <w:pPr>
              <w:spacing w:after="0"/>
              <w:rPr>
                <w:sz w:val="19"/>
                <w:szCs w:val="19"/>
                <w:color w:val="auto"/>
              </w:rPr>
            </w:pPr>
          </w:p>
        </w:tc>
        <w:tc>
          <w:tcPr>
            <w:tcW w:w="17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9"/>
                <w:szCs w:val="19"/>
                <w:color w:val="auto"/>
              </w:rPr>
            </w:pPr>
          </w:p>
        </w:tc>
      </w:tr>
      <w:tr>
        <w:trPr>
          <w:trHeight w:val="414"/>
        </w:trPr>
        <w:tc>
          <w:tcPr>
            <w:tcW w:w="86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22,685</w:t>
            </w:r>
          </w:p>
        </w:tc>
        <w:tc>
          <w:tcPr>
            <w:tcW w:w="88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22,362</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22,612</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22,302</w:t>
            </w:r>
          </w:p>
        </w:tc>
      </w:tr>
      <w:tr>
        <w:trPr>
          <w:trHeight w:val="445"/>
        </w:trPr>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3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3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3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r>
      <w:tr>
        <w:trPr>
          <w:trHeight w:val="439"/>
        </w:trPr>
        <w:tc>
          <w:tcPr>
            <w:tcW w:w="86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23,687</w:t>
            </w:r>
          </w:p>
        </w:tc>
        <w:tc>
          <w:tcPr>
            <w:tcW w:w="88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23,978</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23,783</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24,119</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-873760</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-316865</wp:posOffset>
            </wp:positionV>
            <wp:extent cx="71323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260"/>
            <w:col w:w="6500"/>
          </w:cols>
          <w:pgMar w:left="320" w:top="796" w:right="339" w:bottom="1440" w:gutter="0" w:footer="0" w:header="0"/>
          <w:type w:val="continuous"/>
        </w:sectPr>
      </w:pPr>
    </w:p>
    <w:p>
      <w:pPr>
        <w:spacing w:after="0" w:line="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2020 would have included an additional 13.3 million and 13.1 million shares, respectively, attributable to the exercise of outstanding options and warrants. For the three-month and six-month periods ended June 30, 2019, an additional 10.7 million and 10.5 million shares, respectively, would be included in the diluted earnings per share calculation.</w:t>
      </w:r>
    </w:p>
    <w:p>
      <w:pPr>
        <w:spacing w:after="0" w:line="18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On March 27, 2020, the Coronavirus Aid, Relief and Economic Security (“CARES”) Act was adopted, providing wide ranging economic relief for individuals and businesses. One component of the CARES Act provides the Company with an opportunity to carry back net operating losses (“NOLs”) arising from 2018, 2019 and 2020 to the prior five tax years. The Company has such NOLs reflected on its balance sheet as a portion of deferred tax assets. The Company has previously valued its NOLs at the federal corporate income tax rate of 21%. However, the provisions of the CARES Act provide for NOL carryback claims to be calculated based on a rate of 35%, which was the federal corporate tax rate in effect for the carryback years. Consequently, the Company has revalued the benefit from its NOLs to reflect a 35% tax rate. The result of the revaluation of NOLs and other tax adjustments is a net tax benefit of $8.8 million, which is reflected in income taxes for the six-month period ending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As of June 30, 2020, and December 31, 2019,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9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$33.4 million as of June 30, 2020 is more likely than not based on forecasted future net earnings. Our net deferred tax asset of $33.4 million consists of approximately $22.1 million of net U.S. federal deferred tax assets and $11.3 million of net state deferred tax assets.</w:t>
      </w:r>
    </w:p>
    <w:p>
      <w:pPr>
        <w:spacing w:after="0" w:line="192"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Income tax expense was $1.7 million for the three months ended June 30, 2020. Income tax benefit was $6.0 million (6,009) for the six months ended June 30, 2020, which includes net tax benefits of $8.8 million. Excluding the tax benefit, income tax expense would have been $2.8 million for the six months ended June 30,2020, representing an effective income tax rate of 36%. For the prior year period, income tax expense was $970,000 and $1.9 million 1,907 for the three months and six months ended June 30, 2019 and represents an effective income tax rate of 35%.</w:t>
      </w:r>
    </w:p>
    <w:p>
      <w:pPr>
        <w:spacing w:after="0" w:line="17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i w:val="1"/>
          <w:iCs w:val="1"/>
          <w:color w:val="auto"/>
        </w:rPr>
        <w:t>Consumer Litigation</w:t>
      </w:r>
      <w:r>
        <w:rPr>
          <w:rFonts w:ascii="Arial" w:cs="Arial" w:eastAsia="Arial" w:hAnsi="Arial"/>
          <w:sz w:val="18"/>
          <w:szCs w:val="18"/>
          <w:color w:val="auto"/>
        </w:rPr>
        <w:t>. 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June 30, 2020,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June 30, 2020 is $250,000 (all of which is related to consumer claims), and that the range of reasonably possible losses for the legal proceedings and contingencies we face, including those described or identified above, as of June 30, 2020 does not exceed $3 million.</w:t>
      </w:r>
    </w:p>
    <w:p>
      <w:pPr>
        <w:spacing w:after="0" w:line="19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225" w:lineRule="exact"/>
        <w:rPr>
          <w:sz w:val="20"/>
          <w:szCs w:val="20"/>
          <w:color w:val="auto"/>
        </w:rPr>
      </w:pPr>
    </w:p>
    <w:p>
      <w:pPr>
        <w:jc w:val="both"/>
        <w:ind w:right="20" w:firstLine="360"/>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4"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6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Effective January 2018 we have elected to use the fair value method to value our portfolio of finance receivables acquired in January 2018 and thereafter.</w:t>
      </w:r>
    </w:p>
    <w:p>
      <w:pPr>
        <w:spacing w:after="0" w:line="1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Arial" w:cs="Arial" w:eastAsia="Arial" w:hAnsi="Arial"/>
          <w:sz w:val="18"/>
          <w:szCs w:val="18"/>
          <w:color w:val="323232"/>
        </w:rPr>
        <w:t>Significant changes in any of those inputs in isolation would have a significant effect on our fair value</w:t>
      </w:r>
      <w:r>
        <w:rPr>
          <w:rFonts w:ascii="Arial" w:cs="Arial" w:eastAsia="Arial" w:hAnsi="Arial"/>
          <w:sz w:val="18"/>
          <w:szCs w:val="18"/>
          <w:color w:val="auto"/>
        </w:rPr>
        <w:t xml:space="preserve"> </w:t>
      </w:r>
      <w:r>
        <w:rPr>
          <w:rFonts w:ascii="Arial" w:cs="Arial" w:eastAsia="Arial" w:hAnsi="Arial"/>
          <w:sz w:val="18"/>
          <w:szCs w:val="18"/>
          <w:color w:val="323232"/>
        </w:rPr>
        <w:t>measurement.</w:t>
      </w:r>
    </w:p>
    <w:p>
      <w:pPr>
        <w:spacing w:after="0" w:line="18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For the period ended June 30, 2020, the Company considered the effect of the pandemic on the portfolio of finance receivables carried at fair value and recorded a mark down to that portfolio of $19.9 million.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 inputs: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9"/>
                <w:szCs w:val="19"/>
                <w:color w:val="auto"/>
              </w:rPr>
            </w:pPr>
          </w:p>
        </w:tc>
        <w:tc>
          <w:tcPr>
            <w:tcW w:w="28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1,559,697</w:t>
            </w:r>
          </w:p>
        </w:tc>
        <w:tc>
          <w:tcPr>
            <w:tcW w:w="58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997,552</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1,444,038</w:t>
            </w:r>
          </w:p>
        </w:tc>
        <w:tc>
          <w:tcPr>
            <w:tcW w:w="440" w:type="dxa"/>
            <w:vAlign w:val="bottom"/>
            <w:gridSpan w:val="2"/>
            <w:shd w:val="clear" w:color="auto" w:fill="EEEEEE"/>
          </w:tcPr>
          <w:p>
            <w:pPr>
              <w:jc w:val="right"/>
              <w:ind w:right="30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821,066</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134,447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249,873</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399,729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494,626</w:t>
            </w: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(112,505)</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(68,005)</w:t>
            </w:r>
          </w:p>
        </w:tc>
        <w:tc>
          <w:tcPr>
            <w:tcW w:w="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(222,063)</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(117,505)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(34,441)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(21,055)</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(64,156)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(39,822)</w:t>
            </w:r>
          </w:p>
        </w:tc>
      </w:tr>
      <w:tr>
        <w:trPr>
          <w:trHeight w:val="229"/>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(9,549)</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(19,899)</w:t>
            </w: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1,537,649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1,158,365</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1,537,649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 2020</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4"/>
          </w:tcPr>
          <w:p>
            <w:pPr>
              <w:ind w:left="620"/>
              <w:spacing w:after="0"/>
              <w:rPr>
                <w:sz w:val="20"/>
                <w:szCs w:val="20"/>
                <w:color w:val="auto"/>
              </w:rPr>
            </w:pPr>
            <w:r>
              <w:rPr>
                <w:rFonts w:ascii="Arial" w:cs="Arial" w:eastAsia="Arial" w:hAnsi="Arial"/>
                <w:sz w:val="18"/>
                <w:szCs w:val="18"/>
                <w:b w:val="1"/>
                <w:bCs w:val="1"/>
                <w:color w:val="auto"/>
              </w:rPr>
              <w:t>December 31, 2019</w:t>
            </w:r>
          </w:p>
        </w:tc>
      </w:tr>
      <w:tr>
        <w:trPr>
          <w:trHeight w:val="205"/>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5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30"/>
              <w:spacing w:after="0" w:line="205"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580" w:type="dxa"/>
            <w:vAlign w:val="bottom"/>
          </w:tcPr>
          <w:p>
            <w:pPr>
              <w:spacing w:after="0"/>
              <w:rPr>
                <w:sz w:val="20"/>
                <w:szCs w:val="20"/>
                <w:color w:val="auto"/>
              </w:rPr>
            </w:pPr>
          </w:p>
        </w:tc>
        <w:tc>
          <w:tcPr>
            <w:tcW w:w="12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4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1,631,731</w:t>
            </w:r>
          </w:p>
        </w:tc>
        <w:tc>
          <w:tcPr>
            <w:tcW w:w="5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1,537,649</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1,492,803</w:t>
            </w:r>
          </w:p>
        </w:tc>
        <w:tc>
          <w:tcPr>
            <w:tcW w:w="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1,444,038</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40" w:type="dxa"/>
            <w:vAlign w:val="bottom"/>
          </w:tcPr>
          <w:p>
            <w:pPr>
              <w:spacing w:after="0"/>
              <w:rPr>
                <w:sz w:val="20"/>
                <w:szCs w:val="20"/>
                <w:color w:val="auto"/>
              </w:rPr>
            </w:pPr>
          </w:p>
        </w:tc>
        <w:tc>
          <w:tcPr>
            <w:tcW w:w="2960" w:type="dxa"/>
            <w:vAlign w:val="bottom"/>
            <w:gridSpan w:val="4"/>
          </w:tcPr>
          <w:p>
            <w:pPr>
              <w:ind w:left="620"/>
              <w:spacing w:after="0"/>
              <w:rPr>
                <w:sz w:val="20"/>
                <w:szCs w:val="20"/>
                <w:color w:val="auto"/>
              </w:rPr>
            </w:pPr>
            <w:r>
              <w:rPr>
                <w:rFonts w:ascii="Arial" w:cs="Arial" w:eastAsia="Arial" w:hAnsi="Arial"/>
                <w:sz w:val="18"/>
                <w:szCs w:val="18"/>
                <w:b w:val="1"/>
                <w:bCs w:val="1"/>
                <w:color w:val="auto"/>
              </w:rPr>
              <w:t>Fair Values as of</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4"/>
          </w:tcPr>
          <w:p>
            <w:pPr>
              <w:ind w:left="10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3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290"/>
              <w:spacing w:after="0" w:line="205" w:lineRule="exact"/>
              <w:rPr>
                <w:sz w:val="20"/>
                <w:szCs w:val="20"/>
                <w:color w:val="auto"/>
              </w:rPr>
            </w:pPr>
            <w:r>
              <w:rPr>
                <w:rFonts w:ascii="Arial" w:cs="Arial" w:eastAsia="Arial" w:hAnsi="Arial"/>
                <w:sz w:val="18"/>
                <w:szCs w:val="18"/>
                <w:b w:val="1"/>
                <w:bCs w:val="1"/>
                <w:color w:val="auto"/>
                <w:w w:val="88"/>
              </w:rPr>
              <w:t>June 30,</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top w:val="single" w:sz="8" w:color="auto"/>
            </w:tcBorders>
            <w:gridSpan w:val="2"/>
          </w:tcPr>
          <w:p>
            <w:pPr>
              <w:ind w:left="360"/>
              <w:spacing w:after="0" w:line="205" w:lineRule="exact"/>
              <w:rPr>
                <w:sz w:val="20"/>
                <w:szCs w:val="20"/>
                <w:color w:val="auto"/>
              </w:rPr>
            </w:pPr>
            <w:r>
              <w:rPr>
                <w:rFonts w:ascii="Arial" w:cs="Arial" w:eastAsia="Arial" w:hAnsi="Arial"/>
                <w:sz w:val="18"/>
                <w:szCs w:val="18"/>
                <w:b w:val="1"/>
                <w:bCs w:val="1"/>
                <w:color w:val="auto"/>
              </w:rPr>
              <w:t>June 30,</w:t>
            </w:r>
          </w:p>
        </w:tc>
        <w:tc>
          <w:tcPr>
            <w:tcW w:w="134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Unobservable Inputs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4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value</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1,537,649</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1,444,038</w:t>
            </w:r>
          </w:p>
        </w:tc>
        <w:tc>
          <w:tcPr>
            <w:tcW w:w="18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2"/>
              </w:rPr>
              <w:t>Discount rate</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10.0% - 11.1%</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 - 11.1%</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Cumulative net losses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15.3% - 18.4%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15.0% - 16.1%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following table summarizes the delinquency status of these finance receivables measured at fair value as of June 30, 2020 and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240" w:type="dxa"/>
            <w:vAlign w:val="bottom"/>
          </w:tcPr>
          <w:p>
            <w:pPr>
              <w:spacing w:after="0"/>
              <w:rPr>
                <w:sz w:val="19"/>
                <w:szCs w:val="19"/>
                <w:color w:val="auto"/>
              </w:rPr>
            </w:pPr>
          </w:p>
        </w:tc>
        <w:tc>
          <w:tcPr>
            <w:tcW w:w="280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1,523,495</w:t>
            </w:r>
          </w:p>
        </w:tc>
        <w:tc>
          <w:tcPr>
            <w:tcW w:w="1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1,344,883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7880" w:type="dxa"/>
            <w:vAlign w:val="bottom"/>
          </w:tcPr>
          <w:p>
            <w:pPr>
              <w:ind w:left="20"/>
              <w:spacing w:after="0"/>
              <w:rPr>
                <w:sz w:val="20"/>
                <w:szCs w:val="20"/>
                <w:color w:val="auto"/>
              </w:rPr>
            </w:pPr>
            <w:r>
              <w:rPr>
                <w:rFonts w:ascii="Arial" w:cs="Arial" w:eastAsia="Arial" w:hAnsi="Arial"/>
                <w:sz w:val="18"/>
                <w:szCs w:val="18"/>
                <w:color w:val="auto"/>
              </w:rPr>
              <w:t>- 60 days</w:t>
            </w: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62,675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81,262</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78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22,246</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34,280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7880" w:type="dxa"/>
            <w:vAlign w:val="bottom"/>
          </w:tcPr>
          <w:p>
            <w:pPr>
              <w:ind w:left="20"/>
              <w:spacing w:after="0"/>
              <w:rPr>
                <w:sz w:val="20"/>
                <w:szCs w:val="20"/>
                <w:color w:val="auto"/>
              </w:rPr>
            </w:pPr>
            <w:r>
              <w:rPr>
                <w:rFonts w:ascii="Arial" w:cs="Arial" w:eastAsia="Arial" w:hAnsi="Arial"/>
                <w:sz w:val="18"/>
                <w:szCs w:val="18"/>
                <w:color w:val="auto"/>
              </w:rPr>
              <w:t>+ days</w:t>
            </w:r>
          </w:p>
        </w:tc>
        <w:tc>
          <w:tcPr>
            <w:tcW w:w="2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8,127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Repo</w:t>
            </w:r>
          </w:p>
        </w:tc>
        <w:tc>
          <w:tcPr>
            <w:tcW w:w="2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15,188</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17,211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1,631,731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1,492,803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2020 the finance receivables related to the repossessed vehicles in inventory totaled $27.8 million. We have applied a valuation adjustment, or loss allowance, of $23.1 million, which is based on a recovery rate of approximately 17%, resulting in an estimated fair value and carrying amount of $4.7 million. The fair value and carrying amount of the repossessed inventory at December 31, 2019 was $7.5 million after applying a valuation adjustment of $21.4 million.</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transfers in or out of level 1, level 2 or level 3 assets and liabilities for the three months ended June 30, 2020 and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fair values of financial assets and liabilities at June 30, 2020 and December 31, 2019,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As of June 30, 2020</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Pr>
          <w:p>
            <w:pPr>
              <w:spacing w:after="0"/>
              <w:rPr>
                <w:sz w:val="19"/>
                <w:szCs w:val="19"/>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8"/>
                <w:szCs w:val="18"/>
                <w:b w:val="1"/>
                <w:bCs w:val="1"/>
                <w:color w:val="auto"/>
              </w:rPr>
              <w:t>Fair Value Measurements Using:</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0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7,475</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7,475</w:t>
            </w:r>
          </w:p>
        </w:tc>
        <w:tc>
          <w:tcPr>
            <w:tcW w:w="1440" w:type="dxa"/>
            <w:vAlign w:val="bottom"/>
            <w:gridSpan w:val="2"/>
            <w:shd w:val="clear" w:color="auto" w:fill="EEEEEE"/>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139,191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139,191</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139,191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571,170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526,888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526,888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7,229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56,668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56,668</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56,668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5,231</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5,231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37,544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37,544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37,544</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2,051,172</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2,034,363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2,034,363</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19,580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19,580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As of December 31, 2019</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Pr>
          <w:p>
            <w:pPr>
              <w:spacing w:after="0"/>
              <w:rPr>
                <w:sz w:val="19"/>
                <w:szCs w:val="19"/>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8"/>
                <w:szCs w:val="18"/>
                <w:b w:val="1"/>
                <w:bCs w:val="1"/>
                <w:color w:val="auto"/>
              </w:rPr>
              <w:t>Fair Value Measurements Using:</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0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5,295</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5,295</w:t>
            </w:r>
          </w:p>
        </w:tc>
        <w:tc>
          <w:tcPr>
            <w:tcW w:w="1540" w:type="dxa"/>
            <w:vAlign w:val="bottom"/>
            <w:gridSpan w:val="2"/>
            <w:shd w:val="clear" w:color="auto" w:fill="EEEEEE"/>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135,537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135,537</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135,537</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885,890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841,160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841,160</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11,645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11,645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134,791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134,791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134,791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5,254</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5,254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39,478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39,478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39,478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2,097,728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2,116,520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2,116,520</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17,534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17,534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June 30, 2020, we have originated a total of approximately $16.6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53"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58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Contract Purchases and Outstanding Managed Portfolio</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4"/>
          </w:tcPr>
          <w:p>
            <w:pPr>
              <w:jc w:val="right"/>
              <w:ind w:right="10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Contracts</w:t>
            </w:r>
          </w:p>
        </w:tc>
        <w:tc>
          <w:tcPr>
            <w:tcW w:w="13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Managed</w:t>
            </w: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Purchased in</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Portfolio at</w:t>
            </w:r>
          </w:p>
        </w:tc>
      </w:tr>
      <w:tr>
        <w:trPr>
          <w:trHeight w:val="234"/>
        </w:trPr>
        <w:tc>
          <w:tcPr>
            <w:tcW w:w="4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Period</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Period End</w:t>
            </w:r>
          </w:p>
        </w:tc>
      </w:tr>
      <w:tr>
        <w:trPr>
          <w:trHeight w:val="209"/>
        </w:trPr>
        <w:tc>
          <w:tcPr>
            <w:tcW w:w="39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1,060,538</w:t>
            </w:r>
          </w:p>
        </w:tc>
        <w:tc>
          <w:tcPr>
            <w:tcW w:w="3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2,031,136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40" w:type="dxa"/>
            <w:vAlign w:val="bottom"/>
          </w:tcPr>
          <w:p>
            <w:pPr>
              <w:jc w:val="center"/>
              <w:spacing w:after="0"/>
              <w:rPr>
                <w:sz w:val="20"/>
                <w:szCs w:val="20"/>
                <w:color w:val="auto"/>
              </w:rPr>
            </w:pPr>
            <w:r>
              <w:rPr>
                <w:rFonts w:ascii="Arial" w:cs="Arial" w:eastAsia="Arial" w:hAnsi="Arial"/>
                <w:sz w:val="18"/>
                <w:szCs w:val="18"/>
                <w:color w:val="333333"/>
                <w:w w:val="89"/>
              </w:rPr>
              <w:t>2016</w:t>
            </w:r>
          </w:p>
        </w:tc>
        <w:tc>
          <w:tcPr>
            <w:tcW w:w="22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1,088,785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2,308,070</w:t>
            </w:r>
          </w:p>
        </w:tc>
      </w:tr>
      <w:tr>
        <w:trPr>
          <w:trHeight w:val="216"/>
        </w:trPr>
        <w:tc>
          <w:tcPr>
            <w:tcW w:w="3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2017</w:t>
            </w: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859,069</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2,333,530</w:t>
            </w:r>
          </w:p>
        </w:tc>
      </w:tr>
      <w:tr>
        <w:trPr>
          <w:trHeight w:val="216"/>
        </w:trPr>
        <w:tc>
          <w:tcPr>
            <w:tcW w:w="3940" w:type="dxa"/>
            <w:vAlign w:val="bottom"/>
          </w:tcPr>
          <w:p>
            <w:pPr>
              <w:jc w:val="center"/>
              <w:spacing w:after="0"/>
              <w:rPr>
                <w:sz w:val="20"/>
                <w:szCs w:val="20"/>
                <w:color w:val="auto"/>
              </w:rPr>
            </w:pPr>
            <w:r>
              <w:rPr>
                <w:rFonts w:ascii="Arial" w:cs="Arial" w:eastAsia="Arial" w:hAnsi="Arial"/>
                <w:sz w:val="18"/>
                <w:szCs w:val="18"/>
                <w:color w:val="333333"/>
                <w:w w:val="89"/>
              </w:rPr>
              <w:t>2018</w:t>
            </w:r>
          </w:p>
        </w:tc>
        <w:tc>
          <w:tcPr>
            <w:tcW w:w="22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902,416</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2,380,847</w:t>
            </w:r>
          </w:p>
        </w:tc>
      </w:tr>
      <w:tr>
        <w:trPr>
          <w:trHeight w:val="216"/>
        </w:trPr>
        <w:tc>
          <w:tcPr>
            <w:tcW w:w="3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2019</w:t>
            </w: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1,002,782</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2,416,042</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Six months ended June 30, 2020</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401,857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2,326,440</w:t>
            </w:r>
          </w:p>
        </w:tc>
      </w:tr>
    </w:tbl>
    <w:p>
      <w:pPr>
        <w:spacing w:after="0" w:line="18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During the three months ended June 30, 2020, due to the onset of the pandemic, we have seen a decrease in the monthly volumes of our contract purchases compared to the prior year period and also compared to our first quarter of 2020.</w:t>
      </w:r>
    </w:p>
    <w:p>
      <w:pPr>
        <w:spacing w:after="0" w:line="17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360"/>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61"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61"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Since 1994 we have conducted 86 term securitizations of automobile contracts that we originated. As of June 30, 2020, 22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5640" w:type="dxa"/>
            <w:vAlign w:val="bottom"/>
            <w:gridSpan w:val="4"/>
          </w:tcPr>
          <w:p>
            <w:pPr>
              <w:ind w:left="2020"/>
              <w:spacing w:after="0"/>
              <w:rPr>
                <w:sz w:val="20"/>
                <w:szCs w:val="20"/>
                <w:color w:val="auto"/>
              </w:rPr>
            </w:pPr>
            <w:r>
              <w:rPr>
                <w:rFonts w:ascii="Arial" w:cs="Arial" w:eastAsia="Arial" w:hAnsi="Arial"/>
                <w:sz w:val="18"/>
                <w:szCs w:val="18"/>
                <w:b w:val="1"/>
                <w:bCs w:val="1"/>
                <w:color w:val="auto"/>
                <w:w w:val="98"/>
              </w:rPr>
              <w:t>Recent Asset-Backed Term Securitizations</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5"/>
          </w:tcPr>
          <w:p>
            <w:pPr>
              <w:jc w:val="right"/>
              <w:ind w:right="1220"/>
              <w:spacing w:after="0"/>
              <w:rPr>
                <w:sz w:val="20"/>
                <w:szCs w:val="20"/>
                <w:color w:val="auto"/>
              </w:rPr>
            </w:pPr>
            <w:r>
              <w:rPr>
                <w:rFonts w:ascii="Arial" w:cs="Arial" w:eastAsia="Arial" w:hAnsi="Arial"/>
                <w:sz w:val="18"/>
                <w:szCs w:val="18"/>
                <w:b w:val="1"/>
                <w:bCs w:val="1"/>
                <w:i w:val="1"/>
                <w:iCs w:val="1"/>
                <w:color w:val="auto"/>
              </w:rPr>
              <w:t>$ in thousands</w:t>
            </w:r>
          </w:p>
        </w:tc>
      </w:tr>
      <w:tr>
        <w:trPr>
          <w:trHeight w:val="191"/>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6"/>
              </w:rPr>
              <w:t>Receivables</w:t>
            </w:r>
          </w:p>
        </w:tc>
        <w:tc>
          <w:tcPr>
            <w:tcW w:w="1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Number of Term</w:t>
            </w: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Pledged in Term</w:t>
            </w:r>
          </w:p>
        </w:tc>
      </w:tr>
      <w:tr>
        <w:trPr>
          <w:trHeight w:val="234"/>
        </w:trPr>
        <w:tc>
          <w:tcPr>
            <w:tcW w:w="3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Period</w:t>
            </w: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Securitizations</w:t>
            </w:r>
          </w:p>
        </w:tc>
        <w:tc>
          <w:tcPr>
            <w:tcW w:w="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36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18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333333"/>
                <w:w w:val="89"/>
              </w:rPr>
              <w:t>2016</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1,214,997</w:t>
            </w:r>
          </w:p>
        </w:tc>
      </w:tr>
      <w:tr>
        <w:trPr>
          <w:trHeight w:val="216"/>
        </w:trPr>
        <w:tc>
          <w:tcPr>
            <w:tcW w:w="36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2017</w:t>
            </w:r>
          </w:p>
        </w:tc>
        <w:tc>
          <w:tcPr>
            <w:tcW w:w="18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870,000</w:t>
            </w:r>
          </w:p>
        </w:tc>
      </w:tr>
      <w:tr>
        <w:trPr>
          <w:trHeight w:val="216"/>
        </w:trPr>
        <w:tc>
          <w:tcPr>
            <w:tcW w:w="3660" w:type="dxa"/>
            <w:vAlign w:val="bottom"/>
          </w:tcPr>
          <w:p>
            <w:pPr>
              <w:jc w:val="center"/>
              <w:spacing w:after="0"/>
              <w:rPr>
                <w:sz w:val="20"/>
                <w:szCs w:val="20"/>
                <w:color w:val="auto"/>
              </w:rPr>
            </w:pPr>
            <w:r>
              <w:rPr>
                <w:rFonts w:ascii="Arial" w:cs="Arial" w:eastAsia="Arial" w:hAnsi="Arial"/>
                <w:sz w:val="18"/>
                <w:szCs w:val="18"/>
                <w:color w:val="333333"/>
                <w:w w:val="89"/>
              </w:rPr>
              <w:t>2018</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883,452</w:t>
            </w:r>
          </w:p>
        </w:tc>
      </w:tr>
      <w:tr>
        <w:trPr>
          <w:trHeight w:val="216"/>
        </w:trPr>
        <w:tc>
          <w:tcPr>
            <w:tcW w:w="36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2019</w:t>
            </w:r>
          </w:p>
        </w:tc>
        <w:tc>
          <w:tcPr>
            <w:tcW w:w="18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1,014,124</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Six months ended June 30, 2020</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481,867</w:t>
            </w:r>
          </w:p>
        </w:tc>
      </w:tr>
    </w:tbl>
    <w:p>
      <w:pPr>
        <w:spacing w:after="0" w:line="21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with an optional amortization period through September 2021. In April 2015, we entered into a second $100 million facility. This facility was renewed in April 2017 and again in February 2019, extending the revolving period to February 2021, followed by an amortization period to February 2023. In November 2015, we entered into a third $100 million facility. This facility was renewed in November 2017 and again in December 2019, extending the revolving period to December 2021, followed by an amortization period to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7" w:name="page28"/>
    <w:bookmarkEnd w:id="27"/>
    <w:p>
      <w:pPr>
        <w:jc w:val="both"/>
        <w:ind w:firstLine="36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2020, we were in compliance with all such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2020 with the three months ended June 30, 2019</w:t>
      </w:r>
    </w:p>
    <w:p>
      <w:pPr>
        <w:spacing w:after="0" w:line="225"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three months ended June 30, 2020, our revenues were $67.3 million, a decrease of $19.0 million, or 22.0%,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$86.3 million. The primary reason for the decrease in revenues is a decrease in interest income and a mark down to the recorded value of the portion of the receivables portfolio accounted for at fair value. Interest income for the three months ended June 30, 2020 decreased $8.9 million, or 10.5%, to $75.6 million from $84.4 million in the prior year. The primary reason for the decrease in interest income is the continued runoff of our portfolio of finance receivables originated prior to January 2018, which accrued interest at an average of 18.5%, which is offset only in part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average balances and interest yields of the two components of our loan portfolio for the three months ended June 30,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6"/>
          </w:tcPr>
          <w:p>
            <w:pPr>
              <w:jc w:val="center"/>
              <w:ind w:right="56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34"/>
        </w:trPr>
        <w:tc>
          <w:tcPr>
            <w:tcW w:w="3280" w:type="dxa"/>
            <w:vAlign w:val="bottom"/>
            <w:gridSpan w:val="2"/>
            <w:vMerge w:val="restart"/>
          </w:tcPr>
          <w:p>
            <w:pPr>
              <w:ind w:left="680"/>
              <w:spacing w:after="0"/>
              <w:rPr>
                <w:sz w:val="20"/>
                <w:szCs w:val="20"/>
                <w:color w:val="auto"/>
              </w:rPr>
            </w:pPr>
            <w:r>
              <w:rPr>
                <w:rFonts w:ascii="Arial" w:cs="Arial" w:eastAsia="Arial" w:hAnsi="Arial"/>
                <w:sz w:val="18"/>
                <w:szCs w:val="18"/>
                <w:b w:val="1"/>
                <w:bCs w:val="1"/>
                <w:color w:val="auto"/>
              </w:rPr>
              <w:t>Interest Earning Assets</w:t>
            </w: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20"/>
                <w:szCs w:val="20"/>
                <w:color w:val="auto"/>
              </w:rPr>
            </w:pPr>
          </w:p>
        </w:tc>
        <w:tc>
          <w:tcPr>
            <w:tcW w:w="12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Yield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11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Yield</w:t>
            </w:r>
          </w:p>
        </w:tc>
        <w:tc>
          <w:tcPr>
            <w:tcW w:w="0" w:type="dxa"/>
            <w:vAlign w:val="bottom"/>
          </w:tcPr>
          <w:p>
            <w:pPr>
              <w:spacing w:after="0"/>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732,325</w:t>
            </w:r>
          </w:p>
        </w:tc>
        <w:tc>
          <w:tcPr>
            <w:tcW w:w="220" w:type="dxa"/>
            <w:vAlign w:val="bottom"/>
            <w:tcBorders>
              <w:top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33,893</w:t>
            </w:r>
          </w:p>
        </w:tc>
        <w:tc>
          <w:tcPr>
            <w:tcW w:w="1340" w:type="dxa"/>
            <w:vAlign w:val="bottom"/>
            <w:tcBorders>
              <w:top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top w:val="single" w:sz="8" w:color="EEEEEE"/>
            </w:tcBorders>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EEEEEE"/>
            </w:tcBorders>
            <w:gridSpan w:val="2"/>
            <w:shd w:val="clear" w:color="auto" w:fill="EEEEEE"/>
          </w:tcPr>
          <w:p>
            <w:pPr>
              <w:ind w:left="380"/>
              <w:spacing w:after="0"/>
              <w:rPr>
                <w:sz w:val="20"/>
                <w:szCs w:val="20"/>
                <w:color w:val="auto"/>
              </w:rPr>
            </w:pPr>
            <w:r>
              <w:rPr>
                <w:rFonts w:ascii="Arial" w:cs="Arial" w:eastAsia="Arial" w:hAnsi="Arial"/>
                <w:sz w:val="18"/>
                <w:szCs w:val="18"/>
                <w:color w:val="auto"/>
              </w:rPr>
              <w:t>1,262,836</w:t>
            </w:r>
          </w:p>
        </w:tc>
        <w:tc>
          <w:tcPr>
            <w:tcW w:w="12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56,471</w:t>
            </w:r>
          </w:p>
        </w:tc>
        <w:tc>
          <w:tcPr>
            <w:tcW w:w="1160" w:type="dxa"/>
            <w:vAlign w:val="bottom"/>
            <w:tcBorders>
              <w:top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w w:val="94"/>
              </w:rPr>
              <w:t>Finance receivables measured at fair value</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1,631,708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41,659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1,136,086</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27,978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2,364,033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75,552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ind w:left="380"/>
              <w:spacing w:after="0"/>
              <w:rPr>
                <w:sz w:val="20"/>
                <w:szCs w:val="20"/>
                <w:color w:val="auto"/>
              </w:rPr>
            </w:pPr>
            <w:r>
              <w:rPr>
                <w:rFonts w:ascii="Arial" w:cs="Arial" w:eastAsia="Arial" w:hAnsi="Arial"/>
                <w:sz w:val="18"/>
                <w:szCs w:val="18"/>
                <w:color w:val="auto"/>
                <w:w w:val="87"/>
              </w:rPr>
              <w:t>2,398,922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84,449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ind w:firstLine="360"/>
        <w:spacing w:after="0" w:line="263" w:lineRule="auto"/>
        <w:rPr>
          <w:sz w:val="20"/>
          <w:szCs w:val="20"/>
          <w:color w:val="auto"/>
        </w:rPr>
      </w:pPr>
      <w:r>
        <w:rPr>
          <w:rFonts w:ascii="Arial" w:cs="Arial" w:eastAsia="Arial" w:hAnsi="Arial"/>
          <w:sz w:val="18"/>
          <w:szCs w:val="18"/>
          <w:color w:val="auto"/>
        </w:rPr>
        <w:t>Revenues for the second quarter of 2020 include a $9.5 million mark down to the recorded value of the finance receivables measured at fair value. The mark down is an estimate based on our evaluation of the appropriate fair value and future earnings rate of existing receivables compared to recently acquired receivables and our assessment of potential additional future net losses arising from the pandemic.</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the three months ended June 30, 2020, other income of $1.3 million decreased by $587,000, or 31.3% compared to the prior year. The three-month period ended June 30, 2020 includes a decrease of $549,000 in revenues associated with direct mail and other related products and services that we offer to our dealers and a decrease of $40,000 in payments from third-party providers of convenience fees paid by our customers for web based and other electronic payments.</w:t>
      </w:r>
    </w:p>
    <w:p>
      <w:pPr>
        <w:spacing w:after="0" w:line="187"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Total operating expenses were $62.6 million for the three months ended June 30, 2020, compared to $83.6 million for the prior period, a decrease of $20.9 million, or 25.0%. The decrease is primarily due to a decrease in provision for credit losses.</w:t>
      </w:r>
    </w:p>
    <w:p>
      <w:pPr>
        <w:spacing w:after="0" w:line="1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Employee costs increased by $122,000 or 0.6%, to $19.8 million during the three months ended June 30, 2020, representing 31.6% of total operating expenses, from $19.7 million for the prior year, or 23.6% of total operating expenses. The table below summarizes our employees by category as well as contract purchases and units in our managed portfolio as of, and for the three-month periods ended, June 30, 2020 and 2019:</w:t>
      </w:r>
    </w:p>
    <w:p>
      <w:pPr>
        <w:spacing w:after="0" w:line="175"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2019</w:t>
            </w:r>
          </w:p>
        </w:tc>
      </w:tr>
      <w:tr>
        <w:trPr>
          <w:trHeight w:val="210"/>
        </w:trPr>
        <w:tc>
          <w:tcPr>
            <w:tcW w:w="5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34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20" w:type="dxa"/>
            <w:vAlign w:val="bottom"/>
            <w:gridSpan w:val="2"/>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 in millions)</w:t>
            </w:r>
          </w:p>
        </w:tc>
        <w:tc>
          <w:tcPr>
            <w:tcW w:w="120" w:type="dxa"/>
            <w:vAlign w:val="bottom"/>
            <w:gridSpan w:val="2"/>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7,622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14,239</w:t>
            </w: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2,326.4</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2,399.2</w:t>
            </w: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173,214</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177,115</w:t>
            </w: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r>
      <w:tr>
        <w:trPr>
          <w:trHeight w:val="230"/>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EEEEEE"/>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During the second quarter, we laid off 114 staff members due to the decrease in our business caused by the pandemic. The layoffs did not materially decrease our employee costs in the quarter ended June 30, 2020 but should result in decreased employee costs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jc w:val="both"/>
        <w:ind w:firstLine="360"/>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$7.8 million, a decrease from $8.8 million in the previous year and represented 12.5% of total operating expenses.</w:t>
      </w:r>
    </w:p>
    <w:p>
      <w:pPr>
        <w:spacing w:after="0" w:line="18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Interest expense for the three months ended June 30, 2020 were $26.5 million and represented 42.3% of total operating expenses, compared to $27.7 million in the previous year, when it was 33.2% of total operating expenses.</w:t>
      </w:r>
    </w:p>
    <w:p>
      <w:pPr>
        <w:spacing w:after="0" w:line="17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Interest on securitization trust debt decreased by $2.1 million for the three months ended June 30, 2020 compared to the prior period. The average balance of securitization trust debt decreased to $2,008.0 million for the three months ended June 30, 2020 compared to $2,175.9 million for the three months ended June 30, 2019. The blended interest rates on new term securitizations have generally increased in 2017 and 2018 before declining in 2019.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Securitizations</w:t>
      </w:r>
    </w:p>
    <w:p>
      <w:pPr>
        <w:spacing w:after="0" w:line="207"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w:t>
            </w:r>
          </w:p>
        </w:tc>
      </w:tr>
      <w:tr>
        <w:trPr>
          <w:trHeight w:val="234"/>
        </w:trPr>
        <w:tc>
          <w:tcPr>
            <w:tcW w:w="2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Period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Funds</w:t>
            </w:r>
          </w:p>
        </w:tc>
      </w:tr>
      <w:tr>
        <w:trPr>
          <w:trHeight w:val="209"/>
        </w:trPr>
        <w:tc>
          <w:tcPr>
            <w:tcW w:w="27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2017</w:t>
            </w:r>
          </w:p>
        </w:tc>
        <w:tc>
          <w:tcPr>
            <w:tcW w:w="20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April 2017</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29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July 2017</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2017</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29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2018</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April 2018</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29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July 2018</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2018</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29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2019</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April 2019</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29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July 2019</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2019</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29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2020</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30"/>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2020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4.09%</w:t>
            </w:r>
          </w:p>
        </w:tc>
      </w:tr>
    </w:tbl>
    <w:p>
      <w:pPr>
        <w:spacing w:after="0" w:line="187"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The annualized average rate on our securitization trust debt was 4.5% for the three months ended June 30, 2020 and 2019.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 We observed a significant increase in the blended cost of funds in our June 2020 securitization compared to our January 2020 securitization, which we attribute to pandemic related disruptions and uncertainties in the market for asset-backed securitizations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jc w:val="both"/>
        <w:ind w:firstLine="360"/>
        <w:spacing w:after="0" w:line="286" w:lineRule="auto"/>
        <w:rPr>
          <w:sz w:val="20"/>
          <w:szCs w:val="20"/>
          <w:color w:val="auto"/>
        </w:rPr>
      </w:pPr>
      <w:r>
        <w:rPr>
          <w:rFonts w:ascii="Arial" w:cs="Arial" w:eastAsia="Arial" w:hAnsi="Arial"/>
          <w:sz w:val="17"/>
          <w:szCs w:val="17"/>
          <w:color w:val="auto"/>
        </w:rPr>
        <w:t>Interest expense on subordinated renewable notes increased by $202,000. The average balance of the outstanding subordinated debt increased 33.5% to $18.7 million for the three months ended June 30, 2020 compared to $14.0 million for the three months ended June 30, 2019. The average yield of subordinated notes increased to 11.2% in the three-month period ended June 30, 2020 compared to 9.2% in the prior period.</w:t>
      </w:r>
    </w:p>
    <w:p>
      <w:pPr>
        <w:spacing w:after="0" w:line="16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Interest expense on warehouse debt increased by $715,000, or 36.5%, for the three months ended June 30, 2020 compared to the prior period. The average rate on the debt was 9.6% for both periods.</w:t>
      </w:r>
    </w:p>
    <w:p>
      <w:pPr>
        <w:spacing w:after="0" w:line="170"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On May 16, 2018, we completed a $40.0 million securitization of residual interests from previously issued securitizations. Interest expense on this residual interest financing was $920,000 for the three months ended June 30, 2020 compared to $955,000 in the prior year period.</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 June 30,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(Dollars in thousands)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Annualized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Annualized</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20" w:type="dxa"/>
            <w:vAlign w:val="bottom"/>
            <w:gridSpan w:val="4"/>
            <w:vMerge w:val="restart"/>
          </w:tcPr>
          <w:p>
            <w:pPr>
              <w:jc w:val="center"/>
              <w:ind w:right="780"/>
              <w:spacing w:after="0"/>
              <w:rPr>
                <w:sz w:val="20"/>
                <w:szCs w:val="20"/>
                <w:color w:val="auto"/>
              </w:rPr>
            </w:pPr>
            <w:r>
              <w:rPr>
                <w:rFonts w:ascii="Arial" w:cs="Arial" w:eastAsia="Arial" w:hAnsi="Arial"/>
                <w:sz w:val="16"/>
                <w:szCs w:val="16"/>
                <w:b w:val="1"/>
                <w:bCs w:val="1"/>
                <w:color w:val="auto"/>
                <w:w w:val="89"/>
              </w:rPr>
              <w:t>Interest Earning Assets</w:t>
            </w: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6"/>
              </w:rPr>
              <w:t>Balance (1)</w:t>
            </w: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Interest</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Yield/Rate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Balance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Interest</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Yield/Rate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Finance receivables gross (2)</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center"/>
              <w:ind w:left="257"/>
              <w:spacing w:after="0"/>
              <w:rPr>
                <w:sz w:val="20"/>
                <w:szCs w:val="20"/>
                <w:color w:val="auto"/>
              </w:rPr>
            </w:pPr>
            <w:r>
              <w:rPr>
                <w:rFonts w:ascii="Arial" w:cs="Arial" w:eastAsia="Arial" w:hAnsi="Arial"/>
                <w:sz w:val="18"/>
                <w:szCs w:val="18"/>
                <w:color w:val="auto"/>
                <w:w w:val="89"/>
              </w:rPr>
              <w:t>732,325</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33,893</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1,229,601</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56,471</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3280" w:type="dxa"/>
            <w:vAlign w:val="bottom"/>
            <w:gridSpan w:val="5"/>
          </w:tcPr>
          <w:p>
            <w:pPr>
              <w:spacing w:after="0"/>
              <w:rPr>
                <w:sz w:val="20"/>
                <w:szCs w:val="20"/>
                <w:color w:val="auto"/>
              </w:rPr>
            </w:pPr>
            <w:r>
              <w:rPr>
                <w:rFonts w:ascii="Arial" w:cs="Arial" w:eastAsia="Arial" w:hAnsi="Arial"/>
                <w:sz w:val="16"/>
                <w:szCs w:val="16"/>
                <w:color w:val="auto"/>
              </w:rPr>
              <w:t>Finance receivables at fair value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1,631,708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41,659</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1,136,086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27,978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6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6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jc w:val="center"/>
              <w:ind w:left="277"/>
              <w:spacing w:after="0"/>
              <w:rPr>
                <w:sz w:val="20"/>
                <w:szCs w:val="20"/>
                <w:color w:val="auto"/>
              </w:rPr>
            </w:pPr>
            <w:r>
              <w:rPr>
                <w:rFonts w:ascii="Arial" w:cs="Arial" w:eastAsia="Arial" w:hAnsi="Arial"/>
                <w:sz w:val="16"/>
                <w:szCs w:val="16"/>
                <w:color w:val="auto"/>
                <w:w w:val="89"/>
              </w:rPr>
              <w:t>2,364,033</w:t>
            </w:r>
          </w:p>
        </w:tc>
        <w:tc>
          <w:tcPr>
            <w:tcW w:w="260" w:type="dxa"/>
            <w:vAlign w:val="bottom"/>
            <w:vMerge w:val="continue"/>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75,552</w:t>
            </w:r>
          </w:p>
        </w:tc>
        <w:tc>
          <w:tcPr>
            <w:tcW w:w="220" w:type="dxa"/>
            <w:vAlign w:val="bottom"/>
            <w:vMerge w:val="continue"/>
            <w:shd w:val="clear" w:color="auto" w:fill="EEEEEE"/>
          </w:tcPr>
          <w:p>
            <w:pPr>
              <w:spacing w:after="0"/>
              <w:rPr>
                <w:sz w:val="17"/>
                <w:szCs w:val="17"/>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EEEEEE"/>
          </w:tcPr>
          <w:p>
            <w:pPr>
              <w:spacing w:after="0"/>
              <w:rPr>
                <w:sz w:val="17"/>
                <w:szCs w:val="17"/>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2,365,687</w:t>
            </w:r>
          </w:p>
        </w:tc>
        <w:tc>
          <w:tcPr>
            <w:tcW w:w="220" w:type="dxa"/>
            <w:vAlign w:val="bottom"/>
            <w:vMerge w:val="continue"/>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84,449</w:t>
            </w:r>
          </w:p>
        </w:tc>
        <w:tc>
          <w:tcPr>
            <w:tcW w:w="220" w:type="dxa"/>
            <w:vAlign w:val="bottom"/>
            <w:vMerge w:val="continue"/>
            <w:shd w:val="clear" w:color="auto" w:fill="EEEEEE"/>
          </w:tcPr>
          <w:p>
            <w:pPr>
              <w:spacing w:after="0"/>
              <w:rPr>
                <w:sz w:val="17"/>
                <w:szCs w:val="17"/>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0" w:type="dxa"/>
            <w:vAlign w:val="bottom"/>
            <w:tcBorders>
              <w:bottom w:val="single" w:sz="8" w:color="EEEEEE"/>
            </w:tcBorders>
            <w:shd w:val="clear" w:color="auto" w:fill="EEEEEE"/>
          </w:tcPr>
          <w:p>
            <w:pPr>
              <w:spacing w:after="0"/>
              <w:rPr>
                <w:sz w:val="15"/>
                <w:szCs w:val="15"/>
                <w:color w:val="auto"/>
              </w:rPr>
            </w:pPr>
          </w:p>
        </w:tc>
        <w:tc>
          <w:tcPr>
            <w:tcW w:w="1860" w:type="dxa"/>
            <w:vAlign w:val="bottom"/>
            <w:tcBorders>
              <w:bottom w:val="single" w:sz="8" w:color="auto"/>
            </w:tcBorders>
            <w:gridSpan w:val="3"/>
            <w:shd w:val="clear" w:color="auto" w:fill="EEEEEE"/>
          </w:tcPr>
          <w:p>
            <w:pPr>
              <w:jc w:val="center"/>
              <w:spacing w:after="0" w:line="162" w:lineRule="exact"/>
              <w:rPr>
                <w:sz w:val="20"/>
                <w:szCs w:val="20"/>
                <w:color w:val="auto"/>
              </w:rPr>
            </w:pPr>
            <w:r>
              <w:rPr>
                <w:rFonts w:ascii="Arial" w:cs="Arial" w:eastAsia="Arial" w:hAnsi="Arial"/>
                <w:sz w:val="16"/>
                <w:szCs w:val="16"/>
                <w:b w:val="1"/>
                <w:bCs w:val="1"/>
                <w:color w:val="auto"/>
                <w:w w:val="92"/>
              </w:rPr>
              <w:t>Interest Bearing Liabilities</w:t>
            </w:r>
          </w:p>
        </w:tc>
        <w:tc>
          <w:tcPr>
            <w:tcW w:w="760" w:type="dxa"/>
            <w:vAlign w:val="bottom"/>
            <w:tcBorders>
              <w:bottom w:val="single" w:sz="8" w:color="EEEEEE"/>
            </w:tcBorders>
            <w:shd w:val="clear" w:color="auto" w:fill="EEEEEE"/>
          </w:tcPr>
          <w:p>
            <w:pPr>
              <w:spacing w:after="0"/>
              <w:rPr>
                <w:sz w:val="15"/>
                <w:szCs w:val="15"/>
                <w:color w:val="auto"/>
              </w:rPr>
            </w:pPr>
          </w:p>
        </w:tc>
        <w:tc>
          <w:tcPr>
            <w:tcW w:w="120" w:type="dxa"/>
            <w:vAlign w:val="bottom"/>
            <w:tcBorders>
              <w:bottom w:val="single" w:sz="8" w:color="EEEEEE"/>
            </w:tcBorders>
            <w:shd w:val="clear" w:color="auto" w:fill="EEEEEE"/>
          </w:tcPr>
          <w:p>
            <w:pPr>
              <w:spacing w:after="0"/>
              <w:rPr>
                <w:sz w:val="15"/>
                <w:szCs w:val="15"/>
                <w:color w:val="auto"/>
              </w:rPr>
            </w:pPr>
          </w:p>
        </w:tc>
        <w:tc>
          <w:tcPr>
            <w:tcW w:w="1000" w:type="dxa"/>
            <w:vAlign w:val="bottom"/>
            <w:tcBorders>
              <w:bottom w:val="single" w:sz="8" w:color="EEEEEE"/>
            </w:tcBorders>
            <w:shd w:val="clear" w:color="auto" w:fill="EEEEEE"/>
          </w:tcPr>
          <w:p>
            <w:pPr>
              <w:spacing w:after="0"/>
              <w:rPr>
                <w:sz w:val="15"/>
                <w:szCs w:val="15"/>
                <w:color w:val="auto"/>
              </w:rPr>
            </w:pPr>
          </w:p>
        </w:tc>
        <w:tc>
          <w:tcPr>
            <w:tcW w:w="260" w:type="dxa"/>
            <w:vAlign w:val="bottom"/>
            <w:tcBorders>
              <w:bottom w:val="single" w:sz="8" w:color="EEEEEE"/>
            </w:tcBorders>
            <w:shd w:val="clear" w:color="auto" w:fill="EEEEEE"/>
          </w:tcPr>
          <w:p>
            <w:pPr>
              <w:spacing w:after="0"/>
              <w:rPr>
                <w:sz w:val="15"/>
                <w:szCs w:val="15"/>
                <w:color w:val="auto"/>
              </w:rPr>
            </w:pPr>
          </w:p>
        </w:tc>
        <w:tc>
          <w:tcPr>
            <w:tcW w:w="180" w:type="dxa"/>
            <w:vAlign w:val="bottom"/>
            <w:tcBorders>
              <w:bottom w:val="single" w:sz="8" w:color="EEEEEE"/>
            </w:tcBorders>
            <w:shd w:val="clear" w:color="auto" w:fill="EEEEEE"/>
          </w:tcPr>
          <w:p>
            <w:pPr>
              <w:spacing w:after="0"/>
              <w:rPr>
                <w:sz w:val="15"/>
                <w:szCs w:val="15"/>
                <w:color w:val="auto"/>
              </w:rPr>
            </w:pPr>
          </w:p>
        </w:tc>
        <w:tc>
          <w:tcPr>
            <w:tcW w:w="94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100" w:type="dxa"/>
            <w:vAlign w:val="bottom"/>
            <w:tcBorders>
              <w:bottom w:val="single" w:sz="8" w:color="EEEEEE"/>
            </w:tcBorders>
            <w:shd w:val="clear" w:color="auto" w:fill="EEEEEE"/>
          </w:tcPr>
          <w:p>
            <w:pPr>
              <w:spacing w:after="0"/>
              <w:rPr>
                <w:sz w:val="15"/>
                <w:szCs w:val="15"/>
                <w:color w:val="auto"/>
              </w:rPr>
            </w:pPr>
          </w:p>
        </w:tc>
        <w:tc>
          <w:tcPr>
            <w:tcW w:w="260" w:type="dxa"/>
            <w:vAlign w:val="bottom"/>
            <w:tcBorders>
              <w:bottom w:val="single" w:sz="8" w:color="EEEEEE"/>
            </w:tcBorders>
            <w:shd w:val="clear" w:color="auto" w:fill="EEEEEE"/>
          </w:tcPr>
          <w:p>
            <w:pPr>
              <w:spacing w:after="0"/>
              <w:rPr>
                <w:sz w:val="15"/>
                <w:szCs w:val="15"/>
                <w:color w:val="auto"/>
              </w:rPr>
            </w:pPr>
          </w:p>
        </w:tc>
        <w:tc>
          <w:tcPr>
            <w:tcW w:w="12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80" w:type="dxa"/>
            <w:vAlign w:val="bottom"/>
            <w:tcBorders>
              <w:bottom w:val="single" w:sz="8" w:color="EEEEEE"/>
            </w:tcBorders>
            <w:shd w:val="clear" w:color="auto" w:fill="EEEEEE"/>
          </w:tcPr>
          <w:p>
            <w:pPr>
              <w:spacing w:after="0"/>
              <w:rPr>
                <w:sz w:val="15"/>
                <w:szCs w:val="15"/>
                <w:color w:val="auto"/>
              </w:rPr>
            </w:pPr>
          </w:p>
        </w:tc>
        <w:tc>
          <w:tcPr>
            <w:tcW w:w="92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100" w:type="dxa"/>
            <w:vAlign w:val="bottom"/>
            <w:tcBorders>
              <w:bottom w:val="single" w:sz="8" w:color="EEEEEE"/>
            </w:tcBorders>
            <w:shd w:val="clear" w:color="auto" w:fill="EEEEEE"/>
          </w:tcPr>
          <w:p>
            <w:pPr>
              <w:spacing w:after="0"/>
              <w:rPr>
                <w:sz w:val="15"/>
                <w:szCs w:val="15"/>
                <w:color w:val="auto"/>
              </w:rPr>
            </w:pPr>
          </w:p>
        </w:tc>
        <w:tc>
          <w:tcPr>
            <w:tcW w:w="140" w:type="dxa"/>
            <w:vAlign w:val="bottom"/>
            <w:tcBorders>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Arial" w:cs="Arial" w:eastAsia="Arial" w:hAnsi="Arial"/>
                <w:sz w:val="16"/>
                <w:szCs w:val="16"/>
                <w:color w:val="auto"/>
              </w:rPr>
              <w:t>Warehouse lines of credit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center"/>
              <w:ind w:left="257"/>
              <w:spacing w:after="0"/>
              <w:rPr>
                <w:sz w:val="20"/>
                <w:szCs w:val="20"/>
                <w:color w:val="auto"/>
              </w:rPr>
            </w:pPr>
            <w:r>
              <w:rPr>
                <w:rFonts w:ascii="Arial" w:cs="Arial" w:eastAsia="Arial" w:hAnsi="Arial"/>
                <w:sz w:val="18"/>
                <w:szCs w:val="18"/>
                <w:color w:val="auto"/>
                <w:w w:val="89"/>
              </w:rPr>
              <w:t>158,966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2,675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77,321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1,960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3"/>
        </w:trPr>
        <w:tc>
          <w:tcPr>
            <w:tcW w:w="32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Residual interest financing</w:t>
            </w:r>
          </w:p>
        </w:tc>
        <w:tc>
          <w:tcPr>
            <w:tcW w:w="12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38,253</w:t>
            </w:r>
          </w:p>
        </w:tc>
        <w:tc>
          <w:tcPr>
            <w:tcW w:w="18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920</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9.6%</w:t>
            </w:r>
          </w:p>
        </w:tc>
        <w:tc>
          <w:tcPr>
            <w:tcW w:w="12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40,000</w:t>
            </w:r>
          </w:p>
        </w:tc>
        <w:tc>
          <w:tcPr>
            <w:tcW w:w="18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955</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3"/>
        </w:trPr>
        <w:tc>
          <w:tcPr>
            <w:tcW w:w="3280" w:type="dxa"/>
            <w:vAlign w:val="bottom"/>
            <w:gridSpan w:val="5"/>
          </w:tcPr>
          <w:p>
            <w:pPr>
              <w:spacing w:after="0"/>
              <w:rPr>
                <w:sz w:val="20"/>
                <w:szCs w:val="20"/>
                <w:color w:val="auto"/>
              </w:rPr>
            </w:pPr>
            <w:r>
              <w:rPr>
                <w:rFonts w:ascii="Arial" w:cs="Arial" w:eastAsia="Arial" w:hAnsi="Arial"/>
                <w:sz w:val="16"/>
                <w:szCs w:val="16"/>
                <w:color w:val="auto"/>
              </w:rPr>
              <w:t>Securitization trust debt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2,008,006</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22,366</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2,175,898</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24,466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Subordinated renewable notes</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18,718</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524</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14,021</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322</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4.8%</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line="20" w:lineRule="exact"/>
              <w:rPr>
                <w:sz w:val="1"/>
                <w:szCs w:val="1"/>
                <w:color w:val="auto"/>
              </w:rPr>
            </w:pPr>
          </w:p>
        </w:tc>
      </w:tr>
      <w:tr>
        <w:trPr>
          <w:trHeight w:val="260"/>
        </w:trPr>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2,223,943</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26,485</w:t>
            </w:r>
          </w:p>
        </w:tc>
        <w:tc>
          <w:tcPr>
            <w:tcW w:w="220" w:type="dxa"/>
            <w:vAlign w:val="bottom"/>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2,307,240</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27,703</w:t>
            </w:r>
          </w:p>
        </w:tc>
        <w:tc>
          <w:tcPr>
            <w:tcW w:w="220" w:type="dxa"/>
            <w:vAlign w:val="bottom"/>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6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7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bottom w:val="single" w:sz="8" w:color="auto"/>
            </w:tcBorders>
            <w:shd w:val="clear" w:color="auto" w:fill="EEEEEE"/>
          </w:tcPr>
          <w:p>
            <w:pPr>
              <w:spacing w:after="0"/>
              <w:rPr>
                <w:sz w:val="17"/>
                <w:szCs w:val="17"/>
                <w:color w:val="auto"/>
              </w:rPr>
            </w:pPr>
          </w:p>
        </w:tc>
        <w:tc>
          <w:tcPr>
            <w:tcW w:w="940" w:type="dxa"/>
            <w:vAlign w:val="bottom"/>
            <w:tcBorders>
              <w:top w:val="single" w:sz="8" w:color="EEEEEE"/>
              <w:bottom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10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bottom w:val="single" w:sz="8" w:color="auto"/>
            </w:tcBorders>
            <w:shd w:val="clear" w:color="auto" w:fill="EEEEEE"/>
          </w:tcPr>
          <w:p>
            <w:pPr>
              <w:spacing w:after="0"/>
              <w:rPr>
                <w:sz w:val="17"/>
                <w:szCs w:val="17"/>
                <w:color w:val="auto"/>
              </w:rPr>
            </w:pPr>
          </w:p>
        </w:tc>
        <w:tc>
          <w:tcPr>
            <w:tcW w:w="920" w:type="dxa"/>
            <w:vAlign w:val="bottom"/>
            <w:tcBorders>
              <w:top w:val="single" w:sz="8" w:color="EEEEEE"/>
              <w:bottom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1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280" w:type="dxa"/>
            <w:vAlign w:val="bottom"/>
            <w:gridSpan w:val="5"/>
          </w:tcPr>
          <w:p>
            <w:pPr>
              <w:spacing w:after="0"/>
              <w:rPr>
                <w:sz w:val="20"/>
                <w:szCs w:val="20"/>
                <w:color w:val="auto"/>
              </w:rPr>
            </w:pPr>
            <w:r>
              <w:rPr>
                <w:rFonts w:ascii="Arial" w:cs="Arial" w:eastAsia="Arial" w:hAnsi="Arial"/>
                <w:sz w:val="16"/>
                <w:szCs w:val="16"/>
                <w:color w:val="auto"/>
              </w:rPr>
              <w:t>Net interest income/spread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49,067</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56,746</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280" w:type="dxa"/>
            <w:vAlign w:val="bottom"/>
            <w:tcBorders>
              <w:top w:val="single" w:sz="8" w:color="EEEEEE"/>
            </w:tcBorders>
            <w:gridSpan w:val="5"/>
            <w:shd w:val="clear" w:color="auto" w:fill="EEEEEE"/>
          </w:tcPr>
          <w:p>
            <w:pPr>
              <w:spacing w:after="0" w:line="180" w:lineRule="exact"/>
              <w:rPr>
                <w:sz w:val="20"/>
                <w:szCs w:val="20"/>
                <w:color w:val="auto"/>
              </w:rPr>
            </w:pPr>
            <w:r>
              <w:rPr>
                <w:rFonts w:ascii="Arial" w:cs="Arial" w:eastAsia="Arial" w:hAnsi="Arial"/>
                <w:sz w:val="16"/>
                <w:szCs w:val="16"/>
                <w:color w:val="auto"/>
              </w:rPr>
              <w:t>Net interest yield (3)</w:t>
            </w:r>
          </w:p>
        </w:tc>
        <w:tc>
          <w:tcPr>
            <w:tcW w:w="120" w:type="dxa"/>
            <w:vAlign w:val="bottom"/>
            <w:tcBorders>
              <w:top w:val="single" w:sz="8" w:color="EEEEEE"/>
            </w:tcBorders>
            <w:shd w:val="clear" w:color="auto" w:fill="EEEEEE"/>
          </w:tcPr>
          <w:p>
            <w:pPr>
              <w:spacing w:after="0"/>
              <w:rPr>
                <w:sz w:val="16"/>
                <w:szCs w:val="16"/>
                <w:color w:val="auto"/>
              </w:rPr>
            </w:pPr>
          </w:p>
        </w:tc>
        <w:tc>
          <w:tcPr>
            <w:tcW w:w="1000" w:type="dxa"/>
            <w:vAlign w:val="bottom"/>
            <w:tcBorders>
              <w:top w:val="single" w:sz="8" w:color="EEEEEE"/>
            </w:tcBorders>
            <w:shd w:val="clear" w:color="auto" w:fill="EEEEEE"/>
          </w:tcPr>
          <w:p>
            <w:pPr>
              <w:spacing w:after="0"/>
              <w:rPr>
                <w:sz w:val="16"/>
                <w:szCs w:val="16"/>
                <w:color w:val="auto"/>
              </w:rPr>
            </w:pPr>
          </w:p>
        </w:tc>
        <w:tc>
          <w:tcPr>
            <w:tcW w:w="26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940" w:type="dxa"/>
            <w:vAlign w:val="bottom"/>
            <w:tcBorders>
              <w:top w:val="single" w:sz="8" w:color="auto"/>
            </w:tcBorders>
            <w:shd w:val="clear" w:color="auto" w:fill="EEEEEE"/>
          </w:tcPr>
          <w:p>
            <w:pPr>
              <w:spacing w:after="0"/>
              <w:rPr>
                <w:sz w:val="16"/>
                <w:szCs w:val="16"/>
                <w:color w:val="auto"/>
              </w:rPr>
            </w:pPr>
          </w:p>
        </w:tc>
        <w:tc>
          <w:tcPr>
            <w:tcW w:w="220" w:type="dxa"/>
            <w:vAlign w:val="bottom"/>
            <w:tcBorders>
              <w:top w:val="single" w:sz="8" w:color="EEEEEE"/>
            </w:tcBorders>
            <w:shd w:val="clear" w:color="auto" w:fill="EEEEEE"/>
          </w:tcPr>
          <w:p>
            <w:pPr>
              <w:spacing w:after="0"/>
              <w:rPr>
                <w:sz w:val="16"/>
                <w:szCs w:val="16"/>
                <w:color w:val="auto"/>
              </w:rPr>
            </w:pPr>
          </w:p>
        </w:tc>
        <w:tc>
          <w:tcPr>
            <w:tcW w:w="1360" w:type="dxa"/>
            <w:vAlign w:val="bottom"/>
            <w:tcBorders>
              <w:top w:val="single" w:sz="8" w:color="EEEEEE"/>
            </w:tcBorders>
            <w:gridSpan w:val="2"/>
            <w:shd w:val="clear" w:color="auto" w:fill="EEEEEE"/>
          </w:tcPr>
          <w:p>
            <w:pPr>
              <w:jc w:val="right"/>
              <w:ind w:right="120"/>
              <w:spacing w:after="0" w:line="180" w:lineRule="exact"/>
              <w:rPr>
                <w:sz w:val="20"/>
                <w:szCs w:val="20"/>
                <w:color w:val="auto"/>
              </w:rPr>
            </w:pPr>
            <w:r>
              <w:rPr>
                <w:rFonts w:ascii="Arial" w:cs="Arial" w:eastAsia="Arial" w:hAnsi="Arial"/>
                <w:sz w:val="16"/>
                <w:szCs w:val="16"/>
                <w:color w:val="auto"/>
              </w:rPr>
              <w:t>8.3%</w:t>
            </w:r>
          </w:p>
        </w:tc>
        <w:tc>
          <w:tcPr>
            <w:tcW w:w="120" w:type="dxa"/>
            <w:vAlign w:val="bottom"/>
            <w:tcBorders>
              <w:top w:val="single" w:sz="8" w:color="EEEEEE"/>
            </w:tcBorders>
            <w:shd w:val="clear" w:color="auto" w:fill="EEEEEE"/>
          </w:tcPr>
          <w:p>
            <w:pPr>
              <w:spacing w:after="0"/>
              <w:rPr>
                <w:sz w:val="16"/>
                <w:szCs w:val="16"/>
                <w:color w:val="auto"/>
              </w:rPr>
            </w:pPr>
          </w:p>
        </w:tc>
        <w:tc>
          <w:tcPr>
            <w:tcW w:w="980" w:type="dxa"/>
            <w:vAlign w:val="bottom"/>
            <w:tcBorders>
              <w:top w:val="single" w:sz="8" w:color="EEEEEE"/>
            </w:tcBorders>
            <w:shd w:val="clear" w:color="auto" w:fill="EEEEEE"/>
          </w:tcPr>
          <w:p>
            <w:pPr>
              <w:spacing w:after="0"/>
              <w:rPr>
                <w:sz w:val="16"/>
                <w:szCs w:val="16"/>
                <w:color w:val="auto"/>
              </w:rPr>
            </w:pPr>
          </w:p>
        </w:tc>
        <w:tc>
          <w:tcPr>
            <w:tcW w:w="22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920" w:type="dxa"/>
            <w:vAlign w:val="bottom"/>
            <w:tcBorders>
              <w:top w:val="single" w:sz="8" w:color="auto"/>
            </w:tcBorders>
            <w:shd w:val="clear" w:color="auto" w:fill="EEEEEE"/>
          </w:tcPr>
          <w:p>
            <w:pPr>
              <w:spacing w:after="0"/>
              <w:rPr>
                <w:sz w:val="16"/>
                <w:szCs w:val="16"/>
                <w:color w:val="auto"/>
              </w:rPr>
            </w:pPr>
          </w:p>
        </w:tc>
        <w:tc>
          <w:tcPr>
            <w:tcW w:w="220" w:type="dxa"/>
            <w:vAlign w:val="bottom"/>
            <w:tcBorders>
              <w:top w:val="single" w:sz="8" w:color="EEEEEE"/>
            </w:tcBorders>
            <w:shd w:val="clear" w:color="auto" w:fill="EEEEEE"/>
          </w:tcPr>
          <w:p>
            <w:pPr>
              <w:spacing w:after="0"/>
              <w:rPr>
                <w:sz w:val="16"/>
                <w:szCs w:val="16"/>
                <w:color w:val="auto"/>
              </w:rPr>
            </w:pPr>
          </w:p>
        </w:tc>
        <w:tc>
          <w:tcPr>
            <w:tcW w:w="1240" w:type="dxa"/>
            <w:vAlign w:val="bottom"/>
            <w:tcBorders>
              <w:top w:val="single" w:sz="8" w:color="EEEEEE"/>
            </w:tcBorders>
            <w:gridSpan w:val="2"/>
            <w:shd w:val="clear" w:color="auto" w:fill="EEEEEE"/>
          </w:tcPr>
          <w:p>
            <w:pPr>
              <w:jc w:val="right"/>
              <w:spacing w:after="0" w:line="180"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2"/>
        </w:trPr>
        <w:tc>
          <w:tcPr>
            <w:tcW w:w="3280" w:type="dxa"/>
            <w:vAlign w:val="bottom"/>
            <w:gridSpan w:val="5"/>
          </w:tcPr>
          <w:p>
            <w:pPr>
              <w:spacing w:after="0"/>
              <w:rPr>
                <w:sz w:val="20"/>
                <w:szCs w:val="20"/>
                <w:color w:val="auto"/>
              </w:rPr>
            </w:pPr>
            <w:r>
              <w:rPr>
                <w:rFonts w:ascii="Arial" w:cs="Arial" w:eastAsia="Arial" w:hAnsi="Arial"/>
                <w:sz w:val="16"/>
                <w:szCs w:val="16"/>
                <w:color w:val="auto"/>
              </w:rPr>
              <w:t xml:space="preserve">Ratio of average interest earning assets </w:t>
            </w:r>
            <w:r>
              <w:rPr>
                <w:rFonts w:ascii="Arial" w:cs="Arial" w:eastAsia="Arial" w:hAnsi="Arial"/>
                <w:sz w:val="17"/>
                <w:szCs w:val="17"/>
                <w:color w:val="auto"/>
              </w:rPr>
              <w:t>to</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5"/>
          </w:tcPr>
          <w:p>
            <w:pPr>
              <w:ind w:left="180"/>
              <w:spacing w:after="0"/>
              <w:rPr>
                <w:sz w:val="20"/>
                <w:szCs w:val="20"/>
                <w:color w:val="auto"/>
              </w:rPr>
            </w:pPr>
            <w:r>
              <w:rPr>
                <w:rFonts w:ascii="Arial" w:cs="Arial" w:eastAsia="Arial" w:hAnsi="Arial"/>
                <w:sz w:val="18"/>
                <w:szCs w:val="18"/>
                <w:color w:val="auto"/>
              </w:rPr>
              <w:t>average interest bearing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287"/>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9"/>
          </w:tcPr>
          <w:p>
            <w:pPr>
              <w:jc w:val="center"/>
              <w:ind w:right="261"/>
              <w:spacing w:after="0"/>
              <w:rPr>
                <w:sz w:val="20"/>
                <w:szCs w:val="20"/>
                <w:color w:val="auto"/>
              </w:rPr>
            </w:pPr>
            <w:r>
              <w:rPr>
                <w:rFonts w:ascii="Arial" w:cs="Arial" w:eastAsia="Arial" w:hAnsi="Arial"/>
                <w:sz w:val="18"/>
                <w:szCs w:val="18"/>
                <w:b w:val="1"/>
                <w:bCs w:val="1"/>
                <w:color w:val="auto"/>
                <w:w w:val="90"/>
              </w:rPr>
              <w:t>Three Months Ended June 30, 2020</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center"/>
              <w:ind w:left="850"/>
              <w:spacing w:after="0"/>
              <w:rPr>
                <w:sz w:val="20"/>
                <w:szCs w:val="20"/>
                <w:color w:val="auto"/>
              </w:rPr>
            </w:pPr>
            <w:r>
              <w:rPr>
                <w:rFonts w:ascii="Arial" w:cs="Arial" w:eastAsia="Arial" w:hAnsi="Arial"/>
                <w:sz w:val="18"/>
                <w:szCs w:val="18"/>
                <w:b w:val="1"/>
                <w:bCs w:val="1"/>
                <w:color w:val="auto"/>
                <w:w w:val="90"/>
              </w:rPr>
              <w:t>Compared to June 30, 2019</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761"/>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380" w:type="dxa"/>
            <w:vAlign w:val="bottom"/>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3"/>
              </w:rPr>
              <w:t>Change Due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0"/>
              <w:spacing w:after="0" w:line="205" w:lineRule="exact"/>
              <w:rPr>
                <w:sz w:val="20"/>
                <w:szCs w:val="20"/>
                <w:color w:val="auto"/>
              </w:rPr>
            </w:pPr>
            <w:r>
              <w:rPr>
                <w:rFonts w:ascii="Arial" w:cs="Arial" w:eastAsia="Arial" w:hAnsi="Arial"/>
                <w:sz w:val="18"/>
                <w:szCs w:val="18"/>
                <w:b w:val="1"/>
                <w:bCs w:val="1"/>
                <w:color w:val="auto"/>
                <w:w w:val="93"/>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661"/>
              <w:spacing w:after="0"/>
              <w:rPr>
                <w:sz w:val="20"/>
                <w:szCs w:val="20"/>
                <w:color w:val="auto"/>
              </w:rPr>
            </w:pPr>
            <w:r>
              <w:rPr>
                <w:rFonts w:ascii="Arial" w:cs="Arial" w:eastAsia="Arial" w:hAnsi="Arial"/>
                <w:sz w:val="18"/>
                <w:szCs w:val="18"/>
                <w:b w:val="1"/>
                <w:bCs w:val="1"/>
                <w:color w:val="auto"/>
              </w:rPr>
              <w:t>Change</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to Volume</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 Rate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Interest Earning Assets</w:t>
            </w:r>
          </w:p>
        </w:tc>
        <w:tc>
          <w:tcPr>
            <w:tcW w:w="25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FFFFFF"/>
              </w:rPr>
              <w:t>$</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2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(22,578)</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(22,761)</w:t>
            </w:r>
          </w:p>
        </w:tc>
        <w:tc>
          <w:tcPr>
            <w:tcW w:w="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4140" w:type="dxa"/>
            <w:vAlign w:val="bottom"/>
            <w:gridSpan w:val="4"/>
          </w:tcPr>
          <w:p>
            <w:pPr>
              <w:spacing w:after="0"/>
              <w:rPr>
                <w:sz w:val="20"/>
                <w:szCs w:val="20"/>
                <w:color w:val="auto"/>
              </w:rPr>
            </w:pPr>
            <w:r>
              <w:rPr>
                <w:rFonts w:ascii="Arial" w:cs="Arial" w:eastAsia="Arial" w:hAnsi="Arial"/>
                <w:sz w:val="18"/>
                <w:szCs w:val="18"/>
                <w:color w:val="auto"/>
              </w:rPr>
              <w:t>Finance receivables at fair value</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281"/>
              <w:spacing w:after="0"/>
              <w:rPr>
                <w:sz w:val="20"/>
                <w:szCs w:val="20"/>
                <w:color w:val="auto"/>
              </w:rPr>
            </w:pPr>
            <w:r>
              <w:rPr>
                <w:rFonts w:ascii="Arial" w:cs="Arial" w:eastAsia="Arial" w:hAnsi="Arial"/>
                <w:sz w:val="18"/>
                <w:szCs w:val="18"/>
                <w:color w:val="auto"/>
              </w:rPr>
              <w:t>13,681</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12,457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9"/>
        </w:trPr>
        <w:tc>
          <w:tcPr>
            <w:tcW w:w="20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(8,897)</w:t>
            </w:r>
          </w:p>
        </w:tc>
        <w:tc>
          <w:tcPr>
            <w:tcW w:w="3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(10,304)</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208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2,066</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Residual interest financing</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1"/>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4"/>
          </w:tcPr>
          <w:p>
            <w:pPr>
              <w:spacing w:after="0"/>
              <w:rPr>
                <w:sz w:val="20"/>
                <w:szCs w:val="20"/>
                <w:color w:val="auto"/>
              </w:rPr>
            </w:pPr>
            <w:r>
              <w:rPr>
                <w:rFonts w:ascii="Arial" w:cs="Arial" w:eastAsia="Arial" w:hAnsi="Arial"/>
                <w:sz w:val="18"/>
                <w:szCs w:val="18"/>
                <w:color w:val="auto"/>
              </w:rPr>
              <w:t>Subordinated renewable notes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281"/>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20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(1,218</w:t>
            </w:r>
          </w:p>
        </w:tc>
        <w:tc>
          <w:tcPr>
            <w:tcW w:w="360" w:type="dxa"/>
            <w:vAlign w:val="bottom"/>
            <w:tcBorders>
              <w:top w:val="single" w:sz="8" w:color="EEEEEE"/>
            </w:tcBorders>
            <w:shd w:val="clear" w:color="auto" w:fill="EEEEEE"/>
          </w:tcPr>
          <w:p>
            <w:pPr>
              <w:jc w:val="right"/>
              <w:ind w:right="2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2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(7,679)</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(10,343)</w:t>
            </w:r>
          </w:p>
        </w:tc>
        <w:tc>
          <w:tcPr>
            <w:tcW w:w="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
        </w:trPr>
        <w:tc>
          <w:tcPr>
            <w:tcW w:w="2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three months ended June 30, 2020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$1,631.7 million for the three months ended June 30, 2020 compared to $1,136.1 million in the prior year period.</w:t>
      </w:r>
    </w:p>
    <w:p>
      <w:pPr>
        <w:spacing w:after="0" w:line="18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The amendment introduces a new credit reserving model known as the Current Expected Credit Loss model,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Provision for credit losses was $3.1 million for the three months ended June 30, 2020. The provision represents our estimate of additional losses that may be incurred on the portfolio of finance receivables resulting from the pandemic. Such losses were not considered in our initial estimate of remaining lifetime losses that we recorded with the adoption of CECL in January 2020. In the prior year period, prior to the adoption of CECL, provision for credit losses was $20.5 million.</w:t>
      </w:r>
    </w:p>
    <w:p>
      <w:pPr>
        <w:spacing w:after="0" w:line="18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decreased by $1.6 million to $3.1 million during the three months ended June 30, 2020 and represented 4.9% of total operating expenses. We purchased $135.9 million of new contracts during the three months ended June 30, 2020 compared to $250.1 million in the prior year period. We attribute the decrease in contract purchases to the partial shutdown of the economy caused by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2" w:name="page33"/>
    <w:bookmarkEnd w:id="32"/>
    <w:p>
      <w:pPr>
        <w:jc w:val="both"/>
        <w:ind w:firstLine="360"/>
        <w:spacing w:after="0" w:line="277" w:lineRule="auto"/>
        <w:rPr>
          <w:sz w:val="20"/>
          <w:szCs w:val="20"/>
          <w:color w:val="auto"/>
        </w:rPr>
      </w:pPr>
      <w:r>
        <w:rPr>
          <w:rFonts w:ascii="Arial" w:cs="Arial" w:eastAsia="Arial" w:hAnsi="Arial"/>
          <w:sz w:val="18"/>
          <w:szCs w:val="18"/>
          <w:color w:val="auto"/>
        </w:rPr>
        <w:t>Occupancy expenses decreased by $178,000 or 8.9%, to $1.8 million compared to $2.0 million in the previous year and represented 3.0% of total operating expenses.</w:t>
      </w:r>
    </w:p>
    <w:p>
      <w:pPr>
        <w:spacing w:after="0" w:line="1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Depreciation and amortization expenses increased to $487,000 compared to $262,000 in the previous year and represented 0.8% of total operating expenses.</w:t>
      </w:r>
    </w:p>
    <w:p>
      <w:pPr>
        <w:spacing w:after="0" w:line="1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For the three months ended June 30, 2020 we recorded income tax expense of $1.7 million, representing a 36% effective tax rate. In the prior year period, we our income tax expense was $970,000, for an effective income tax rate of 35%.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six months ended June 30, 2020 with the six months ended June 30, 2019</w:t>
      </w:r>
    </w:p>
    <w:p>
      <w:pPr>
        <w:spacing w:after="0" w:line="22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six months ended June 30, 2020, our revenues were $138.1 million, a decrease of $36.5 million, or 20.9%,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$174.6 million. The primary reason for the decrease in revenues is a decrease in interest income and a mark down to the recorded value of the portion of the receivables portfolio accounted for at fair value. Interest income for the six months ended June 30, 2020 decreased $15.6 million, or 9.2%, to $154.7 million from $170.3 million in the prior year. The primary reason for the decrease in interest income is the continued runoff of our portfolio of finance receivables originated prior to January 2018, which accrued interest at an average of 18.5%, which is offset only in part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average balances and interest yields of our loan portfolio for the six months ended June 30, 2020 and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8"/>
                <w:szCs w:val="18"/>
                <w:b w:val="1"/>
                <w:bCs w:val="1"/>
                <w:color w:val="auto"/>
                <w:w w:val="90"/>
              </w:rPr>
              <w:t>Six Months Ended June 30,</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6"/>
          </w:tcPr>
          <w:p>
            <w:pPr>
              <w:jc w:val="center"/>
              <w:ind w:right="56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34"/>
        </w:trPr>
        <w:tc>
          <w:tcPr>
            <w:tcW w:w="3280" w:type="dxa"/>
            <w:vAlign w:val="bottom"/>
            <w:gridSpan w:val="2"/>
            <w:vMerge w:val="restart"/>
          </w:tcPr>
          <w:p>
            <w:pPr>
              <w:ind w:left="680"/>
              <w:spacing w:after="0"/>
              <w:rPr>
                <w:sz w:val="20"/>
                <w:szCs w:val="20"/>
                <w:color w:val="auto"/>
              </w:rPr>
            </w:pPr>
            <w:r>
              <w:rPr>
                <w:rFonts w:ascii="Arial" w:cs="Arial" w:eastAsia="Arial" w:hAnsi="Arial"/>
                <w:sz w:val="18"/>
                <w:szCs w:val="18"/>
                <w:b w:val="1"/>
                <w:bCs w:val="1"/>
                <w:color w:val="auto"/>
              </w:rPr>
              <w:t>Interest Earning Assets</w:t>
            </w: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Yield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11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Yield</w:t>
            </w:r>
          </w:p>
        </w:tc>
        <w:tc>
          <w:tcPr>
            <w:tcW w:w="0" w:type="dxa"/>
            <w:vAlign w:val="bottom"/>
          </w:tcPr>
          <w:p>
            <w:pPr>
              <w:spacing w:after="0"/>
              <w:rPr>
                <w:sz w:val="1"/>
                <w:szCs w:val="1"/>
                <w:color w:val="auto"/>
              </w:rPr>
            </w:pPr>
          </w:p>
        </w:tc>
      </w:tr>
      <w:tr>
        <w:trPr>
          <w:trHeight w:val="209"/>
        </w:trPr>
        <w:tc>
          <w:tcPr>
            <w:tcW w:w="328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789,026</w:t>
            </w:r>
          </w:p>
        </w:tc>
        <w:tc>
          <w:tcPr>
            <w:tcW w:w="220" w:type="dxa"/>
            <w:vAlign w:val="bottom"/>
            <w:tcBorders>
              <w:top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72,224</w:t>
            </w:r>
          </w:p>
        </w:tc>
        <w:tc>
          <w:tcPr>
            <w:tcW w:w="1220" w:type="dxa"/>
            <w:vAlign w:val="bottom"/>
            <w:tcBorders>
              <w:top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Borders>
              <w:top w:val="single" w:sz="8" w:color="EEEEEE"/>
            </w:tcBorders>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EEEEEE"/>
            </w:tcBorders>
            <w:gridSpan w:val="2"/>
            <w:shd w:val="clear" w:color="auto" w:fill="EEEEEE"/>
          </w:tcPr>
          <w:p>
            <w:pPr>
              <w:ind w:left="380"/>
              <w:spacing w:after="0"/>
              <w:rPr>
                <w:sz w:val="20"/>
                <w:szCs w:val="20"/>
                <w:color w:val="auto"/>
              </w:rPr>
            </w:pPr>
            <w:r>
              <w:rPr>
                <w:rFonts w:ascii="Arial" w:cs="Arial" w:eastAsia="Arial" w:hAnsi="Arial"/>
                <w:sz w:val="18"/>
                <w:szCs w:val="18"/>
                <w:color w:val="auto"/>
              </w:rPr>
              <w:t>1,349,741</w:t>
            </w:r>
          </w:p>
        </w:tc>
        <w:tc>
          <w:tcPr>
            <w:tcW w:w="12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119,501</w:t>
            </w:r>
          </w:p>
        </w:tc>
        <w:tc>
          <w:tcPr>
            <w:tcW w:w="1160" w:type="dxa"/>
            <w:vAlign w:val="bottom"/>
            <w:tcBorders>
              <w:top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w w:val="94"/>
              </w:rPr>
              <w:t>Finance receivables measured at fair value</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1,606,088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82,465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1,045,826</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50,793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2,395,114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154,689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ind w:left="380"/>
              <w:spacing w:after="0"/>
              <w:rPr>
                <w:sz w:val="20"/>
                <w:szCs w:val="20"/>
                <w:color w:val="auto"/>
              </w:rPr>
            </w:pPr>
            <w:r>
              <w:rPr>
                <w:rFonts w:ascii="Arial" w:cs="Arial" w:eastAsia="Arial" w:hAnsi="Arial"/>
                <w:sz w:val="18"/>
                <w:szCs w:val="18"/>
                <w:color w:val="auto"/>
                <w:w w:val="87"/>
              </w:rPr>
              <w:t>2,395,567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170,294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Revenues for the six months ended June 30, 2020 include a $19.9 million mark down to the recorded value of the finance receivables measured at fair value. The mark down is an estimate based on our evaluation of the appropriate fair value and future earnings rate of existing receivables compared to recently acquired receivables and our assessment of potential additional future net losses arising from the pandemic.</w:t>
      </w:r>
    </w:p>
    <w:p>
      <w:pPr>
        <w:spacing w:after="0" w:line="16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In the six months ended June 30, 2020, other income of $3.3 million decreased by $1.0 million, or 23.3% compared to the prior year. The six-month period ended June 30, 2020 includes a decrease of $700,000 in revenues associated with direct mail and other related products and services that we offer to our dealers and a decrease of $210,000 in payments from third-party providers of convenience fees paid by our customers for web based and other electronic payments.</w:t>
      </w:r>
    </w:p>
    <w:p>
      <w:pPr>
        <w:spacing w:after="0" w:line="187"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jc w:val="both"/>
        <w:ind w:firstLine="360"/>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Total operating expenses were $130.3 million for the six months ended June 30, 2020, compared to $169.1 million for the prior period, a decrease of $38.8 million, or 22.9%. The decrease is primarily due to a decrease in provision for credit losses.</w:t>
      </w:r>
    </w:p>
    <w:p>
      <w:pPr>
        <w:spacing w:after="0" w:line="1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Employee costs increased by $2.9 million or 7.5%, to $41.7 million during the six months ended June 30, 2020, representing 32.0% of total operating expenses, from $38.8 million for the prior year, or 22.9% of total operating expenses. The table below summarizes our employees by category as well as contract purchases and units in our managed portfolio as of, and for the six-month periods ended, June 30, 2020 and 2019:</w:t>
      </w:r>
    </w:p>
    <w:p>
      <w:pPr>
        <w:spacing w:after="0" w:line="175"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2019</w:t>
            </w:r>
          </w:p>
        </w:tc>
      </w:tr>
      <w:tr>
        <w:trPr>
          <w:trHeight w:val="209"/>
        </w:trPr>
        <w:tc>
          <w:tcPr>
            <w:tcW w:w="5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34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20" w:type="dxa"/>
            <w:vAlign w:val="bottom"/>
            <w:gridSpan w:val="2"/>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 in millions)</w:t>
            </w:r>
          </w:p>
        </w:tc>
        <w:tc>
          <w:tcPr>
            <w:tcW w:w="120" w:type="dxa"/>
            <w:vAlign w:val="bottom"/>
            <w:gridSpan w:val="2"/>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22,369</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28,181</w:t>
            </w: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2,326.4</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2,399.2</w:t>
            </w: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173,214</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177,115</w:t>
            </w: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r>
      <w:tr>
        <w:trPr>
          <w:trHeight w:val="230"/>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EEEEEE"/>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During the second quarter, we laid off 114 staff members due to the decrease in our business caused by the pandemic. The layoffs should result in decreased employee costs in future periods.</w:t>
      </w:r>
    </w:p>
    <w:p>
      <w:pPr>
        <w:spacing w:after="0" w:line="17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$16.5 million, a decrease from $16.9 million in the previous year and represented 12.7% of total operating expenses.</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Interest expense for the six months ended June 30, 2020 were $53.5 million and represented 41.0% of total operating expenses, compared to $55.0 million in the previous year, when it was 32.5%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jc w:val="both"/>
        <w:ind w:firstLine="360"/>
        <w:spacing w:after="0" w:line="291" w:lineRule="auto"/>
        <w:rPr>
          <w:sz w:val="20"/>
          <w:szCs w:val="20"/>
          <w:color w:val="auto"/>
        </w:rPr>
      </w:pPr>
      <w:r>
        <w:rPr>
          <w:rFonts w:ascii="Arial" w:cs="Arial" w:eastAsia="Arial" w:hAnsi="Arial"/>
          <w:sz w:val="16"/>
          <w:szCs w:val="16"/>
          <w:color w:val="auto"/>
        </w:rPr>
        <w:t>Interest on securitization trust debt decreased by $2.3 million for the six months ended June 30, 2020 compared to the prior period. The average balance of securitization trust debt decreased to $2,097.4 million for the six months ended June 30, 2020 compared to $2,184.7 million for the six months ended June 30, 2019. The blended interest rates on new term securitizations have generally increased in 2017 and 2018 before declining in 2019.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Securitizations</w:t>
      </w:r>
    </w:p>
    <w:p>
      <w:pPr>
        <w:spacing w:after="0" w:line="207"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w:t>
            </w:r>
          </w:p>
        </w:tc>
      </w:tr>
      <w:tr>
        <w:trPr>
          <w:trHeight w:val="234"/>
        </w:trPr>
        <w:tc>
          <w:tcPr>
            <w:tcW w:w="2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Period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Funds</w:t>
            </w:r>
          </w:p>
        </w:tc>
      </w:tr>
      <w:tr>
        <w:trPr>
          <w:trHeight w:val="210"/>
        </w:trPr>
        <w:tc>
          <w:tcPr>
            <w:tcW w:w="27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2017</w:t>
            </w:r>
          </w:p>
        </w:tc>
        <w:tc>
          <w:tcPr>
            <w:tcW w:w="20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April 2017</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29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July 2017</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2017</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29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2018</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April 2018</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29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July 2018</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2018</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29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2019</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April 2019</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298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0"/>
              </w:rPr>
              <w:t>July 2019</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2019</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29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2020</w:t>
            </w: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30"/>
        </w:trPr>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2020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4.09%</w:t>
            </w:r>
          </w:p>
        </w:tc>
      </w:tr>
    </w:tbl>
    <w:p>
      <w:pPr>
        <w:spacing w:after="0" w:line="187"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The annualized average rate on our securitization trust debt was 4.4% for the six months ended June 30, 2020 and 2019.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 We observed a significant increase in the blended cost of funds in our June 2020 securitization compared to our January 2020 securitization, which we attribute to pandemic related disruptions and uncertainties in the market for asset-backed securitizations at the time.</w:t>
      </w:r>
    </w:p>
    <w:p>
      <w:pPr>
        <w:spacing w:after="0" w:line="16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Interest expense on subordinated renewable notes increased by $369,000. The average balance of the outstanding subordinated debt increased 30.0% to $18.4 million for the six months ended June 30, 2020 compared to $14.2 million for the six months ended June 30, 2019. The average yield of subordinated notes increased to 11.1% in the six-month period ended June 30, 2020 compared to 9.1% in the prior period.</w:t>
      </w:r>
    </w:p>
    <w:p>
      <w:pPr>
        <w:spacing w:after="0" w:line="16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Interest expense on warehouse debt increased by $457,000, or 11.5%, for the six months ended June 30, 2020 compared to the prior period. The average rate on the debt was 7.7% in 2020 compared to 10.1% in the prior year.</w:t>
      </w:r>
    </w:p>
    <w:p>
      <w:pPr>
        <w:spacing w:after="0" w:line="1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Interest expense on this residual interest financing was $1.9 million for the current year and prior year periods.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ind w:left="36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90"/>
              </w:rPr>
              <w:t>Six Months Ended June 30,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Balance (1)</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Yield/Rate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Balance (1)</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89"/>
        </w:trPr>
        <w:tc>
          <w:tcPr>
            <w:tcW w:w="54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Arial" w:cs="Arial" w:eastAsia="Arial" w:hAnsi="Arial"/>
                <w:sz w:val="18"/>
                <w:szCs w:val="18"/>
                <w:b w:val="1"/>
                <w:bCs w:val="1"/>
                <w:color w:val="auto"/>
                <w:w w:val="89"/>
              </w:rPr>
              <w:t>Interest Earning Assets</w:t>
            </w:r>
          </w:p>
        </w:tc>
        <w:tc>
          <w:tcPr>
            <w:tcW w:w="80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02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40" w:type="dxa"/>
            <w:vAlign w:val="bottom"/>
            <w:tcBorders>
              <w:top w:val="single" w:sz="8" w:color="auto"/>
              <w:bottom w:val="single" w:sz="8" w:color="EEEEEE"/>
            </w:tcBorders>
            <w:shd w:val="clear" w:color="auto" w:fill="EEEEEE"/>
          </w:tcPr>
          <w:p>
            <w:pPr>
              <w:spacing w:after="0"/>
              <w:rPr>
                <w:sz w:val="16"/>
                <w:szCs w:val="16"/>
                <w:color w:val="auto"/>
              </w:rPr>
            </w:pPr>
          </w:p>
        </w:tc>
        <w:tc>
          <w:tcPr>
            <w:tcW w:w="200" w:type="dxa"/>
            <w:vAlign w:val="bottom"/>
            <w:tcBorders>
              <w:top w:val="single" w:sz="8" w:color="EEEEEE"/>
              <w:bottom w:val="single" w:sz="8" w:color="EEEEEE"/>
            </w:tcBorders>
            <w:shd w:val="clear" w:color="auto" w:fill="EEEEEE"/>
          </w:tcPr>
          <w:p>
            <w:pPr>
              <w:spacing w:after="0"/>
              <w:rPr>
                <w:sz w:val="16"/>
                <w:szCs w:val="16"/>
                <w:color w:val="auto"/>
              </w:rPr>
            </w:pPr>
          </w:p>
        </w:tc>
        <w:tc>
          <w:tcPr>
            <w:tcW w:w="1120" w:type="dxa"/>
            <w:vAlign w:val="bottom"/>
            <w:tcBorders>
              <w:top w:val="single" w:sz="8" w:color="auto"/>
              <w:bottom w:val="single" w:sz="8" w:color="EEEEEE"/>
            </w:tcBorders>
            <w:shd w:val="clear" w:color="auto" w:fill="EEEEEE"/>
          </w:tcPr>
          <w:p>
            <w:pPr>
              <w:spacing w:after="0"/>
              <w:rPr>
                <w:sz w:val="16"/>
                <w:szCs w:val="16"/>
                <w:color w:val="auto"/>
              </w:rPr>
            </w:pPr>
          </w:p>
        </w:tc>
        <w:tc>
          <w:tcPr>
            <w:tcW w:w="260" w:type="dxa"/>
            <w:vAlign w:val="bottom"/>
            <w:tcBorders>
              <w:top w:val="single" w:sz="8" w:color="EEEEEE"/>
              <w:bottom w:val="single" w:sz="8" w:color="EEEEEE"/>
            </w:tcBorders>
            <w:shd w:val="clear" w:color="auto" w:fill="EEEEEE"/>
          </w:tcPr>
          <w:p>
            <w:pPr>
              <w:spacing w:after="0"/>
              <w:rPr>
                <w:sz w:val="16"/>
                <w:szCs w:val="16"/>
                <w:color w:val="auto"/>
              </w:rPr>
            </w:pPr>
          </w:p>
        </w:tc>
        <w:tc>
          <w:tcPr>
            <w:tcW w:w="120" w:type="dxa"/>
            <w:vAlign w:val="bottom"/>
            <w:tcBorders>
              <w:top w:val="single" w:sz="8" w:color="auto"/>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20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4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100" w:type="dxa"/>
            <w:vAlign w:val="bottom"/>
            <w:tcBorders>
              <w:top w:val="single" w:sz="8" w:color="auto"/>
              <w:bottom w:val="single" w:sz="8" w:color="EEEEEE"/>
            </w:tcBorders>
            <w:shd w:val="clear" w:color="auto" w:fill="EEEEEE"/>
          </w:tcPr>
          <w:p>
            <w:pPr>
              <w:spacing w:after="0"/>
              <w:rPr>
                <w:sz w:val="16"/>
                <w:szCs w:val="16"/>
                <w:color w:val="auto"/>
              </w:rPr>
            </w:pPr>
          </w:p>
        </w:tc>
        <w:tc>
          <w:tcPr>
            <w:tcW w:w="16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789,026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72,224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1,349,741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119,501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1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1,606,088</w:t>
            </w: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82,465</w:t>
            </w: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1,045,826</w:t>
            </w:r>
          </w:p>
        </w:tc>
        <w:tc>
          <w:tcPr>
            <w:tcW w:w="1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50,793</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2,395,114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154,689</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2,395,567</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170,294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2740" w:type="dxa"/>
            <w:vAlign w:val="bottom"/>
            <w:gridSpan w:val="4"/>
          </w:tcPr>
          <w:p>
            <w:pPr>
              <w:jc w:val="center"/>
              <w:ind w:right="660"/>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115,825</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4,437</w:t>
            </w: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78,563</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3,980</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38,744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1,857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2,097,420</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46,165</w:t>
            </w: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2,184,692</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48,454</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28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18,397</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14,202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EEEEEE"/>
          </w:tcPr>
          <w:p>
            <w:pPr>
              <w:spacing w:after="0" w:line="20" w:lineRule="exact"/>
              <w:rPr>
                <w:sz w:val="1"/>
                <w:szCs w:val="1"/>
                <w:color w:val="auto"/>
              </w:rPr>
            </w:pPr>
          </w:p>
        </w:tc>
        <w:tc>
          <w:tcPr>
            <w:tcW w:w="138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6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37"/>
        </w:trPr>
        <w:tc>
          <w:tcPr>
            <w:tcW w:w="5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2,270,386</w:t>
            </w:r>
          </w:p>
        </w:tc>
        <w:tc>
          <w:tcPr>
            <w:tcW w:w="180" w:type="dxa"/>
            <w:vAlign w:val="bottom"/>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53,476</w:t>
            </w:r>
          </w:p>
        </w:tc>
        <w:tc>
          <w:tcPr>
            <w:tcW w:w="200" w:type="dxa"/>
            <w:vAlign w:val="bottom"/>
            <w:vMerge w:val="continue"/>
            <w:shd w:val="clear" w:color="auto" w:fill="EEEEEE"/>
          </w:tcPr>
          <w:p>
            <w:pPr>
              <w:spacing w:after="0"/>
              <w:rPr>
                <w:sz w:val="20"/>
                <w:szCs w:val="20"/>
                <w:color w:val="auto"/>
              </w:rPr>
            </w:pPr>
          </w:p>
        </w:tc>
        <w:tc>
          <w:tcPr>
            <w:tcW w:w="1380" w:type="dxa"/>
            <w:vAlign w:val="bottom"/>
            <w:gridSpan w:val="2"/>
            <w:vMerge w:val="continue"/>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2,317,457</w:t>
            </w:r>
          </w:p>
        </w:tc>
        <w:tc>
          <w:tcPr>
            <w:tcW w:w="180" w:type="dxa"/>
            <w:vAlign w:val="bottom"/>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54,993</w:t>
            </w:r>
          </w:p>
        </w:tc>
        <w:tc>
          <w:tcPr>
            <w:tcW w:w="220" w:type="dxa"/>
            <w:vAlign w:val="bottom"/>
            <w:vMerge w:val="continue"/>
            <w:shd w:val="clear" w:color="auto" w:fill="EEEEEE"/>
          </w:tcPr>
          <w:p>
            <w:pPr>
              <w:spacing w:after="0"/>
              <w:rPr>
                <w:sz w:val="20"/>
                <w:szCs w:val="20"/>
                <w:color w:val="auto"/>
              </w:rPr>
            </w:pPr>
          </w:p>
        </w:tc>
        <w:tc>
          <w:tcPr>
            <w:tcW w:w="126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101,213</w:t>
            </w:r>
          </w:p>
        </w:tc>
        <w:tc>
          <w:tcPr>
            <w:tcW w:w="20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115,301</w:t>
            </w:r>
          </w:p>
        </w:tc>
        <w:tc>
          <w:tcPr>
            <w:tcW w:w="22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gridSpan w:val="5"/>
            <w:vMerge w:val="restart"/>
          </w:tcPr>
          <w:p>
            <w:pPr>
              <w:spacing w:after="0"/>
              <w:rPr>
                <w:sz w:val="20"/>
                <w:szCs w:val="20"/>
                <w:color w:val="auto"/>
              </w:rPr>
            </w:pPr>
            <w:r>
              <w:rPr>
                <w:rFonts w:ascii="Arial" w:cs="Arial" w:eastAsia="Arial" w:hAnsi="Arial"/>
                <w:sz w:val="18"/>
                <w:szCs w:val="18"/>
                <w:color w:val="auto"/>
              </w:rPr>
              <w:t>Net interest yield (3)</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196"/>
        </w:trPr>
        <w:tc>
          <w:tcPr>
            <w:tcW w:w="32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6"/>
              </w:rPr>
              <w:t>Ratio of average interest earning assets to</w:t>
            </w: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28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89"/>
              </w:rPr>
              <w:t>Six Months Ended June 30, 2020</w:t>
            </w:r>
          </w:p>
        </w:tc>
      </w:tr>
      <w:tr>
        <w:trPr>
          <w:trHeight w:val="234"/>
        </w:trPr>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0"/>
              </w:rPr>
              <w:t>Compared to June 30, 2019</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701"/>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58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40" w:type="dxa"/>
            <w:vAlign w:val="bottom"/>
          </w:tcPr>
          <w:p>
            <w:pPr>
              <w:spacing w:after="0"/>
              <w:rPr>
                <w:sz w:val="17"/>
                <w:szCs w:val="17"/>
                <w:color w:val="auto"/>
              </w:rPr>
            </w:pPr>
          </w:p>
        </w:tc>
        <w:tc>
          <w:tcPr>
            <w:tcW w:w="1220" w:type="dxa"/>
            <w:vAlign w:val="bottom"/>
          </w:tcPr>
          <w:p>
            <w:pPr>
              <w:jc w:val="right"/>
              <w:ind w:right="130"/>
              <w:spacing w:after="0" w:line="205" w:lineRule="exact"/>
              <w:rPr>
                <w:sz w:val="20"/>
                <w:szCs w:val="20"/>
                <w:color w:val="auto"/>
              </w:rPr>
            </w:pPr>
            <w:r>
              <w:rPr>
                <w:rFonts w:ascii="Arial" w:cs="Arial" w:eastAsia="Arial" w:hAnsi="Arial"/>
                <w:sz w:val="18"/>
                <w:szCs w:val="18"/>
                <w:b w:val="1"/>
                <w:bCs w:val="1"/>
                <w:color w:val="auto"/>
                <w:w w:val="93"/>
              </w:rPr>
              <w:t>Change Due</w:t>
            </w:r>
          </w:p>
        </w:tc>
        <w:tc>
          <w:tcPr>
            <w:tcW w:w="100" w:type="dxa"/>
            <w:vAlign w:val="bottom"/>
            <w:gridSpan w:val="2"/>
          </w:tcPr>
          <w:p>
            <w:pPr>
              <w:spacing w:after="0"/>
              <w:rPr>
                <w:sz w:val="17"/>
                <w:szCs w:val="17"/>
                <w:color w:val="auto"/>
              </w:rPr>
            </w:pPr>
          </w:p>
        </w:tc>
      </w:tr>
      <w:tr>
        <w:trPr>
          <w:trHeight w:val="234"/>
        </w:trPr>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to Volume</w:t>
            </w:r>
          </w:p>
        </w:tc>
        <w:tc>
          <w:tcPr>
            <w:tcW w:w="14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 Rate</w:t>
            </w:r>
          </w:p>
        </w:tc>
      </w:tr>
      <w:tr>
        <w:trPr>
          <w:trHeight w:val="209"/>
        </w:trPr>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5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840" w:type="dxa"/>
            <w:vAlign w:val="bottom"/>
            <w:tcBorders>
              <w:bottom w:val="single" w:sz="8" w:color="EEEEEE"/>
            </w:tcBorders>
            <w:gridSpan w:val="2"/>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0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26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5300" w:type="dxa"/>
            <w:vAlign w:val="bottom"/>
            <w:gridSpan w:val="5"/>
          </w:tcPr>
          <w:p>
            <w:pPr>
              <w:spacing w:after="0"/>
              <w:rPr>
                <w:sz w:val="20"/>
                <w:szCs w:val="20"/>
                <w:color w:val="auto"/>
              </w:rPr>
            </w:pPr>
            <w:r>
              <w:rPr>
                <w:rFonts w:ascii="Arial" w:cs="Arial" w:eastAsia="Arial" w:hAnsi="Arial"/>
                <w:sz w:val="18"/>
                <w:szCs w:val="18"/>
                <w:color w:val="auto"/>
              </w:rPr>
              <w:t>Finance receivables gross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(47,277)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(52,010)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4,733</w:t>
            </w:r>
          </w:p>
        </w:tc>
        <w:tc>
          <w:tcPr>
            <w:tcW w:w="80" w:type="dxa"/>
            <w:vAlign w:val="bottom"/>
          </w:tcPr>
          <w:p>
            <w:pPr>
              <w:spacing w:after="0"/>
              <w:rPr>
                <w:sz w:val="18"/>
                <w:szCs w:val="18"/>
                <w:color w:val="auto"/>
              </w:rPr>
            </w:pPr>
          </w:p>
        </w:tc>
      </w:tr>
      <w:tr>
        <w:trPr>
          <w:trHeight w:val="230"/>
        </w:trPr>
        <w:tc>
          <w:tcPr>
            <w:tcW w:w="53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2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31,672</w:t>
            </w:r>
          </w:p>
        </w:tc>
        <w:tc>
          <w:tcPr>
            <w:tcW w:w="1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22,749</w:t>
            </w:r>
          </w:p>
        </w:tc>
        <w:tc>
          <w:tcPr>
            <w:tcW w:w="1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8,923</w:t>
            </w:r>
          </w:p>
        </w:tc>
        <w:tc>
          <w:tcPr>
            <w:tcW w:w="80" w:type="dxa"/>
            <w:vAlign w:val="bottom"/>
            <w:shd w:val="clear" w:color="auto" w:fill="EEEEEE"/>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(15,605)</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(29,261)</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1520" w:type="dxa"/>
            <w:vAlign w:val="bottom"/>
            <w:shd w:val="clear" w:color="auto" w:fill="EEEEEE"/>
          </w:tcPr>
          <w:p>
            <w:pPr>
              <w:spacing w:after="0"/>
              <w:rPr>
                <w:sz w:val="15"/>
                <w:szCs w:val="15"/>
                <w:color w:val="auto"/>
              </w:rPr>
            </w:pPr>
          </w:p>
        </w:tc>
        <w:tc>
          <w:tcPr>
            <w:tcW w:w="3780" w:type="dxa"/>
            <w:vAlign w:val="bottom"/>
            <w:gridSpan w:val="4"/>
            <w:shd w:val="clear" w:color="auto" w:fill="EEEEEE"/>
          </w:tcPr>
          <w:p>
            <w:pPr>
              <w:jc w:val="center"/>
              <w:ind w:right="172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40" w:type="dxa"/>
            <w:vAlign w:val="bottom"/>
            <w:shd w:val="clear" w:color="auto" w:fill="EEEEEE"/>
          </w:tcPr>
          <w:p>
            <w:pPr>
              <w:spacing w:after="0"/>
              <w:rPr>
                <w:sz w:val="15"/>
                <w:szCs w:val="15"/>
                <w:color w:val="auto"/>
              </w:rPr>
            </w:pPr>
          </w:p>
        </w:tc>
        <w:tc>
          <w:tcPr>
            <w:tcW w:w="11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2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r>
      <w:tr>
        <w:trPr>
          <w:trHeight w:val="20"/>
        </w:trPr>
        <w:tc>
          <w:tcPr>
            <w:tcW w:w="15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r>
        <w:trPr>
          <w:trHeight w:val="216"/>
        </w:trPr>
        <w:tc>
          <w:tcPr>
            <w:tcW w:w="530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tcPr>
          <w:p>
            <w:pPr>
              <w:spacing w:after="0"/>
              <w:rPr>
                <w:sz w:val="18"/>
                <w:szCs w:val="18"/>
                <w:color w:val="auto"/>
              </w:rPr>
            </w:pPr>
          </w:p>
        </w:tc>
        <w:tc>
          <w:tcPr>
            <w:tcW w:w="1400" w:type="dxa"/>
            <w:vAlign w:val="bottom"/>
            <w:gridSpan w:val="2"/>
          </w:tcPr>
          <w:p>
            <w:pPr>
              <w:jc w:val="right"/>
              <w:ind w:right="221"/>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3,318</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(2,861)</w:t>
            </w:r>
          </w:p>
        </w:tc>
      </w:tr>
      <w:tr>
        <w:trPr>
          <w:trHeight w:val="216"/>
        </w:trPr>
        <w:tc>
          <w:tcPr>
            <w:tcW w:w="53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(54)</w:t>
            </w:r>
          </w:p>
        </w:tc>
        <w:tc>
          <w:tcPr>
            <w:tcW w:w="12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EEEEEE"/>
          </w:tcPr>
          <w:p>
            <w:pPr>
              <w:spacing w:after="0"/>
              <w:rPr>
                <w:sz w:val="18"/>
                <w:szCs w:val="18"/>
                <w:color w:val="auto"/>
              </w:rPr>
            </w:pPr>
          </w:p>
        </w:tc>
      </w:tr>
      <w:tr>
        <w:trPr>
          <w:trHeight w:val="216"/>
        </w:trPr>
        <w:tc>
          <w:tcPr>
            <w:tcW w:w="53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(2,289)</w:t>
            </w: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(708)</w:t>
            </w:r>
          </w:p>
        </w:tc>
      </w:tr>
      <w:tr>
        <w:trPr>
          <w:trHeight w:val="230"/>
        </w:trPr>
        <w:tc>
          <w:tcPr>
            <w:tcW w:w="53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EEEEEE"/>
          </w:tcPr>
          <w:p>
            <w:pPr>
              <w:spacing w:after="0"/>
              <w:rPr>
                <w:sz w:val="19"/>
                <w:szCs w:val="19"/>
                <w:color w:val="auto"/>
              </w:rPr>
            </w:pPr>
          </w:p>
        </w:tc>
      </w:tr>
      <w:tr>
        <w:trPr>
          <w:trHeight w:val="210"/>
        </w:trPr>
        <w:tc>
          <w:tcPr>
            <w:tcW w:w="15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7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300" w:type="dxa"/>
            <w:vAlign w:val="bottom"/>
            <w:tcBorders>
              <w:bottom w:val="single" w:sz="8" w:color="EEEEEE"/>
            </w:tcBorders>
          </w:tcPr>
          <w:p>
            <w:pPr>
              <w:jc w:val="right"/>
              <w:ind w:right="1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32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1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530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(14,088)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(30,945)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16,857</w:t>
            </w:r>
          </w:p>
        </w:tc>
        <w:tc>
          <w:tcPr>
            <w:tcW w:w="80" w:type="dxa"/>
            <w:vAlign w:val="bottom"/>
          </w:tcPr>
          <w:p>
            <w:pPr>
              <w:spacing w:after="0"/>
              <w:rPr>
                <w:sz w:val="21"/>
                <w:szCs w:val="21"/>
                <w:color w:val="auto"/>
              </w:rPr>
            </w:pPr>
          </w:p>
        </w:tc>
      </w:tr>
      <w:tr>
        <w:trPr>
          <w:trHeight w:val="20"/>
        </w:trPr>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jc w:val="both"/>
        <w:ind w:firstLine="360"/>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six months ended June 30, 2020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$1,606.1 million for the six months ended June 30, 2020 compared to $1,045.8 million in the prior year period.</w:t>
      </w:r>
    </w:p>
    <w:p>
      <w:pPr>
        <w:spacing w:after="0" w:line="18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The amendment introduces a new credit reserving model known as the Current Expected Credit Loss model,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Provision for credit losses was $6.7 million for the six months ended June 30, 2020. The provision represents our estimate of additional losses that may be incurred on the portfolio of finance receivables resulting from the pandemic. Such losses were not considered in our initial estimate of remaining lifetime losses that we recorded with the adoption of CECL in January 2020. In the prior year period, prior to the adoption of CECL, provision for credit losses was $44.4 million.</w:t>
      </w:r>
    </w:p>
    <w:p>
      <w:pPr>
        <w:spacing w:after="0" w:line="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73"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decreased by $2.0 million to $7.5 million during the six months ended June 30, 2020 and represented 5.8% of total operating expenses. We purchased $401.9 million of new contracts during the six months ended June 30, 2020 compared to $493.2 million in the prior year period. We attribute the decrease in contract purchases to the partial shutdown of the economy caused by the pandemic.</w:t>
      </w:r>
    </w:p>
    <w:p>
      <w:pPr>
        <w:spacing w:after="0" w:line="16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Occupancy expenses decreased by $461,000 or 11.6%, to $3.5 million compared to $4.0 million in the previous year and represented 2.7% of total operating expenses.</w:t>
      </w:r>
    </w:p>
    <w:p>
      <w:pPr>
        <w:spacing w:after="0" w:line="1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Depreciation and amortization expenses increased to $906,000 compared to $513,000 in the previous year and represented 0.7% of total operating expenses.</w:t>
      </w:r>
    </w:p>
    <w:p>
      <w:pPr>
        <w:spacing w:after="0" w:line="1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Income tax benefit was $6.0 million for the six months ended June 30, 2020, which includes an $8.8 million tax benefit.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$8.8 million. Excluding the tax benefit, income tax expense would have been $2.8 million, representing an effective income tax rate of 36%. For the prior year period, income tax expense was $1.9 million, which represents an effective income tax rate of 35%.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Recent effects of the pandemic include higher volumes of payment extensions requested by our customers and, in some states, temporary suspension of our rights to repossess automobiles. The pandemic will likely have a negative effect on our delinquency and charge off experience in the future, which is not yet reflected in the tables below.</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70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June 30, 2020</w:t>
            </w:r>
          </w:p>
        </w:tc>
        <w:tc>
          <w:tcPr>
            <w:tcW w:w="270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June 30, 2019</w:t>
            </w:r>
          </w:p>
        </w:tc>
        <w:tc>
          <w:tcPr>
            <w:tcW w:w="26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December 31, 2019</w:t>
            </w:r>
          </w:p>
        </w:tc>
      </w:tr>
      <w:tr>
        <w:trPr>
          <w:trHeight w:val="199"/>
        </w:trPr>
        <w:tc>
          <w:tcPr>
            <w:tcW w:w="3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32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Contracts</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Contracts</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Amount</w:t>
            </w:r>
          </w:p>
        </w:tc>
        <w:tc>
          <w:tcPr>
            <w:tcW w:w="13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Contracts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Amount</w:t>
            </w:r>
          </w:p>
        </w:tc>
      </w:tr>
      <w:tr>
        <w:trPr>
          <w:trHeight w:val="199"/>
        </w:trPr>
        <w:tc>
          <w:tcPr>
            <w:tcW w:w="3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5"/>
          </w:tcPr>
          <w:p>
            <w:pPr>
              <w:jc w:val="right"/>
              <w:ind w:right="700"/>
              <w:spacing w:after="0"/>
              <w:rPr>
                <w:sz w:val="20"/>
                <w:szCs w:val="20"/>
                <w:color w:val="auto"/>
              </w:rPr>
            </w:pPr>
            <w:r>
              <w:rPr>
                <w:rFonts w:ascii="Arial" w:cs="Arial" w:eastAsia="Arial" w:hAnsi="Arial"/>
                <w:sz w:val="16"/>
                <w:szCs w:val="16"/>
                <w:b w:val="1"/>
                <w:bCs w:val="1"/>
                <w:color w:val="auto"/>
              </w:rPr>
              <w:t>(Dollars in thousands)</w:t>
            </w: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40" w:type="dxa"/>
            <w:vAlign w:val="bottom"/>
            <w:shd w:val="clear" w:color="auto" w:fill="EEEEEE"/>
          </w:tcPr>
          <w:p>
            <w:pPr>
              <w:spacing w:after="0"/>
              <w:rPr>
                <w:sz w:val="20"/>
                <w:szCs w:val="20"/>
                <w:color w:val="auto"/>
              </w:rPr>
            </w:pPr>
            <w:r>
              <w:rPr>
                <w:rFonts w:ascii="Arial" w:cs="Arial" w:eastAsia="Arial" w:hAnsi="Arial"/>
                <w:sz w:val="16"/>
                <w:szCs w:val="16"/>
                <w:b w:val="1"/>
                <w:bCs w:val="1"/>
                <w:i w:val="1"/>
                <w:iCs w:val="1"/>
                <w:color w:val="auto"/>
              </w:rPr>
              <w:t>Delinquency Experience</w:t>
            </w:r>
          </w:p>
        </w:tc>
        <w:tc>
          <w:tcPr>
            <w:tcW w:w="1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Gross servicing portfolio (1)</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173,214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2,326,440</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177,115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2,399,221</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177,604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2,416,042</w:t>
            </w:r>
          </w:p>
        </w:tc>
      </w:tr>
      <w:tr>
        <w:trPr>
          <w:trHeight w:val="203"/>
        </w:trPr>
        <w:tc>
          <w:tcPr>
            <w:tcW w:w="3240" w:type="dxa"/>
            <w:vAlign w:val="bottom"/>
            <w:shd w:val="clear" w:color="auto" w:fill="EEEEEE"/>
          </w:tcPr>
          <w:p>
            <w:pPr>
              <w:spacing w:after="0"/>
              <w:rPr>
                <w:sz w:val="20"/>
                <w:szCs w:val="20"/>
                <w:color w:val="auto"/>
              </w:rPr>
            </w:pPr>
            <w:r>
              <w:rPr>
                <w:rFonts w:ascii="Arial" w:cs="Arial" w:eastAsia="Arial" w:hAnsi="Arial"/>
                <w:sz w:val="16"/>
                <w:szCs w:val="16"/>
                <w:color w:val="auto"/>
              </w:rPr>
              <w:t>Period of delinquency (2)</w:t>
            </w:r>
          </w:p>
        </w:tc>
        <w:tc>
          <w:tcPr>
            <w:tcW w:w="1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r>
      <w:tr>
        <w:trPr>
          <w:trHeight w:val="203"/>
        </w:trPr>
        <w:tc>
          <w:tcPr>
            <w:tcW w:w="3240" w:type="dxa"/>
            <w:vAlign w:val="bottom"/>
          </w:tcPr>
          <w:p>
            <w:pPr>
              <w:ind w:left="120"/>
              <w:spacing w:after="0"/>
              <w:rPr>
                <w:sz w:val="20"/>
                <w:szCs w:val="20"/>
                <w:color w:val="auto"/>
              </w:rPr>
            </w:pPr>
            <w:r>
              <w:rPr>
                <w:rFonts w:ascii="Arial" w:cs="Arial" w:eastAsia="Arial" w:hAnsi="Arial"/>
                <w:sz w:val="16"/>
                <w:szCs w:val="16"/>
                <w:color w:val="auto"/>
              </w:rPr>
              <w:t>31-60 days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8,730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118,172</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13,728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191,222</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13,737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189,214</w:t>
            </w:r>
          </w:p>
        </w:tc>
      </w:tr>
      <w:tr>
        <w:trPr>
          <w:trHeight w:val="203"/>
        </w:trPr>
        <w:tc>
          <w:tcPr>
            <w:tcW w:w="3240" w:type="dxa"/>
            <w:vAlign w:val="bottom"/>
            <w:shd w:val="clear" w:color="auto" w:fill="EEEEEE"/>
          </w:tcPr>
          <w:p>
            <w:pPr>
              <w:ind w:left="120"/>
              <w:spacing w:after="0"/>
              <w:rPr>
                <w:sz w:val="20"/>
                <w:szCs w:val="20"/>
                <w:color w:val="auto"/>
              </w:rPr>
            </w:pPr>
            <w:r>
              <w:rPr>
                <w:rFonts w:ascii="Arial" w:cs="Arial" w:eastAsia="Arial" w:hAnsi="Arial"/>
                <w:sz w:val="16"/>
                <w:szCs w:val="16"/>
                <w:color w:val="auto"/>
              </w:rPr>
              <w:t>61-90 days</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3,408</w:t>
            </w:r>
          </w:p>
        </w:tc>
        <w:tc>
          <w:tcPr>
            <w:tcW w:w="18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45,445</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6,293</w:t>
            </w:r>
          </w:p>
        </w:tc>
        <w:tc>
          <w:tcPr>
            <w:tcW w:w="18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86,075</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6,695</w:t>
            </w:r>
          </w:p>
        </w:tc>
        <w:tc>
          <w:tcPr>
            <w:tcW w:w="18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91,675</w:t>
            </w:r>
          </w:p>
        </w:tc>
      </w:tr>
      <w:tr>
        <w:trPr>
          <w:trHeight w:val="213"/>
        </w:trPr>
        <w:tc>
          <w:tcPr>
            <w:tcW w:w="3240" w:type="dxa"/>
            <w:vAlign w:val="bottom"/>
          </w:tcPr>
          <w:p>
            <w:pPr>
              <w:ind w:left="120"/>
              <w:spacing w:after="0"/>
              <w:rPr>
                <w:sz w:val="20"/>
                <w:szCs w:val="20"/>
                <w:color w:val="auto"/>
              </w:rPr>
            </w:pPr>
            <w:r>
              <w:rPr>
                <w:rFonts w:ascii="Arial" w:cs="Arial" w:eastAsia="Arial" w:hAnsi="Arial"/>
                <w:sz w:val="16"/>
                <w:szCs w:val="16"/>
                <w:color w:val="auto"/>
              </w:rPr>
              <w:t>91+ days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1,449</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16,591</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2,954</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38,092</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3,530</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46,516</w:t>
            </w:r>
          </w:p>
        </w:tc>
      </w:tr>
      <w:tr>
        <w:trPr>
          <w:trHeight w:val="199"/>
        </w:trPr>
        <w:tc>
          <w:tcPr>
            <w:tcW w:w="32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6"/>
                <w:szCs w:val="16"/>
                <w:color w:val="auto"/>
              </w:rPr>
              <w:t>Total delinquencies (2)</w:t>
            </w: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13,587</w:t>
            </w:r>
          </w:p>
        </w:tc>
        <w:tc>
          <w:tcPr>
            <w:tcW w:w="2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180,208</w:t>
            </w:r>
          </w:p>
        </w:tc>
        <w:tc>
          <w:tcPr>
            <w:tcW w:w="24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22,975</w:t>
            </w:r>
          </w:p>
        </w:tc>
        <w:tc>
          <w:tcPr>
            <w:tcW w:w="2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315,389</w:t>
            </w:r>
          </w:p>
        </w:tc>
        <w:tc>
          <w:tcPr>
            <w:tcW w:w="24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23,962</w:t>
            </w:r>
          </w:p>
        </w:tc>
        <w:tc>
          <w:tcPr>
            <w:tcW w:w="2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327,405</w:t>
            </w:r>
          </w:p>
        </w:tc>
        <w:tc>
          <w:tcPr>
            <w:tcW w:w="140" w:type="dxa"/>
            <w:vAlign w:val="bottom"/>
            <w:tcBorders>
              <w:top w:val="single" w:sz="8" w:color="EEEEEE"/>
            </w:tcBorders>
            <w:shd w:val="clear" w:color="auto" w:fill="EEEEEE"/>
          </w:tcPr>
          <w:p>
            <w:pPr>
              <w:spacing w:after="0"/>
              <w:rPr>
                <w:sz w:val="17"/>
                <w:szCs w:val="17"/>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Amount in repossession (3)</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3,704</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42,953</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3,148</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40,293</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3,779</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46,144</w:t>
            </w:r>
          </w:p>
        </w:tc>
      </w:tr>
      <w:tr>
        <w:trPr>
          <w:trHeight w:val="176"/>
        </w:trPr>
        <w:tc>
          <w:tcPr>
            <w:tcW w:w="3240" w:type="dxa"/>
            <w:vAlign w:val="bottom"/>
            <w:tcBorders>
              <w:top w:val="single" w:sz="8" w:color="EEEEEE"/>
            </w:tcBorders>
            <w:shd w:val="clear" w:color="auto" w:fill="EEEEEE"/>
          </w:tcPr>
          <w:p>
            <w:pPr>
              <w:spacing w:after="0" w:line="176" w:lineRule="exact"/>
              <w:rPr>
                <w:sz w:val="20"/>
                <w:szCs w:val="20"/>
                <w:color w:val="auto"/>
              </w:rPr>
            </w:pPr>
            <w:r>
              <w:rPr>
                <w:rFonts w:ascii="Arial" w:cs="Arial" w:eastAsia="Arial" w:hAnsi="Arial"/>
                <w:sz w:val="16"/>
                <w:szCs w:val="16"/>
                <w:color w:val="auto"/>
                <w:w w:val="94"/>
              </w:rPr>
              <w:t>Total delinquencies and amount in repossession</w:t>
            </w:r>
          </w:p>
        </w:tc>
        <w:tc>
          <w:tcPr>
            <w:tcW w:w="112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2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12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2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12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20" w:type="dxa"/>
            <w:vAlign w:val="bottom"/>
            <w:tcBorders>
              <w:top w:val="single" w:sz="8" w:color="auto"/>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r>
      <w:tr>
        <w:trPr>
          <w:trHeight w:val="236"/>
        </w:trPr>
        <w:tc>
          <w:tcPr>
            <w:tcW w:w="3240" w:type="dxa"/>
            <w:vAlign w:val="bottom"/>
            <w:shd w:val="clear" w:color="auto" w:fill="EEEEEE"/>
          </w:tcPr>
          <w:p>
            <w:pPr>
              <w:ind w:left="180"/>
              <w:spacing w:after="0"/>
              <w:rPr>
                <w:sz w:val="20"/>
                <w:szCs w:val="20"/>
                <w:color w:val="auto"/>
              </w:rPr>
            </w:pPr>
            <w:r>
              <w:rPr>
                <w:rFonts w:ascii="Arial" w:cs="Arial" w:eastAsia="Arial" w:hAnsi="Arial"/>
                <w:sz w:val="16"/>
                <w:szCs w:val="16"/>
                <w:color w:val="auto"/>
              </w:rPr>
              <w:t>(2)</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17,291</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223,161</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26,123</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355,682</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27,741</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373,549</w:t>
            </w:r>
          </w:p>
        </w:tc>
      </w:tr>
      <w:tr>
        <w:trPr>
          <w:trHeight w:val="20"/>
        </w:trPr>
        <w:tc>
          <w:tcPr>
            <w:tcW w:w="32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r>
      <w:tr>
        <w:trPr>
          <w:trHeight w:val="186"/>
        </w:trPr>
        <w:tc>
          <w:tcPr>
            <w:tcW w:w="3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3"/>
        </w:trPr>
        <w:tc>
          <w:tcPr>
            <w:tcW w:w="3240" w:type="dxa"/>
            <w:vAlign w:val="bottom"/>
            <w:shd w:val="clear" w:color="auto" w:fill="EEEEEE"/>
          </w:tcPr>
          <w:p>
            <w:pPr>
              <w:spacing w:after="0"/>
              <w:rPr>
                <w:sz w:val="20"/>
                <w:szCs w:val="20"/>
                <w:color w:val="auto"/>
              </w:rPr>
            </w:pPr>
            <w:r>
              <w:rPr>
                <w:rFonts w:ascii="Arial" w:cs="Arial" w:eastAsia="Arial" w:hAnsi="Arial"/>
                <w:sz w:val="16"/>
                <w:szCs w:val="16"/>
                <w:color w:val="auto"/>
              </w:rPr>
              <w:t>Delinquencies as a percentage of gross</w:t>
            </w: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r>
      <w:tr>
        <w:trPr>
          <w:trHeight w:val="212"/>
        </w:trPr>
        <w:tc>
          <w:tcPr>
            <w:tcW w:w="3240" w:type="dxa"/>
            <w:vAlign w:val="bottom"/>
            <w:shd w:val="clear" w:color="auto" w:fill="EEEEEE"/>
          </w:tcPr>
          <w:p>
            <w:pPr>
              <w:ind w:left="180"/>
              <w:spacing w:after="0"/>
              <w:rPr>
                <w:sz w:val="20"/>
                <w:szCs w:val="20"/>
                <w:color w:val="auto"/>
              </w:rPr>
            </w:pPr>
            <w:r>
              <w:rPr>
                <w:rFonts w:ascii="Arial" w:cs="Arial" w:eastAsia="Arial" w:hAnsi="Arial"/>
                <w:sz w:val="16"/>
                <w:szCs w:val="16"/>
                <w:color w:val="auto"/>
              </w:rPr>
              <w:t>servicing portfolio</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7.8%</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7.7%</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13.0%</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13.1%</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13.5%</w:t>
            </w: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13.6%</w:t>
            </w:r>
          </w:p>
        </w:tc>
      </w:tr>
      <w:tr>
        <w:trPr>
          <w:trHeight w:val="203"/>
        </w:trPr>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3"/>
        </w:trPr>
        <w:tc>
          <w:tcPr>
            <w:tcW w:w="3240" w:type="dxa"/>
            <w:vAlign w:val="bottom"/>
            <w:shd w:val="clear" w:color="auto" w:fill="EEEEEE"/>
          </w:tcPr>
          <w:p>
            <w:pPr>
              <w:spacing w:after="0"/>
              <w:rPr>
                <w:sz w:val="20"/>
                <w:szCs w:val="20"/>
                <w:color w:val="auto"/>
              </w:rPr>
            </w:pPr>
            <w:r>
              <w:rPr>
                <w:rFonts w:ascii="Arial" w:cs="Arial" w:eastAsia="Arial" w:hAnsi="Arial"/>
                <w:sz w:val="16"/>
                <w:szCs w:val="16"/>
                <w:color w:val="auto"/>
                <w:w w:val="94"/>
              </w:rPr>
              <w:t>Total delinquencies and amount in repossession</w:t>
            </w: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r>
      <w:tr>
        <w:trPr>
          <w:trHeight w:val="212"/>
        </w:trPr>
        <w:tc>
          <w:tcPr>
            <w:tcW w:w="3240" w:type="dxa"/>
            <w:vAlign w:val="bottom"/>
            <w:shd w:val="clear" w:color="auto" w:fill="EEEEEE"/>
          </w:tcPr>
          <w:p>
            <w:pPr>
              <w:ind w:left="180"/>
              <w:spacing w:after="0"/>
              <w:rPr>
                <w:sz w:val="20"/>
                <w:szCs w:val="20"/>
                <w:color w:val="auto"/>
              </w:rPr>
            </w:pPr>
            <w:r>
              <w:rPr>
                <w:rFonts w:ascii="Arial" w:cs="Arial" w:eastAsia="Arial" w:hAnsi="Arial"/>
                <w:sz w:val="16"/>
                <w:szCs w:val="16"/>
                <w:color w:val="auto"/>
                <w:w w:val="99"/>
              </w:rPr>
              <w:t>as a percentage of gross servicing portfolio</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9.6%</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14.7%</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14.8%</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15.6%</w:t>
            </w: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15.5%</w:t>
            </w:r>
          </w:p>
        </w:tc>
      </w:tr>
      <w:tr>
        <w:trPr>
          <w:trHeight w:val="203"/>
        </w:trPr>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40" w:type="dxa"/>
            <w:vAlign w:val="bottom"/>
            <w:shd w:val="clear" w:color="auto" w:fill="EEEEEE"/>
          </w:tcPr>
          <w:p>
            <w:pPr>
              <w:spacing w:after="0"/>
              <w:rPr>
                <w:sz w:val="20"/>
                <w:szCs w:val="20"/>
                <w:color w:val="auto"/>
              </w:rPr>
            </w:pPr>
            <w:r>
              <w:rPr>
                <w:rFonts w:ascii="Arial" w:cs="Arial" w:eastAsia="Arial" w:hAnsi="Arial"/>
                <w:sz w:val="16"/>
                <w:szCs w:val="16"/>
                <w:b w:val="1"/>
                <w:bCs w:val="1"/>
                <w:i w:val="1"/>
                <w:iCs w:val="1"/>
                <w:color w:val="auto"/>
              </w:rPr>
              <w:t>Extension Experience</w:t>
            </w:r>
          </w:p>
        </w:tc>
        <w:tc>
          <w:tcPr>
            <w:tcW w:w="1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Contracts with one extension, accruing</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31,321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450,677</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24,808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330,601</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27,677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385,673</w:t>
            </w:r>
          </w:p>
        </w:tc>
      </w:tr>
      <w:tr>
        <w:trPr>
          <w:trHeight w:val="193"/>
        </w:trPr>
        <w:tc>
          <w:tcPr>
            <w:tcW w:w="324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two or more extensions,</w:t>
            </w: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r>
      <w:tr>
        <w:trPr>
          <w:trHeight w:val="226"/>
        </w:trPr>
        <w:tc>
          <w:tcPr>
            <w:tcW w:w="3240" w:type="dxa"/>
            <w:vAlign w:val="bottom"/>
            <w:shd w:val="clear" w:color="auto" w:fill="EEEEEE"/>
          </w:tcPr>
          <w:p>
            <w:pPr>
              <w:ind w:left="180"/>
              <w:spacing w:after="0"/>
              <w:rPr>
                <w:sz w:val="20"/>
                <w:szCs w:val="20"/>
                <w:color w:val="auto"/>
              </w:rPr>
            </w:pPr>
            <w:r>
              <w:rPr>
                <w:rFonts w:ascii="Arial" w:cs="Arial" w:eastAsia="Arial" w:hAnsi="Arial"/>
                <w:sz w:val="16"/>
                <w:szCs w:val="16"/>
                <w:color w:val="auto"/>
              </w:rPr>
              <w:t>accruing</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145,831</w:t>
            </w:r>
          </w:p>
        </w:tc>
        <w:tc>
          <w:tcPr>
            <w:tcW w:w="1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1,845,323</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56,861</w:t>
            </w:r>
          </w:p>
        </w:tc>
        <w:tc>
          <w:tcPr>
            <w:tcW w:w="1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730,639</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54,440</w:t>
            </w:r>
          </w:p>
        </w:tc>
        <w:tc>
          <w:tcPr>
            <w:tcW w:w="18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673,918</w:t>
            </w:r>
          </w:p>
        </w:tc>
      </w:tr>
      <w:tr>
        <w:trPr>
          <w:trHeight w:val="196"/>
        </w:trPr>
        <w:tc>
          <w:tcPr>
            <w:tcW w:w="324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177,152</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2,296,000</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81,669</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1,061,240</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82,117</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1,059,591</w:t>
            </w:r>
          </w:p>
        </w:tc>
        <w:tc>
          <w:tcPr>
            <w:tcW w:w="140" w:type="dxa"/>
            <w:vAlign w:val="bottom"/>
          </w:tcPr>
          <w:p>
            <w:pPr>
              <w:spacing w:after="0"/>
              <w:rPr>
                <w:sz w:val="17"/>
                <w:szCs w:val="17"/>
                <w:color w:val="auto"/>
              </w:rPr>
            </w:pPr>
          </w:p>
        </w:tc>
      </w:tr>
      <w:tr>
        <w:trPr>
          <w:trHeight w:val="203"/>
        </w:trPr>
        <w:tc>
          <w:tcPr>
            <w:tcW w:w="324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one extension, non-accrual (4)</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839</w:t>
            </w:r>
          </w:p>
        </w:tc>
        <w:tc>
          <w:tcPr>
            <w:tcW w:w="18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10,205</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907</w:t>
            </w:r>
          </w:p>
        </w:tc>
        <w:tc>
          <w:tcPr>
            <w:tcW w:w="18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11,473</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1,130</w:t>
            </w:r>
          </w:p>
        </w:tc>
        <w:tc>
          <w:tcPr>
            <w:tcW w:w="18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14,528</w:t>
            </w:r>
          </w:p>
        </w:tc>
      </w:tr>
      <w:tr>
        <w:trPr>
          <w:trHeight w:val="193"/>
        </w:trPr>
        <w:tc>
          <w:tcPr>
            <w:tcW w:w="3240" w:type="dxa"/>
            <w:vAlign w:val="bottom"/>
          </w:tcPr>
          <w:p>
            <w:pPr>
              <w:spacing w:after="0"/>
              <w:rPr>
                <w:sz w:val="20"/>
                <w:szCs w:val="20"/>
                <w:color w:val="auto"/>
              </w:rPr>
            </w:pPr>
            <w:r>
              <w:rPr>
                <w:rFonts w:ascii="Arial" w:cs="Arial" w:eastAsia="Arial" w:hAnsi="Arial"/>
                <w:sz w:val="16"/>
                <w:szCs w:val="16"/>
                <w:color w:val="auto"/>
              </w:rPr>
              <w:t>Contracts with two or more extensions, non-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3240" w:type="dxa"/>
            <w:vAlign w:val="bottom"/>
          </w:tcPr>
          <w:p>
            <w:pPr>
              <w:ind w:left="180"/>
              <w:spacing w:after="0"/>
              <w:rPr>
                <w:sz w:val="20"/>
                <w:szCs w:val="20"/>
                <w:color w:val="auto"/>
              </w:rPr>
            </w:pPr>
            <w:r>
              <w:rPr>
                <w:rFonts w:ascii="Arial" w:cs="Arial" w:eastAsia="Arial" w:hAnsi="Arial"/>
                <w:sz w:val="16"/>
                <w:szCs w:val="16"/>
                <w:color w:val="auto"/>
              </w:rPr>
              <w:t>accrual (4)</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3,243</w:t>
            </w:r>
          </w:p>
        </w:tc>
        <w:tc>
          <w:tcPr>
            <w:tcW w:w="1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36,458</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4,098</w:t>
            </w:r>
          </w:p>
        </w:tc>
        <w:tc>
          <w:tcPr>
            <w:tcW w:w="1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53,318</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4,441</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55,436</w:t>
            </w:r>
          </w:p>
        </w:tc>
      </w:tr>
      <w:tr>
        <w:trPr>
          <w:trHeight w:val="199"/>
        </w:trPr>
        <w:tc>
          <w:tcPr>
            <w:tcW w:w="324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4,082</w:t>
            </w:r>
          </w:p>
        </w:tc>
        <w:tc>
          <w:tcPr>
            <w:tcW w:w="2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46,663</w:t>
            </w:r>
          </w:p>
        </w:tc>
        <w:tc>
          <w:tcPr>
            <w:tcW w:w="24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5,005</w:t>
            </w:r>
          </w:p>
        </w:tc>
        <w:tc>
          <w:tcPr>
            <w:tcW w:w="2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64,791</w:t>
            </w:r>
          </w:p>
        </w:tc>
        <w:tc>
          <w:tcPr>
            <w:tcW w:w="24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5,571</w:t>
            </w:r>
          </w:p>
        </w:tc>
        <w:tc>
          <w:tcPr>
            <w:tcW w:w="2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69,964</w:t>
            </w:r>
          </w:p>
        </w:tc>
        <w:tc>
          <w:tcPr>
            <w:tcW w:w="140" w:type="dxa"/>
            <w:vAlign w:val="bottom"/>
            <w:tcBorders>
              <w:top w:val="single" w:sz="8" w:color="EEEEEE"/>
            </w:tcBorders>
            <w:shd w:val="clear" w:color="auto" w:fill="EEEEEE"/>
          </w:tcPr>
          <w:p>
            <w:pPr>
              <w:spacing w:after="0"/>
              <w:rPr>
                <w:sz w:val="17"/>
                <w:szCs w:val="17"/>
                <w:color w:val="auto"/>
              </w:rPr>
            </w:pPr>
          </w:p>
        </w:tc>
      </w:tr>
      <w:tr>
        <w:trPr>
          <w:trHeight w:val="196"/>
        </w:trPr>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6"/>
        </w:trPr>
        <w:tc>
          <w:tcPr>
            <w:tcW w:w="3240" w:type="dxa"/>
            <w:vAlign w:val="bottom"/>
            <w:shd w:val="clear" w:color="auto" w:fill="EEEEEE"/>
          </w:tcPr>
          <w:p>
            <w:pPr>
              <w:spacing w:after="0"/>
              <w:rPr>
                <w:sz w:val="20"/>
                <w:szCs w:val="20"/>
                <w:color w:val="auto"/>
              </w:rPr>
            </w:pPr>
            <w:r>
              <w:rPr>
                <w:rFonts w:ascii="Arial" w:cs="Arial" w:eastAsia="Arial" w:hAnsi="Arial"/>
                <w:sz w:val="16"/>
                <w:szCs w:val="16"/>
                <w:color w:val="auto"/>
              </w:rPr>
              <w:t>Total contracts with extensions</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181,234</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2,342,663</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86,674</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1,126,031</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87,688</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1,129,555</w:t>
            </w:r>
          </w:p>
        </w:tc>
      </w:tr>
      <w:tr>
        <w:trPr>
          <w:trHeight w:val="20"/>
        </w:trPr>
        <w:tc>
          <w:tcPr>
            <w:tcW w:w="32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jc w:val="both"/>
        <w:ind w:firstLine="8"/>
        <w:spacing w:after="0" w:line="250" w:lineRule="auto"/>
        <w:tabs>
          <w:tab w:leader="none" w:pos="27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jc w:val="both"/>
        <w:ind w:firstLine="8"/>
        <w:spacing w:after="0" w:line="250" w:lineRule="auto"/>
        <w:tabs>
          <w:tab w:leader="none" w:pos="26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4"/>
          </w:tcPr>
          <w:p>
            <w:pPr>
              <w:jc w:val="center"/>
              <w:ind w:left="910"/>
              <w:spacing w:after="0"/>
              <w:rPr>
                <w:sz w:val="20"/>
                <w:szCs w:val="20"/>
                <w:color w:val="auto"/>
              </w:rPr>
            </w:pPr>
            <w:r>
              <w:rPr>
                <w:rFonts w:ascii="Arial" w:cs="Arial" w:eastAsia="Arial" w:hAnsi="Arial"/>
                <w:sz w:val="18"/>
                <w:szCs w:val="18"/>
                <w:b w:val="1"/>
                <w:bCs w:val="1"/>
                <w:color w:val="auto"/>
                <w:w w:val="89"/>
              </w:rPr>
              <w:t>Finance Receivables Portfolio</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9"/>
                <w:szCs w:val="19"/>
                <w:color w:val="auto"/>
              </w:rPr>
            </w:pPr>
          </w:p>
        </w:tc>
        <w:tc>
          <w:tcPr>
            <w:tcW w:w="14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2020</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r>
      <w:tr>
        <w:trPr>
          <w:trHeight w:val="209"/>
        </w:trPr>
        <w:tc>
          <w:tcPr>
            <w:tcW w:w="4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732,325</w:t>
            </w:r>
          </w:p>
        </w:tc>
        <w:tc>
          <w:tcPr>
            <w:tcW w:w="4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1,262,836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1,192,484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Annualized net charge-offs as a percentage of</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(2)</w:t>
            </w:r>
          </w:p>
        </w:tc>
        <w:tc>
          <w:tcPr>
            <w:tcW w:w="1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12.2%</w:t>
            </w:r>
          </w:p>
        </w:tc>
      </w:tr>
      <w:tr>
        <w:trPr>
          <w:trHeight w:val="441"/>
        </w:trPr>
        <w:tc>
          <w:tcPr>
            <w:tcW w:w="4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Fair Value Receivables Portfolio</w:t>
            </w:r>
          </w:p>
        </w:tc>
      </w:tr>
      <w:tr>
        <w:trPr>
          <w:trHeight w:val="230"/>
        </w:trPr>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9"/>
                <w:szCs w:val="19"/>
                <w:color w:val="auto"/>
              </w:rPr>
            </w:pPr>
          </w:p>
        </w:tc>
        <w:tc>
          <w:tcPr>
            <w:tcW w:w="14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2020</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r>
      <w:tr>
        <w:trPr>
          <w:trHeight w:val="209"/>
        </w:trPr>
        <w:tc>
          <w:tcPr>
            <w:tcW w:w="4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1,631,708</w:t>
            </w:r>
          </w:p>
        </w:tc>
        <w:tc>
          <w:tcPr>
            <w:tcW w:w="4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1,136,086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1,212,226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Annualized net charge-offs as a percentage of</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(2)</w:t>
            </w:r>
          </w:p>
        </w:tc>
        <w:tc>
          <w:tcPr>
            <w:tcW w:w="1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w:t>
            </w:r>
          </w:p>
        </w:tc>
      </w:tr>
      <w:tr>
        <w:trPr>
          <w:trHeight w:val="441"/>
        </w:trPr>
        <w:tc>
          <w:tcPr>
            <w:tcW w:w="4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1"/>
              </w:rPr>
              <w:t>Total Managed Portfolio</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9"/>
                <w:szCs w:val="19"/>
                <w:color w:val="auto"/>
              </w:rPr>
            </w:pPr>
          </w:p>
        </w:tc>
        <w:tc>
          <w:tcPr>
            <w:tcW w:w="14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2020</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r>
      <w:tr>
        <w:trPr>
          <w:trHeight w:val="209"/>
        </w:trPr>
        <w:tc>
          <w:tcPr>
            <w:tcW w:w="4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2,364,033</w:t>
            </w:r>
          </w:p>
        </w:tc>
        <w:tc>
          <w:tcPr>
            <w:tcW w:w="4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2,398,922</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2,404,710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Annualized net charge-offs as a percentage of</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(2)</w:t>
            </w:r>
          </w:p>
        </w:tc>
        <w:tc>
          <w:tcPr>
            <w:tcW w:w="1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w:t>
            </w:r>
          </w:p>
        </w:tc>
      </w:tr>
      <w:tr>
        <w:trPr>
          <w:trHeight w:val="218"/>
        </w:trPr>
        <w:tc>
          <w:tcPr>
            <w:tcW w:w="480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ind w:firstLine="8"/>
        <w:spacing w:after="0" w:line="249" w:lineRule="auto"/>
        <w:tabs>
          <w:tab w:leader="none" w:pos="271"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57"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2020 and June 30, 2019 percentages represent three months ended June 30, 2020 and June 30, 2019 annualized. December 31, 2019 represents 12 months ended December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firstLine="360"/>
        <w:spacing w:after="0" w:line="254" w:lineRule="auto"/>
        <w:rPr>
          <w:sz w:val="20"/>
          <w:szCs w:val="20"/>
          <w:color w:val="auto"/>
        </w:rPr>
      </w:pPr>
      <w:r>
        <w:rPr>
          <w:rFonts w:ascii="Arial" w:cs="Arial" w:eastAsia="Arial" w:hAnsi="Arial"/>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92"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66"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2020, for accounts that received extensions from 2008 through 2018 (2019 and 2020 extension data are not included at this time due to insufficient passage of time for meaningful evaluation of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 Charged</w:t>
            </w: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Avg</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Off &lt;= 6</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Months</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Active or Paid</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 Active or</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Charged Off &gt; 6</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 Charged Off &gt;</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Charged Off &lt;=</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Months</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to Charge</w:t>
            </w:r>
          </w:p>
        </w:tc>
      </w:tr>
      <w:tr>
        <w:trPr>
          <w:trHeight w:val="216"/>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Period of</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 Extensions</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Off at June 30,</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Paid Off at June</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Months After</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6 Months After</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6 Months After</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After</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Off Post</w:t>
            </w:r>
          </w:p>
        </w:tc>
      </w:tr>
      <w:tr>
        <w:trPr>
          <w:trHeight w:val="230"/>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Extension</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Granted</w:t>
            </w:r>
          </w:p>
        </w:tc>
        <w:tc>
          <w:tcPr>
            <w:tcW w:w="1120" w:type="dxa"/>
            <w:vAlign w:val="bottom"/>
          </w:tcPr>
          <w:p>
            <w:pPr>
              <w:ind w:left="38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30, 2020</w:t>
            </w: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Extension</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Extension</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Extension</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10"/>
        </w:trPr>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35,588</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10,710</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30.1%</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20,059</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56.4%</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4,819</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13.5%</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32,226</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10,274</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31.9%</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16,168</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50.2%</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5,783</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17.9%</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26,167</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12,165</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46.5%</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12,003</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45.9%</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1,999</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7.6%</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2011</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18,786</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10,974</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58.4%</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6,880</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36.6%</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6"/>
              </w:rPr>
              <w:t>932</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5.0%</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18,783</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11,325</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60.3%</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6,662</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35.5%</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6"/>
              </w:rPr>
              <w:t>796</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4.2%</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23,398</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11,222</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48.0%</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11,200</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47.9%</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6"/>
              </w:rPr>
              <w:t>976</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4.2%</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25,773</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10,778</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41.8%</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14,169</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55.0%</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6"/>
              </w:rPr>
              <w:t>826</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3.2%</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53,319</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23,966</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44.9%</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28,271</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53.0%</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1,082</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2.0%</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80,897</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41,992</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51.9%</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36,972</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45.7%</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1,933</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2.4%</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133,881</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74,241</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55.5%</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52,680</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39.3%</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6,926</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5.2%</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121,531</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82,273</w:t>
            </w:r>
          </w:p>
        </w:tc>
        <w:tc>
          <w:tcPr>
            <w:tcW w:w="2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67.7%</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33,251</w:t>
            </w:r>
          </w:p>
        </w:tc>
        <w:tc>
          <w:tcPr>
            <w:tcW w:w="260" w:type="dxa"/>
            <w:vAlign w:val="bottom"/>
            <w:shd w:val="clear" w:color="auto" w:fill="EEEEEE"/>
          </w:tcPr>
          <w:p>
            <w:pPr>
              <w:spacing w:after="0"/>
              <w:rPr>
                <w:sz w:val="18"/>
                <w:szCs w:val="18"/>
                <w:color w:val="auto"/>
              </w:rPr>
            </w:pPr>
          </w:p>
        </w:tc>
        <w:tc>
          <w:tcPr>
            <w:tcW w:w="1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27.4%</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3"/>
              </w:rPr>
              <w:t>6,007</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4.9%</w:t>
            </w:r>
          </w:p>
        </w:tc>
        <w:tc>
          <w:tcPr>
            <w:tcW w:w="6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12</w:t>
            </w:r>
          </w:p>
        </w:tc>
      </w:tr>
    </w:tbl>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both"/>
        <w:ind w:firstLine="360"/>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60.3% were either paid in full or active and performing at June 30, 2020.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8"/>
                <w:szCs w:val="18"/>
                <w:color w:val="auto"/>
                <w:w w:val="86"/>
              </w:rPr>
              <w:t>Year Ended</w:t>
            </w:r>
          </w:p>
        </w:tc>
      </w:tr>
      <w:tr>
        <w:trPr>
          <w:trHeight w:val="230"/>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10"/>
          </w:tcPr>
          <w:p>
            <w:pPr>
              <w:jc w:val="right"/>
              <w:ind w:right="1020"/>
              <w:spacing w:after="0"/>
              <w:rPr>
                <w:sz w:val="20"/>
                <w:szCs w:val="20"/>
                <w:color w:val="auto"/>
              </w:rPr>
            </w:pPr>
            <w:r>
              <w:rPr>
                <w:rFonts w:ascii="Arial" w:cs="Arial" w:eastAsia="Arial" w:hAnsi="Arial"/>
                <w:sz w:val="18"/>
                <w:szCs w:val="18"/>
                <w:color w:val="auto"/>
              </w:rPr>
              <w:t>Six Months Ended June 30,</w:t>
            </w:r>
          </w:p>
        </w:tc>
        <w:tc>
          <w:tcPr>
            <w:tcW w:w="138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December 31,</w:t>
            </w:r>
          </w:p>
        </w:tc>
      </w:tr>
      <w:tr>
        <w:trPr>
          <w:trHeight w:val="223"/>
        </w:trPr>
        <w:tc>
          <w:tcPr>
            <w:tcW w:w="3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399"/>
              <w:spacing w:after="0"/>
              <w:rPr>
                <w:sz w:val="20"/>
                <w:szCs w:val="20"/>
                <w:color w:val="auto"/>
              </w:rPr>
            </w:pPr>
            <w:r>
              <w:rPr>
                <w:rFonts w:ascii="Arial" w:cs="Arial" w:eastAsia="Arial" w:hAnsi="Arial"/>
                <w:sz w:val="18"/>
                <w:szCs w:val="18"/>
                <w:color w:val="auto"/>
                <w:w w:val="89"/>
              </w:rPr>
              <w:t>2019</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356"/>
              <w:spacing w:after="0"/>
              <w:rPr>
                <w:sz w:val="20"/>
                <w:szCs w:val="20"/>
                <w:color w:val="auto"/>
              </w:rPr>
            </w:pPr>
            <w:r>
              <w:rPr>
                <w:rFonts w:ascii="Arial" w:cs="Arial" w:eastAsia="Arial" w:hAnsi="Arial"/>
                <w:sz w:val="18"/>
                <w:szCs w:val="18"/>
                <w:color w:val="auto"/>
                <w:w w:val="89"/>
              </w:rPr>
              <w:t>2019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99"/>
              <w:spacing w:after="0"/>
              <w:rPr>
                <w:sz w:val="20"/>
                <w:szCs w:val="20"/>
                <w:color w:val="auto"/>
              </w:rPr>
            </w:pPr>
            <w:r>
              <w:rPr>
                <w:rFonts w:ascii="Arial" w:cs="Arial" w:eastAsia="Arial" w:hAnsi="Arial"/>
                <w:sz w:val="18"/>
                <w:szCs w:val="18"/>
                <w:color w:val="auto"/>
                <w:w w:val="93"/>
              </w:rPr>
              <w:t>9,448</w:t>
            </w: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4,994</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EEEEEE"/>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w w:val="99"/>
              </w:rPr>
              <w:t>Average number of outstanding accounts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0" w:type="dxa"/>
            <w:vAlign w:val="bottom"/>
            <w:gridSpan w:val="5"/>
            <w:shd w:val="clear" w:color="auto" w:fill="EEEEEE"/>
          </w:tcPr>
          <w:p>
            <w:pPr>
              <w:jc w:val="right"/>
              <w:ind w:right="99"/>
              <w:spacing w:after="0"/>
              <w:rPr>
                <w:sz w:val="20"/>
                <w:szCs w:val="20"/>
                <w:color w:val="auto"/>
              </w:rPr>
            </w:pPr>
            <w:r>
              <w:rPr>
                <w:rFonts w:ascii="Arial" w:cs="Arial" w:eastAsia="Arial" w:hAnsi="Arial"/>
                <w:sz w:val="18"/>
                <w:szCs w:val="18"/>
                <w:color w:val="auto"/>
              </w:rPr>
              <w:t>175,366</w:t>
            </w: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176,885</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177,256</w:t>
            </w:r>
          </w:p>
        </w:tc>
        <w:tc>
          <w:tcPr>
            <w:tcW w:w="100" w:type="dxa"/>
            <w:vAlign w:val="bottom"/>
            <w:shd w:val="clear" w:color="auto" w:fill="EEEEEE"/>
          </w:tcPr>
          <w:p>
            <w:pPr>
              <w:spacing w:after="0"/>
              <w:rPr>
                <w:sz w:val="18"/>
                <w:szCs w:val="18"/>
                <w:color w:val="auto"/>
              </w:rPr>
            </w:pPr>
          </w:p>
        </w:tc>
      </w:tr>
      <w:tr>
        <w:trPr>
          <w:trHeight w:val="216"/>
        </w:trPr>
        <w:tc>
          <w:tcPr>
            <w:tcW w:w="4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9"/>
              </w:rPr>
              <w:t>Average monthly extensions as % of average outstandings</w:t>
            </w: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3.4%</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______________________</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20" w:type="dxa"/>
            <w:vAlign w:val="bottom"/>
            <w:gridSpan w:val="6"/>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3280" w:type="dxa"/>
            <w:vAlign w:val="bottom"/>
          </w:tcPr>
          <w:p>
            <w:pPr>
              <w:spacing w:after="0"/>
              <w:rPr>
                <w:sz w:val="24"/>
                <w:szCs w:val="24"/>
                <w:color w:val="auto"/>
              </w:rPr>
            </w:pPr>
          </w:p>
        </w:tc>
        <w:tc>
          <w:tcPr>
            <w:tcW w:w="2740" w:type="dxa"/>
            <w:vAlign w:val="bottom"/>
            <w:gridSpan w:val="5"/>
          </w:tcPr>
          <w:p>
            <w:pPr>
              <w:jc w:val="right"/>
              <w:ind w:right="1040"/>
              <w:spacing w:after="0"/>
              <w:rPr>
                <w:sz w:val="20"/>
                <w:szCs w:val="20"/>
                <w:color w:val="auto"/>
              </w:rPr>
            </w:pPr>
            <w:r>
              <w:rPr>
                <w:rFonts w:ascii="Arial" w:cs="Arial" w:eastAsia="Arial" w:hAnsi="Arial"/>
                <w:sz w:val="16"/>
                <w:szCs w:val="16"/>
                <w:color w:val="auto"/>
              </w:rPr>
              <w:t>June 30, 2020</w:t>
            </w:r>
          </w:p>
        </w:tc>
        <w:tc>
          <w:tcPr>
            <w:tcW w:w="300" w:type="dxa"/>
            <w:vAlign w:val="bottom"/>
          </w:tcPr>
          <w:p>
            <w:pPr>
              <w:spacing w:after="0"/>
              <w:rPr>
                <w:sz w:val="24"/>
                <w:szCs w:val="24"/>
                <w:color w:val="auto"/>
              </w:rPr>
            </w:pPr>
          </w:p>
        </w:tc>
        <w:tc>
          <w:tcPr>
            <w:tcW w:w="1500" w:type="dxa"/>
            <w:vAlign w:val="bottom"/>
            <w:gridSpan w:val="4"/>
          </w:tcPr>
          <w:p>
            <w:pPr>
              <w:jc w:val="right"/>
              <w:ind w:right="39"/>
              <w:spacing w:after="0"/>
              <w:rPr>
                <w:sz w:val="20"/>
                <w:szCs w:val="20"/>
                <w:color w:val="auto"/>
              </w:rPr>
            </w:pPr>
            <w:r>
              <w:rPr>
                <w:rFonts w:ascii="Arial" w:cs="Arial" w:eastAsia="Arial" w:hAnsi="Arial"/>
                <w:sz w:val="16"/>
                <w:szCs w:val="16"/>
                <w:color w:val="auto"/>
              </w:rPr>
              <w:t>June 30, 2019</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8"/>
          </w:tcPr>
          <w:p>
            <w:pPr>
              <w:jc w:val="right"/>
              <w:ind w:right="680"/>
              <w:spacing w:after="0"/>
              <w:rPr>
                <w:sz w:val="20"/>
                <w:szCs w:val="20"/>
                <w:color w:val="auto"/>
              </w:rPr>
            </w:pPr>
            <w:r>
              <w:rPr>
                <w:rFonts w:ascii="Arial" w:cs="Arial" w:eastAsia="Arial" w:hAnsi="Arial"/>
                <w:sz w:val="16"/>
                <w:szCs w:val="16"/>
                <w:color w:val="auto"/>
              </w:rPr>
              <w:t>December 31, 2019</w:t>
            </w:r>
          </w:p>
        </w:tc>
      </w:tr>
      <w:tr>
        <w:trPr>
          <w:trHeight w:val="189"/>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Number of</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top w:val="single" w:sz="8" w:color="auto"/>
            </w:tcBorders>
            <w:gridSpan w:val="2"/>
          </w:tcPr>
          <w:p>
            <w:pPr>
              <w:jc w:val="right"/>
              <w:ind w:right="175"/>
              <w:spacing w:after="0"/>
              <w:rPr>
                <w:sz w:val="20"/>
                <w:szCs w:val="20"/>
                <w:color w:val="auto"/>
              </w:rPr>
            </w:pPr>
            <w:r>
              <w:rPr>
                <w:rFonts w:ascii="Arial" w:cs="Arial" w:eastAsia="Arial" w:hAnsi="Arial"/>
                <w:sz w:val="16"/>
                <w:szCs w:val="16"/>
                <w:color w:val="auto"/>
              </w:rPr>
              <w:t>Number of</w:t>
            </w: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6"/>
                <w:szCs w:val="16"/>
                <w:color w:val="auto"/>
              </w:rPr>
              <w:t>Number of</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6"/>
                <w:szCs w:val="16"/>
                <w:color w:val="auto"/>
              </w:rPr>
              <w:t>Contracts</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color w:val="auto"/>
              </w:rPr>
              <w:t>Amount</w:t>
            </w:r>
          </w:p>
        </w:tc>
        <w:tc>
          <w:tcPr>
            <w:tcW w:w="1180" w:type="dxa"/>
            <w:vAlign w:val="bottom"/>
            <w:gridSpan w:val="2"/>
          </w:tcPr>
          <w:p>
            <w:pPr>
              <w:jc w:val="right"/>
              <w:ind w:right="215"/>
              <w:spacing w:after="0"/>
              <w:rPr>
                <w:sz w:val="20"/>
                <w:szCs w:val="20"/>
                <w:color w:val="auto"/>
              </w:rPr>
            </w:pPr>
            <w:r>
              <w:rPr>
                <w:rFonts w:ascii="Arial" w:cs="Arial" w:eastAsia="Arial" w:hAnsi="Arial"/>
                <w:sz w:val="16"/>
                <w:szCs w:val="16"/>
                <w:color w:val="auto"/>
              </w:rPr>
              <w:t>Contracts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6"/>
                <w:szCs w:val="16"/>
                <w:color w:val="auto"/>
                <w:w w:val="97"/>
              </w:rPr>
              <w:t>Amount</w:t>
            </w:r>
          </w:p>
        </w:tc>
        <w:tc>
          <w:tcPr>
            <w:tcW w:w="20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Contracts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6"/>
                <w:szCs w:val="16"/>
                <w:color w:val="auto"/>
              </w:rPr>
              <w:t>Amount</w:t>
            </w:r>
          </w:p>
        </w:tc>
      </w:tr>
      <w:tr>
        <w:trPr>
          <w:trHeight w:val="203"/>
        </w:trPr>
        <w:tc>
          <w:tcPr>
            <w:tcW w:w="32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6"/>
          </w:tcPr>
          <w:p>
            <w:pPr>
              <w:jc w:val="right"/>
              <w:ind w:right="520"/>
              <w:spacing w:after="0"/>
              <w:rPr>
                <w:sz w:val="20"/>
                <w:szCs w:val="20"/>
                <w:color w:val="auto"/>
              </w:rPr>
            </w:pPr>
            <w:r>
              <w:rPr>
                <w:rFonts w:ascii="Arial" w:cs="Arial" w:eastAsia="Arial" w:hAnsi="Arial"/>
                <w:sz w:val="16"/>
                <w:szCs w:val="16"/>
                <w:color w:val="auto"/>
              </w:rPr>
              <w:t>(Dollars in thousands)</w:t>
            </w: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32,160</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460,882</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6"/>
                <w:szCs w:val="16"/>
                <w:color w:val="auto"/>
              </w:rPr>
              <w:t>25,715</w:t>
            </w: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7"/>
                <w:szCs w:val="17"/>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342,074</w:t>
            </w:r>
          </w:p>
        </w:tc>
        <w:tc>
          <w:tcPr>
            <w:tcW w:w="13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6"/>
                <w:szCs w:val="16"/>
                <w:color w:val="auto"/>
              </w:rPr>
              <w:t>28,807</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6"/>
                <w:szCs w:val="16"/>
                <w:color w:val="auto"/>
              </w:rPr>
              <w:t>400,202</w:t>
            </w:r>
          </w:p>
        </w:tc>
      </w:tr>
      <w:tr>
        <w:trPr>
          <w:trHeight w:val="203"/>
        </w:trPr>
        <w:tc>
          <w:tcPr>
            <w:tcW w:w="3280" w:type="dxa"/>
            <w:vAlign w:val="bottom"/>
          </w:tcPr>
          <w:p>
            <w:pPr>
              <w:spacing w:after="0"/>
              <w:rPr>
                <w:sz w:val="20"/>
                <w:szCs w:val="20"/>
                <w:color w:val="auto"/>
              </w:rPr>
            </w:pPr>
            <w:r>
              <w:rPr>
                <w:rFonts w:ascii="Arial" w:cs="Arial" w:eastAsia="Arial" w:hAnsi="Arial"/>
                <w:sz w:val="16"/>
                <w:szCs w:val="16"/>
                <w:color w:val="auto"/>
              </w:rPr>
              <w:t>Contracts with two extensions</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19,265</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254,247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18,807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244,288</w:t>
            </w:r>
          </w:p>
        </w:tc>
        <w:tc>
          <w:tcPr>
            <w:tcW w:w="1360" w:type="dxa"/>
            <w:vAlign w:val="bottom"/>
            <w:gridSpan w:val="4"/>
          </w:tcPr>
          <w:p>
            <w:pPr>
              <w:jc w:val="right"/>
              <w:ind w:right="60"/>
              <w:spacing w:after="0"/>
              <w:rPr>
                <w:sz w:val="20"/>
                <w:szCs w:val="20"/>
                <w:color w:val="auto"/>
              </w:rPr>
            </w:pPr>
            <w:r>
              <w:rPr>
                <w:rFonts w:ascii="Arial" w:cs="Arial" w:eastAsia="Arial" w:hAnsi="Arial"/>
                <w:sz w:val="16"/>
                <w:szCs w:val="16"/>
                <w:color w:val="auto"/>
              </w:rPr>
              <w:t>17,895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229,555</w:t>
            </w:r>
          </w:p>
        </w:tc>
      </w:tr>
      <w:tr>
        <w:trPr>
          <w:trHeight w:val="203"/>
        </w:trPr>
        <w:tc>
          <w:tcPr>
            <w:tcW w:w="328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13,780</w:t>
            </w:r>
          </w:p>
        </w:tc>
        <w:tc>
          <w:tcPr>
            <w:tcW w:w="180" w:type="dxa"/>
            <w:vAlign w:val="bottom"/>
            <w:shd w:val="clear" w:color="auto" w:fill="EEEEEE"/>
          </w:tcPr>
          <w:p>
            <w:pPr>
              <w:spacing w:after="0"/>
              <w:rPr>
                <w:sz w:val="17"/>
                <w:szCs w:val="17"/>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169,137</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6"/>
                <w:szCs w:val="16"/>
                <w:color w:val="auto"/>
              </w:rPr>
              <w:t>15,430</w:t>
            </w: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201,324</w:t>
            </w:r>
          </w:p>
        </w:tc>
        <w:tc>
          <w:tcPr>
            <w:tcW w:w="13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6"/>
                <w:szCs w:val="16"/>
                <w:color w:val="auto"/>
              </w:rPr>
              <w:t>14,423</w:t>
            </w: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6"/>
                <w:szCs w:val="16"/>
                <w:color w:val="auto"/>
              </w:rPr>
              <w:t>181,896</w:t>
            </w:r>
          </w:p>
        </w:tc>
      </w:tr>
      <w:tr>
        <w:trPr>
          <w:trHeight w:val="203"/>
        </w:trPr>
        <w:tc>
          <w:tcPr>
            <w:tcW w:w="3280" w:type="dxa"/>
            <w:vAlign w:val="bottom"/>
          </w:tcPr>
          <w:p>
            <w:pPr>
              <w:spacing w:after="0"/>
              <w:rPr>
                <w:sz w:val="20"/>
                <w:szCs w:val="20"/>
                <w:color w:val="auto"/>
              </w:rPr>
            </w:pPr>
            <w:r>
              <w:rPr>
                <w:rFonts w:ascii="Arial" w:cs="Arial" w:eastAsia="Arial" w:hAnsi="Arial"/>
                <w:sz w:val="16"/>
                <w:szCs w:val="16"/>
                <w:color w:val="auto"/>
              </w:rPr>
              <w:t>Contracts with four extensions</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11,964</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141,288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12,740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166,119</w:t>
            </w:r>
          </w:p>
        </w:tc>
        <w:tc>
          <w:tcPr>
            <w:tcW w:w="1360" w:type="dxa"/>
            <w:vAlign w:val="bottom"/>
            <w:gridSpan w:val="4"/>
          </w:tcPr>
          <w:p>
            <w:pPr>
              <w:jc w:val="right"/>
              <w:ind w:right="60"/>
              <w:spacing w:after="0"/>
              <w:rPr>
                <w:sz w:val="20"/>
                <w:szCs w:val="20"/>
                <w:color w:val="auto"/>
              </w:rPr>
            </w:pPr>
            <w:r>
              <w:rPr>
                <w:rFonts w:ascii="Arial" w:cs="Arial" w:eastAsia="Arial" w:hAnsi="Arial"/>
                <w:sz w:val="16"/>
                <w:szCs w:val="16"/>
                <w:color w:val="auto"/>
              </w:rPr>
              <w:t>12,367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153,170</w:t>
            </w:r>
          </w:p>
        </w:tc>
      </w:tr>
      <w:tr>
        <w:trPr>
          <w:trHeight w:val="203"/>
        </w:trPr>
        <w:tc>
          <w:tcPr>
            <w:tcW w:w="328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9,082</w:t>
            </w:r>
          </w:p>
        </w:tc>
        <w:tc>
          <w:tcPr>
            <w:tcW w:w="180" w:type="dxa"/>
            <w:vAlign w:val="bottom"/>
            <w:shd w:val="clear" w:color="auto" w:fill="EEEEEE"/>
          </w:tcPr>
          <w:p>
            <w:pPr>
              <w:spacing w:after="0"/>
              <w:rPr>
                <w:sz w:val="17"/>
                <w:szCs w:val="17"/>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101,524</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6"/>
                <w:szCs w:val="16"/>
                <w:color w:val="auto"/>
              </w:rPr>
              <w:t>8,717</w:t>
            </w: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110,251</w:t>
            </w:r>
          </w:p>
        </w:tc>
        <w:tc>
          <w:tcPr>
            <w:tcW w:w="13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6"/>
                <w:szCs w:val="16"/>
                <w:color w:val="auto"/>
              </w:rPr>
              <w:t>8,742</w:t>
            </w: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6"/>
                <w:szCs w:val="16"/>
                <w:color w:val="auto"/>
              </w:rPr>
              <w:t>103,989</w:t>
            </w: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Contracts with six extensions</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6,407</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67,585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5,265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61,975</w:t>
            </w:r>
          </w:p>
        </w:tc>
        <w:tc>
          <w:tcPr>
            <w:tcW w:w="1360" w:type="dxa"/>
            <w:vAlign w:val="bottom"/>
            <w:gridSpan w:val="4"/>
          </w:tcPr>
          <w:p>
            <w:pPr>
              <w:jc w:val="right"/>
              <w:ind w:right="60"/>
              <w:spacing w:after="0"/>
              <w:rPr>
                <w:sz w:val="20"/>
                <w:szCs w:val="20"/>
                <w:color w:val="auto"/>
              </w:rPr>
            </w:pPr>
            <w:r>
              <w:rPr>
                <w:rFonts w:ascii="Arial" w:cs="Arial" w:eastAsia="Arial" w:hAnsi="Arial"/>
                <w:sz w:val="16"/>
                <w:szCs w:val="16"/>
                <w:color w:val="auto"/>
              </w:rPr>
              <w:t>5,454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60,743</w:t>
            </w:r>
          </w:p>
        </w:tc>
      </w:tr>
      <w:tr>
        <w:trPr>
          <w:trHeight w:val="20"/>
        </w:trPr>
        <w:tc>
          <w:tcPr>
            <w:tcW w:w="3280" w:type="dxa"/>
            <w:vAlign w:val="bottom"/>
            <w:shd w:val="clear" w:color="auto" w:fill="EEEEE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180" w:type="dxa"/>
            <w:vAlign w:val="bottom"/>
            <w:tcBorders>
              <w:right w:val="single" w:sz="8" w:color="EEEEEE"/>
            </w:tcBorders>
            <w:gridSpan w:val="2"/>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EEEEEE"/>
            </w:tcBorders>
            <w:gridSpan w:val="2"/>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160" w:type="dxa"/>
            <w:vAlign w:val="bottom"/>
            <w:tcBorders>
              <w:right w:val="single" w:sz="8" w:color="EEEEEE"/>
            </w:tcBorders>
            <w:gridSpan w:val="3"/>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209"/>
        </w:trPr>
        <w:tc>
          <w:tcPr>
            <w:tcW w:w="32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92,658</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1,194,663</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6"/>
                <w:szCs w:val="16"/>
                <w:color w:val="auto"/>
              </w:rPr>
              <w:t>86,674</w:t>
            </w: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9"/>
              </w:rPr>
              <w:t>1,126,031</w:t>
            </w:r>
          </w:p>
        </w:tc>
        <w:tc>
          <w:tcPr>
            <w:tcW w:w="13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6"/>
                <w:szCs w:val="16"/>
                <w:color w:val="auto"/>
              </w:rPr>
              <w:t>87,688</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6"/>
                <w:szCs w:val="16"/>
                <w:color w:val="auto"/>
              </w:rPr>
              <w:t>1,129,555</w:t>
            </w:r>
          </w:p>
        </w:tc>
      </w:tr>
      <w:tr>
        <w:trPr>
          <w:trHeight w:val="20"/>
        </w:trPr>
        <w:tc>
          <w:tcPr>
            <w:tcW w:w="32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86"/>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3280" w:type="dxa"/>
            <w:vAlign w:val="bottom"/>
            <w:shd w:val="clear" w:color="auto" w:fill="EEEEEE"/>
          </w:tcPr>
          <w:p>
            <w:pPr>
              <w:spacing w:after="0"/>
              <w:rPr>
                <w:sz w:val="20"/>
                <w:szCs w:val="20"/>
                <w:color w:val="auto"/>
              </w:rPr>
            </w:pPr>
            <w:r>
              <w:rPr>
                <w:rFonts w:ascii="Arial" w:cs="Arial" w:eastAsia="Arial" w:hAnsi="Arial"/>
                <w:sz w:val="16"/>
                <w:szCs w:val="16"/>
                <w:color w:val="auto"/>
              </w:rPr>
              <w:t>Managed portfolio (excluding originated and</w:t>
            </w:r>
          </w:p>
        </w:tc>
        <w:tc>
          <w:tcPr>
            <w:tcW w:w="11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880" w:type="dxa"/>
            <w:vAlign w:val="bottom"/>
            <w:tcBorders>
              <w:right w:val="single" w:sz="8" w:color="EEEEEE"/>
            </w:tcBorders>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480" w:type="dxa"/>
            <w:vAlign w:val="bottom"/>
            <w:tcBorders>
              <w:right w:val="single" w:sz="8" w:color="EEEEEE"/>
            </w:tcBorders>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120" w:type="dxa"/>
            <w:vAlign w:val="bottom"/>
            <w:tcBorders>
              <w:right w:val="single" w:sz="8" w:color="EEEEEE"/>
            </w:tcBorders>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2"/>
        </w:trPr>
        <w:tc>
          <w:tcPr>
            <w:tcW w:w="3280" w:type="dxa"/>
            <w:vAlign w:val="bottom"/>
            <w:shd w:val="clear" w:color="auto" w:fill="EEEEEE"/>
          </w:tcPr>
          <w:p>
            <w:pPr>
              <w:ind w:left="180"/>
              <w:spacing w:after="0"/>
              <w:rPr>
                <w:sz w:val="20"/>
                <w:szCs w:val="20"/>
                <w:color w:val="auto"/>
              </w:rPr>
            </w:pPr>
            <w:r>
              <w:rPr>
                <w:rFonts w:ascii="Arial" w:cs="Arial" w:eastAsia="Arial" w:hAnsi="Arial"/>
                <w:sz w:val="16"/>
                <w:szCs w:val="16"/>
                <w:color w:val="auto"/>
              </w:rPr>
              <w:t>owned by 3rd parties)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173,214</w:t>
            </w:r>
          </w:p>
        </w:tc>
        <w:tc>
          <w:tcPr>
            <w:tcW w:w="180" w:type="dxa"/>
            <w:vAlign w:val="bottom"/>
            <w:shd w:val="clear" w:color="auto" w:fill="EEEEEE"/>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2,326,440</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6"/>
                <w:szCs w:val="16"/>
                <w:color w:val="auto"/>
              </w:rPr>
              <w:t>177,115</w:t>
            </w: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9"/>
              </w:rPr>
              <w:t>2,399,221</w:t>
            </w:r>
          </w:p>
        </w:tc>
        <w:tc>
          <w:tcPr>
            <w:tcW w:w="13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6"/>
                <w:szCs w:val="16"/>
                <w:color w:val="auto"/>
              </w:rPr>
              <w:t>177,604</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6"/>
                <w:szCs w:val="16"/>
                <w:color w:val="auto"/>
              </w:rPr>
              <w:t>2,416,042</w:t>
            </w:r>
          </w:p>
        </w:tc>
      </w:tr>
      <w:tr>
        <w:trPr>
          <w:trHeight w:val="245"/>
        </w:trPr>
        <w:tc>
          <w:tcPr>
            <w:tcW w:w="3280" w:type="dxa"/>
            <w:vAlign w:val="bottom"/>
          </w:tcPr>
          <w:p>
            <w:pPr>
              <w:spacing w:after="0" w:line="245" w:lineRule="exact"/>
              <w:rPr>
                <w:sz w:val="20"/>
                <w:szCs w:val="20"/>
                <w:color w:val="auto"/>
              </w:rPr>
            </w:pPr>
            <w:r>
              <w:rPr>
                <w:rFonts w:ascii="Arial" w:cs="Arial" w:eastAsia="Arial" w:hAnsi="Arial"/>
                <w:sz w:val="22"/>
                <w:szCs w:val="22"/>
                <w:color w:val="auto"/>
              </w:rPr>
              <w:t>______________________</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jc w:val="both"/>
        <w:ind w:firstLine="360"/>
        <w:spacing w:after="0" w:line="270" w:lineRule="auto"/>
        <w:rPr>
          <w:sz w:val="20"/>
          <w:szCs w:val="20"/>
          <w:color w:val="auto"/>
        </w:rPr>
      </w:pPr>
      <w:r>
        <w:rPr>
          <w:rFonts w:ascii="Arial" w:cs="Arial" w:eastAsia="Arial" w:hAnsi="Arial"/>
          <w:sz w:val="17"/>
          <w:szCs w:val="17"/>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 Since January of 2019, we have attempted to reduce extensions by working with our servicing staff to be more selective in granting extensions including, where appropriate, to exhaust all possibilities of payment by the customer before granting an extension. Due to the pandemic, we have after March 2020 granted more extensions than in the prior year period, as shown in the table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290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color w:val="auto"/>
                <w:w w:val="89"/>
              </w:rPr>
              <w:t>Second Quarter of 2019</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Borders>
              <w:bottom w:val="single" w:sz="8" w:color="auto"/>
            </w:tcBorders>
            <w:gridSpan w:val="5"/>
          </w:tcPr>
          <w:p>
            <w:pPr>
              <w:jc w:val="center"/>
              <w:ind w:left="830"/>
              <w:spacing w:after="0"/>
              <w:rPr>
                <w:sz w:val="20"/>
                <w:szCs w:val="20"/>
                <w:color w:val="auto"/>
              </w:rPr>
            </w:pPr>
            <w:r>
              <w:rPr>
                <w:rFonts w:ascii="Arial" w:cs="Arial" w:eastAsia="Arial" w:hAnsi="Arial"/>
                <w:sz w:val="18"/>
                <w:szCs w:val="18"/>
                <w:color w:val="auto"/>
                <w:w w:val="89"/>
              </w:rPr>
              <w:t>Second Quarter of 2020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Apr-19</w:t>
            </w:r>
          </w:p>
        </w:tc>
        <w:tc>
          <w:tcPr>
            <w:tcW w:w="154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May-19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Jun-19</w:t>
            </w:r>
          </w:p>
        </w:tc>
        <w:tc>
          <w:tcPr>
            <w:tcW w:w="26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Apr-20</w:t>
            </w:r>
          </w:p>
        </w:tc>
        <w:tc>
          <w:tcPr>
            <w:tcW w:w="1560" w:type="dxa"/>
            <w:vAlign w:val="bottom"/>
            <w:gridSpan w:val="3"/>
          </w:tcPr>
          <w:p>
            <w:pPr>
              <w:jc w:val="center"/>
              <w:ind w:right="460"/>
              <w:spacing w:after="0"/>
              <w:rPr>
                <w:sz w:val="20"/>
                <w:szCs w:val="20"/>
                <w:color w:val="auto"/>
              </w:rPr>
            </w:pPr>
            <w:r>
              <w:rPr>
                <w:rFonts w:ascii="Arial" w:cs="Arial" w:eastAsia="Arial" w:hAnsi="Arial"/>
                <w:sz w:val="18"/>
                <w:szCs w:val="18"/>
                <w:color w:val="auto"/>
                <w:w w:val="96"/>
              </w:rPr>
              <w:t>May-20</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Jun-20</w:t>
            </w:r>
          </w:p>
        </w:tc>
        <w:tc>
          <w:tcPr>
            <w:tcW w:w="160" w:type="dxa"/>
            <w:vAlign w:val="bottom"/>
          </w:tcPr>
          <w:p>
            <w:pPr>
              <w:spacing w:after="0"/>
              <w:rPr>
                <w:sz w:val="19"/>
                <w:szCs w:val="19"/>
                <w:color w:val="auto"/>
              </w:rPr>
            </w:pPr>
          </w:p>
        </w:tc>
      </w:tr>
      <w:tr>
        <w:trPr>
          <w:trHeight w:val="209"/>
        </w:trPr>
        <w:tc>
          <w:tcPr>
            <w:tcW w:w="3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Number of extensions granted</w:t>
            </w: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3,806</w:t>
            </w: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4,033</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4,174</w:t>
            </w: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14,227</w:t>
            </w:r>
          </w:p>
        </w:tc>
        <w:tc>
          <w:tcPr>
            <w:tcW w:w="13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9,112</w:t>
            </w: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4,954</w:t>
            </w:r>
          </w:p>
        </w:tc>
      </w:tr>
      <w:tr>
        <w:trPr>
          <w:trHeight w:val="216"/>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Number of outstanding accounts</w:t>
            </w: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177,220</w:t>
            </w: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177,124</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177,115</w:t>
            </w: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177,644</w:t>
            </w:r>
          </w:p>
        </w:tc>
        <w:tc>
          <w:tcPr>
            <w:tcW w:w="13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175,241</w:t>
            </w: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173,214</w:t>
            </w:r>
          </w:p>
        </w:tc>
      </w:tr>
      <w:tr>
        <w:trPr>
          <w:trHeight w:val="216"/>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Extensions as % of outstandings</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w:t>
            </w: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8.0%</w:t>
            </w: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9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Net cash provided by operating activities for the six-month period ended June 30, 2020 was $129.4 million, an increase of $17.0 million, compared to net cash provided by operating activities for the six-month period ended June 30, 2019 of $112.4 million. Net cash from operating activities is generally provided by net income from operations adjusted for significant non-cash items such as our provision for credit losses and interest accretion on fair value receivables.</w:t>
      </w:r>
    </w:p>
    <w:p>
      <w:pPr>
        <w:spacing w:after="0" w:line="18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Net cash provided by investing activities for the six-month period ended June 30, 2020 was $4.9 million compared to net cash used in investing activities of $115.4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$399.7 million and $494.6 million during the first six months of 2020 and 2019, respectively.</w:t>
      </w:r>
    </w:p>
    <w:p>
      <w:pPr>
        <w:spacing w:after="0" w:line="17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Net cash used in financing activities for the six months ended June 30, 2020 was $128.4 million compared to net cash provided by financing activities of $8.1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2020, we issued $462.3 million in new securitization trust debt compared to $482.7 million in the same period of 2019. We repaid $508.9 million in securitization trust debt in the six months ended June 30, 2020 compared to repayments of securitization trust debt of $468.9 million in the prior year period. In the six months ended June 31, 2020, we had net repayments on warehouse lines of credit of $78.8 million, compared to net advances of $2.7 million in the prior year’s period.</w:t>
      </w:r>
    </w:p>
    <w:p>
      <w:pPr>
        <w:spacing w:after="0" w:line="195"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57"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 Since approximately April 1, 2020, due to the onset of the pandemic, we have seen a decrease in the number of purchased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ind w:firstLine="360"/>
        <w:spacing w:after="0" w:line="287"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June 30, 2020, we had unrestricted cash of $7.5 million and $243.3 million aggregate available borrowings under our three warehouse credit facilities (assuming the availability of sufficient eligible collateral). As of June 30, 2020, we had approximately $20.3 million of such eligible collateral. Our plans to manage our liquidity include maintaining our rate of automobile contract purchases at a level that matches our available capital, and, as appropriate, minimizing our operating costs. During the six-month period ended June 30, 2020, we completed two securitizations aggregating $462.3 million of notes sold. We generally complete one securitization each calendar quarter and have completed four securitizations every year since 2012, except for 2015 in which we completed three. We had planned to complete a securitization in April 2020 but chose to delay it to June 2020 because the market for asset-backed securities had been significantly interrupted due to the pandemic. Although we were able to complete our June 2020 securitization, the structure and amount of bonds sold relative to the underlying receivables resulted in significantly less leverage than we had experienced in recent transactions. We intend to continue to monitor the market for asset-backed securities with the intention of completing our next securitization when we find terms to be acceptable. There is no assurance that we will be able to complete a securitization on acceptable terms. If we are unable to complete such securitizations, we may be required to further reduce our automobile contract purchases, in which case our interest income and other portfolio related income would decrease.</w:t>
      </w:r>
    </w:p>
    <w:p>
      <w:pPr>
        <w:spacing w:after="0" w:line="16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2020, we were in compliance with all such financial covenants.</w:t>
      </w:r>
    </w:p>
    <w:p>
      <w:pPr>
        <w:spacing w:after="0" w:line="17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have and will continue to have a substantial amount of indebtedness. At June 30, 2020, we had approximately $2,165.0 million of debt outstanding. Such debt consisted primarily of $2,051.2 million of securitization trust debt and $56.7 million of debt from warehouse lines of credit. Our securitization trust debt has decreased by $26.1 million while our warehouse lines of credit debt has decreased by $82.5 million since June 30, 2019 (each net of deferred financing costs). Since 2005, we have offered renewable subordinated notes to the public on a continuous basis, and such notes have maturities that range from six months to 10 years. We had $19.6 million and $14.4 million in subordinated renewable notes outstanding at June 30, 2020 and 2019, respectively. On May 16, 2018, we completed a $40.0 million securitization of residual interests from previously issued securitizations. At June 30, 2020, $37.9 million of this residual interest financing debt remains outstanding ($37.5 million net of deferred financing costs).</w:t>
      </w:r>
    </w:p>
    <w:p>
      <w:pPr>
        <w:spacing w:after="0" w:line="16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16, 2020. Where we are aware of material changes to such risk factors as previously disclosed, we set forth below an updated discussion of such risks. The reader should note that the other risks identified in our report on Form 10-K remain applicable.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The COVID-19 pandemic and public authorities’ responses to the pandemic have materially and adversely affected our business, and the continuation or intensification of the pandemic or of public authorities’ responses may materially affect our financial condition, liquidity and results of operations.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outbreak of a novel strain of coronavirus (“COVID-19”) has spread throughout the world, including in the United States. The outbreak has been declared a pandemic by the World Health Organization, the president of the United States has declared a national emergency, and governments in a substantial majority of the states of the United States have imposed emergency restrictions, of varying kind and detail, on economic activity. Such restrictions have included outright bans on the conduct of business not deemed essential by the respective governments.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pandemic itself, if sufficient numbers of people were to be afflicted, could cause obligors under our automobile contracts to be unable to pay their contractual obligations. As the future course of the COVID-19 pandemic is as yet unknown, its direct effect on future obligor payments is likewise uncertain, but we believe it may be material.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mandatory shutdown of large portions of the United States economy pursuant to emergency restrictions has impaired and will impair the ability of obligors under our automobile contracts to pay their contractual obligations. The extent to which that ability will be impaired, and the extent to which public ameliorative measures such as stimulus payments and enhanced unemployment benefits may restore such ability, cannot be estimated, but we believe it may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Obligors’ willingness to pay may be impaired as a result of any combination of the following:</w:t>
      </w:r>
    </w:p>
    <w:p>
      <w:pPr>
        <w:spacing w:after="0" w:line="225" w:lineRule="exact"/>
        <w:rPr>
          <w:sz w:val="20"/>
          <w:szCs w:val="20"/>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losses of income, resulting from emergency shutdowns, or general economic conditions, or both</w:t>
      </w:r>
    </w:p>
    <w:p>
      <w:pPr>
        <w:spacing w:after="0" w:line="23"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obligors’ perception of increased risk that they may suffer a loss of income in the future</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encouragement on the part of officials and others to expect deferrals and other accommodations from creditors</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emergency or permanent limitations on our ability to enforce our automobile contracts.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extent to which these or other factors may increase obligors’ refusal to pay in accordance with the terms of our automobile contracts cannot be estimated, but we believe it may be material.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Emergency regulations in some states mandate that we refrain from enforcing our automobile contacts by repossession or by legal process. The effective dates of such mandates vary from state to state, and we expect that the effective dates will change in the future. In addition to the emergency regulations in effect as of the date of this report, federal and state governments may impose further restrictions on servicing practices, such as requiring forbearance for affected borrowers or prohibiting repossession. The effect of existing emergency mandates, and the extent and effect of any such further restrictions is uncertain, but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The pandemic itself (if sufficient numbers of people are afflicted) may adversely affect, and actions taken in response to the pandemic on a national and local level by governmental authorities have adversely affected, general and local economic conditions. We expect that such adverse effects on the economy generally will have an adverse effect on payments that we will receive in the future on our automobile contracts. Such adverse effect may be material.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a general decline in economic activity, should it occur, may adversely affect the availability of automobile contracts for our purchase. We have seen a material decrease in the availability of contracts for purchase since April 2020. We are unable to predict the extent to which such a decrease may reverse, intensify or persist, nor whether or when such a decrease may end. A material and continued decrease would cause the size of our portfolio of automobile contracts to be reduced, which in turn would decrease the revenue that we may receive in the future from our portfolio of automobile contracts, in an amount that we cannot estimate at this time, but which may be material.</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pandemic has resulted in unsettled conditions in financial markets, which has caused us to defer an April 2020 securitization transaction and has resulted in an adverse change in terms in our most recent securitization (June 2020), as compared with securitizations in 2018 and 2019. We cannot predict the time and extent to which such unsettled conditions may persist, but continuing adverse conditions would increase our interest expense, and could reduce our ability to purchase automobile contracts, which would cause the size of our portfolio of automobile contracts to be reduced, which in turn would decrease the revenue that we may receive in the future from our portfolio of automobile contracts. We cannot estimate the amount of any such decrease at this time, but the increase in expense, decrease in revenue, or both, may be material.</w:t>
      </w:r>
    </w:p>
    <w:p>
      <w:pPr>
        <w:spacing w:after="0" w:line="17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w:t>
      </w:r>
      <w:r>
        <w:rPr>
          <w:rFonts w:ascii="Arial" w:cs="Arial" w:eastAsia="Arial" w:hAnsi="Arial"/>
          <w:sz w:val="18"/>
          <w:szCs w:val="18"/>
          <w:color w:val="323232"/>
        </w:rPr>
        <w:t>ignificant changes in any of those inputs, which in turn may a significant effect</w:t>
      </w:r>
      <w:r>
        <w:rPr>
          <w:rFonts w:ascii="Arial" w:cs="Arial" w:eastAsia="Arial" w:hAnsi="Arial"/>
          <w:sz w:val="18"/>
          <w:szCs w:val="18"/>
          <w:color w:val="auto"/>
        </w:rPr>
        <w:t xml:space="preserve"> </w:t>
      </w:r>
      <w:r>
        <w:rPr>
          <w:rFonts w:ascii="Arial" w:cs="Arial" w:eastAsia="Arial" w:hAnsi="Arial"/>
          <w:sz w:val="18"/>
          <w:szCs w:val="18"/>
          <w:color w:val="323232"/>
        </w:rPr>
        <w:t>on our fair value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and will continue to have a substantial amount of indebtedness. At June 30, 2020, we had approximately $2,165.0 million of debt outstanding. Such debt consisted primarily of $2,051.2 million of securitization trust debt and $57.6 million of debt from warehouse lines of credit. Our securitization trust debt has decreased by $46.6 million while our warehouse lines of credit debt has decreased by $78.1 million since December 31, 2019 (each net of deferred financing costs). Since 2005, we have offered renewable subordinated notes to the public on a continuous basis, and such notes have maturities that range from six months to 10 years. We had $19.6 million and $17.5 million in subordinated renewable notes outstanding at June 30, 2020 and December 31, 2019, respectively. On May 16, 2018, we completed a $40.0 million securitization of residual interests from previously issued securitizations. At June 30, 2020, $37.9 million of this residual interest financing debt remains outstanding ($37.5 million net of deferred financing costs). Our substantial indebtedness could adversely affect our financial condition by, among other things:</w:t>
      </w:r>
    </w:p>
    <w:p>
      <w:pPr>
        <w:spacing w:after="0" w:line="178" w:lineRule="exact"/>
        <w:rPr>
          <w:sz w:val="20"/>
          <w:szCs w:val="20"/>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780" w:hanging="259"/>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2020, we repurchased 25,113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Purchased as</w:t>
            </w:r>
          </w:p>
        </w:tc>
        <w:tc>
          <w:tcPr>
            <w:tcW w:w="16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Shares that May</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Average Price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6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Paid</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Plans or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or</w:t>
            </w:r>
          </w:p>
        </w:tc>
        <w:tc>
          <w:tcPr>
            <w:tcW w:w="0" w:type="dxa"/>
            <w:vAlign w:val="bottom"/>
          </w:tcPr>
          <w:p>
            <w:pPr>
              <w:spacing w:after="0"/>
              <w:rPr>
                <w:sz w:val="1"/>
                <w:szCs w:val="1"/>
                <w:color w:val="auto"/>
              </w:rPr>
            </w:pPr>
          </w:p>
        </w:tc>
      </w:tr>
      <w:tr>
        <w:trPr>
          <w:trHeight w:val="234"/>
        </w:trPr>
        <w:tc>
          <w:tcPr>
            <w:tcW w:w="4740" w:type="dxa"/>
            <w:vAlign w:val="bottom"/>
            <w:gridSpan w:val="2"/>
          </w:tcPr>
          <w:p>
            <w:pPr>
              <w:ind w:left="1900"/>
              <w:spacing w:after="0"/>
              <w:rPr>
                <w:sz w:val="20"/>
                <w:szCs w:val="20"/>
                <w:color w:val="auto"/>
              </w:rPr>
            </w:pPr>
            <w:r>
              <w:rPr>
                <w:rFonts w:ascii="Arial" w:cs="Arial" w:eastAsia="Arial" w:hAnsi="Arial"/>
                <w:sz w:val="18"/>
                <w:szCs w:val="18"/>
                <w:b w:val="1"/>
                <w:bCs w:val="1"/>
                <w:color w:val="auto"/>
              </w:rPr>
              <w:t>Period(1)</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per Share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Programs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April 2020</w:t>
            </w: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6,144,520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May 2020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6,144,520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June 2020</w:t>
            </w: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25,113</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2.85</w:t>
            </w:r>
          </w:p>
        </w:tc>
        <w:tc>
          <w:tcPr>
            <w:tcW w:w="15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25,113</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6,072,949</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2020,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4.14</w:t>
            </w:r>
          </w:p>
        </w:tc>
        <w:tc>
          <w:tcPr>
            <w:tcW w:w="10500" w:type="dxa"/>
            <w:vAlign w:val="bottom"/>
          </w:tcPr>
          <w:p>
            <w:pPr>
              <w:ind w:left="400"/>
              <w:spacing w:after="0"/>
              <w:rPr>
                <w:sz w:val="20"/>
                <w:szCs w:val="20"/>
                <w:color w:val="auto"/>
              </w:rPr>
            </w:pPr>
            <w:r>
              <w:rPr>
                <w:rFonts w:ascii="Arial" w:cs="Arial" w:eastAsia="Arial" w:hAnsi="Arial"/>
                <w:sz w:val="18"/>
                <w:szCs w:val="18"/>
                <w:color w:val="auto"/>
                <w:w w:val="91"/>
              </w:rPr>
              <w:t>Instruments defining the rights of holders of long-term debt of certain consolidated subsidiaries of the registrant are omitted pursuant to the</w:t>
            </w:r>
          </w:p>
        </w:tc>
      </w:tr>
      <w:tr>
        <w:trPr>
          <w:trHeight w:val="216"/>
        </w:trPr>
        <w:tc>
          <w:tcPr>
            <w:tcW w:w="74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6"/>
              </w:rPr>
              <w:t>exclusion set forth in subdivisions (b)(iv)(iii)(A) and (b)(v) of Item 601 of Regulation S-K (17 CFR 229.601). The registrant agrees to</w:t>
            </w:r>
          </w:p>
        </w:tc>
      </w:tr>
      <w:tr>
        <w:trPr>
          <w:trHeight w:val="216"/>
        </w:trPr>
        <w:tc>
          <w:tcPr>
            <w:tcW w:w="74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10500" w:type="dxa"/>
            <w:vAlign w:val="bottom"/>
          </w:tcPr>
          <w:p>
            <w:pPr>
              <w:ind w:left="40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Rule 13a-14(a) Certification of the Chief Executive Officer of the registrant.</w:t>
              </w:r>
            </w:hyperlink>
          </w:p>
        </w:tc>
      </w:tr>
      <w:tr>
        <w:trPr>
          <w:trHeight w:val="23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10500" w:type="dxa"/>
            <w:vAlign w:val="bottom"/>
          </w:tcPr>
          <w:p>
            <w:pPr>
              <w:ind w:left="40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Rule 13a-14(a) Certification of the Chief Financial Officer of the registrant.</w:t>
              </w:r>
            </w:hyperlink>
          </w:p>
        </w:tc>
      </w:tr>
    </w:tbl>
    <w:p>
      <w:pPr>
        <w:ind w:left="1140" w:hanging="1132"/>
        <w:spacing w:after="0"/>
        <w:tabs>
          <w:tab w:leader="none" w:pos="1140" w:val="left"/>
        </w:tabs>
        <w:numPr>
          <w:ilvl w:val="0"/>
          <w:numId w:val="20"/>
        </w:numPr>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1350 Certifications.*</w:t>
        </w:r>
      </w:hyperlink>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20" w:type="dxa"/>
            <w:vAlign w:val="bottom"/>
          </w:tcPr>
          <w:p>
            <w:pPr>
              <w:ind w:left="220"/>
              <w:spacing w:after="0"/>
              <w:rPr>
                <w:sz w:val="20"/>
                <w:szCs w:val="20"/>
                <w:color w:val="auto"/>
              </w:rPr>
            </w:pPr>
            <w:r>
              <w:rPr>
                <w:rFonts w:ascii="Arial" w:cs="Arial" w:eastAsia="Arial" w:hAnsi="Arial"/>
                <w:sz w:val="18"/>
                <w:szCs w:val="18"/>
                <w:color w:val="auto"/>
              </w:rPr>
              <w:t>XBRL Instances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2" w:lineRule="exact"/>
        <w:rPr>
          <w:sz w:val="20"/>
          <w:szCs w:val="20"/>
          <w:color w:val="auto"/>
        </w:rPr>
      </w:pPr>
    </w:p>
    <w:p>
      <w:pPr>
        <w:jc w:val="both"/>
        <w:ind w:firstLine="368"/>
        <w:spacing w:after="0" w:line="259" w:lineRule="auto"/>
        <w:tabs>
          <w:tab w:leader="none" w:pos="5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5320" w:type="dxa"/>
            <w:vAlign w:val="bottom"/>
            <w:gridSpan w:val="2"/>
          </w:tcPr>
          <w:p>
            <w:pPr>
              <w:ind w:left="1000"/>
              <w:spacing w:after="0" w:line="184" w:lineRule="exact"/>
              <w:rPr>
                <w:sz w:val="20"/>
                <w:szCs w:val="20"/>
                <w:color w:val="auto"/>
              </w:rPr>
            </w:pPr>
            <w:r>
              <w:rPr>
                <w:rFonts w:ascii="Arial" w:cs="Arial" w:eastAsia="Arial" w:hAnsi="Arial"/>
                <w:sz w:val="18"/>
                <w:szCs w:val="18"/>
                <w:color w:val="auto"/>
              </w:rPr>
              <w:t>By: /s/  CHARLES E. BRADLEY, JR.</w:t>
            </w:r>
          </w:p>
        </w:tc>
      </w:tr>
      <w:tr>
        <w:trPr>
          <w:trHeight w:val="20"/>
        </w:trPr>
        <w:tc>
          <w:tcPr>
            <w:tcW w:w="24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22"/>
        </w:trPr>
        <w:tc>
          <w:tcPr>
            <w:tcW w:w="2420" w:type="dxa"/>
            <w:vAlign w:val="bottom"/>
          </w:tcPr>
          <w:p>
            <w:pPr>
              <w:spacing w:after="0"/>
              <w:rPr>
                <w:sz w:val="19"/>
                <w:szCs w:val="19"/>
                <w:color w:val="auto"/>
              </w:rPr>
            </w:pPr>
          </w:p>
        </w:tc>
        <w:tc>
          <w:tcPr>
            <w:tcW w:w="5320" w:type="dxa"/>
            <w:vAlign w:val="bottom"/>
            <w:gridSpan w:val="2"/>
          </w:tcPr>
          <w:p>
            <w:pPr>
              <w:ind w:left="1000"/>
              <w:spacing w:after="0"/>
              <w:rPr>
                <w:sz w:val="20"/>
                <w:szCs w:val="20"/>
                <w:color w:val="auto"/>
              </w:rPr>
            </w:pPr>
            <w:r>
              <w:rPr>
                <w:rFonts w:ascii="Arial" w:cs="Arial" w:eastAsia="Arial" w:hAnsi="Arial"/>
                <w:sz w:val="18"/>
                <w:szCs w:val="18"/>
                <w:color w:val="auto"/>
              </w:rPr>
              <w:t>Charles E. Bradley, Jr.</w:t>
            </w:r>
          </w:p>
        </w:tc>
      </w:tr>
      <w:tr>
        <w:trPr>
          <w:trHeight w:val="216"/>
        </w:trPr>
        <w:tc>
          <w:tcPr>
            <w:tcW w:w="2420" w:type="dxa"/>
            <w:vAlign w:val="bottom"/>
          </w:tcPr>
          <w:p>
            <w:pPr>
              <w:spacing w:after="0"/>
              <w:rPr>
                <w:sz w:val="18"/>
                <w:szCs w:val="18"/>
                <w:color w:val="auto"/>
              </w:rPr>
            </w:pPr>
          </w:p>
        </w:tc>
        <w:tc>
          <w:tcPr>
            <w:tcW w:w="5320" w:type="dxa"/>
            <w:vAlign w:val="bottom"/>
            <w:gridSpan w:val="2"/>
          </w:tcPr>
          <w:p>
            <w:pPr>
              <w:ind w:left="10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2420" w:type="dxa"/>
            <w:vAlign w:val="bottom"/>
          </w:tcPr>
          <w:p>
            <w:pPr>
              <w:spacing w:after="0"/>
              <w:rPr>
                <w:sz w:val="20"/>
                <w:szCs w:val="20"/>
                <w:color w:val="auto"/>
              </w:rPr>
            </w:pPr>
          </w:p>
        </w:tc>
        <w:tc>
          <w:tcPr>
            <w:tcW w:w="5320" w:type="dxa"/>
            <w:vAlign w:val="bottom"/>
            <w:gridSpan w:val="2"/>
          </w:tcPr>
          <w:p>
            <w:pPr>
              <w:ind w:left="1000"/>
              <w:spacing w:after="0"/>
              <w:rPr>
                <w:sz w:val="20"/>
                <w:szCs w:val="20"/>
                <w:color w:val="auto"/>
              </w:rPr>
            </w:pPr>
            <w:r>
              <w:rPr>
                <w:rFonts w:ascii="Arial" w:cs="Arial" w:eastAsia="Arial" w:hAnsi="Arial"/>
                <w:sz w:val="18"/>
                <w:szCs w:val="18"/>
                <w:color w:val="auto"/>
              </w:rPr>
              <w:t>(Principal Executive Officer)</w:t>
            </w:r>
          </w:p>
        </w:tc>
      </w:tr>
      <w:tr>
        <w:trPr>
          <w:trHeight w:val="391"/>
        </w:trPr>
        <w:tc>
          <w:tcPr>
            <w:tcW w:w="2420" w:type="dxa"/>
            <w:vAlign w:val="bottom"/>
          </w:tcPr>
          <w:p>
            <w:pPr>
              <w:spacing w:after="0"/>
              <w:rPr>
                <w:sz w:val="20"/>
                <w:szCs w:val="20"/>
                <w:color w:val="auto"/>
              </w:rPr>
            </w:pPr>
            <w:r>
              <w:rPr>
                <w:rFonts w:ascii="Arial" w:cs="Arial" w:eastAsia="Arial" w:hAnsi="Arial"/>
                <w:sz w:val="18"/>
                <w:szCs w:val="18"/>
                <w:color w:val="auto"/>
              </w:rPr>
              <w:t>Date: July 31, 2020</w:t>
            </w:r>
          </w:p>
        </w:tc>
        <w:tc>
          <w:tcPr>
            <w:tcW w:w="5320" w:type="dxa"/>
            <w:vAlign w:val="bottom"/>
            <w:gridSpan w:val="2"/>
          </w:tcPr>
          <w:p>
            <w:pPr>
              <w:ind w:left="1000"/>
              <w:spacing w:after="0"/>
              <w:rPr>
                <w:sz w:val="20"/>
                <w:szCs w:val="20"/>
                <w:color w:val="auto"/>
              </w:rPr>
            </w:pPr>
            <w:r>
              <w:rPr>
                <w:rFonts w:ascii="Arial" w:cs="Arial" w:eastAsia="Arial" w:hAnsi="Arial"/>
                <w:sz w:val="18"/>
                <w:szCs w:val="18"/>
                <w:color w:val="auto"/>
              </w:rPr>
              <w:t>By: /s/  JEFFREY P. FRITZ</w:t>
            </w:r>
          </w:p>
        </w:tc>
      </w:tr>
      <w:tr>
        <w:trPr>
          <w:trHeight w:val="20"/>
        </w:trPr>
        <w:tc>
          <w:tcPr>
            <w:tcW w:w="2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22"/>
        </w:trPr>
        <w:tc>
          <w:tcPr>
            <w:tcW w:w="2420" w:type="dxa"/>
            <w:vAlign w:val="bottom"/>
          </w:tcPr>
          <w:p>
            <w:pPr>
              <w:spacing w:after="0"/>
              <w:rPr>
                <w:sz w:val="19"/>
                <w:szCs w:val="19"/>
                <w:color w:val="auto"/>
              </w:rPr>
            </w:pPr>
          </w:p>
        </w:tc>
        <w:tc>
          <w:tcPr>
            <w:tcW w:w="5320" w:type="dxa"/>
            <w:vAlign w:val="bottom"/>
            <w:gridSpan w:val="2"/>
          </w:tcPr>
          <w:p>
            <w:pPr>
              <w:ind w:left="1000"/>
              <w:spacing w:after="0"/>
              <w:rPr>
                <w:sz w:val="20"/>
                <w:szCs w:val="20"/>
                <w:color w:val="auto"/>
              </w:rPr>
            </w:pPr>
            <w:r>
              <w:rPr>
                <w:rFonts w:ascii="Arial" w:cs="Arial" w:eastAsia="Arial" w:hAnsi="Arial"/>
                <w:sz w:val="18"/>
                <w:szCs w:val="18"/>
                <w:color w:val="auto"/>
              </w:rPr>
              <w:t>Jeffrey P. Fritz</w:t>
            </w:r>
          </w:p>
        </w:tc>
      </w:tr>
      <w:tr>
        <w:trPr>
          <w:trHeight w:val="216"/>
        </w:trPr>
        <w:tc>
          <w:tcPr>
            <w:tcW w:w="2420" w:type="dxa"/>
            <w:vAlign w:val="bottom"/>
          </w:tcPr>
          <w:p>
            <w:pPr>
              <w:spacing w:after="0"/>
              <w:rPr>
                <w:sz w:val="18"/>
                <w:szCs w:val="18"/>
                <w:color w:val="auto"/>
              </w:rPr>
            </w:pPr>
          </w:p>
        </w:tc>
        <w:tc>
          <w:tcPr>
            <w:tcW w:w="5320" w:type="dxa"/>
            <w:vAlign w:val="bottom"/>
            <w:gridSpan w:val="2"/>
          </w:tcPr>
          <w:p>
            <w:pPr>
              <w:ind w:left="100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2420" w:type="dxa"/>
            <w:vAlign w:val="bottom"/>
          </w:tcPr>
          <w:p>
            <w:pPr>
              <w:spacing w:after="0"/>
              <w:rPr>
                <w:sz w:val="20"/>
                <w:szCs w:val="20"/>
                <w:color w:val="auto"/>
              </w:rPr>
            </w:pPr>
          </w:p>
        </w:tc>
        <w:tc>
          <w:tcPr>
            <w:tcW w:w="5320" w:type="dxa"/>
            <w:vAlign w:val="bottom"/>
            <w:gridSpan w:val="2"/>
          </w:tcPr>
          <w:p>
            <w:pPr>
              <w:ind w:left="10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2020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240"/>
          </w:cols>
          <w:pgMar w:left="320" w:top="121"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2020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2020,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332"/>
        <w:spacing w:after="0" w:line="500" w:lineRule="auto"/>
        <w:tabs>
          <w:tab w:leader="none" w:pos="6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31,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lowerRoman"/>
      <w:start w:val="3"/>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2020-07-31T14:54:19Z</dcterms:created>
  <dcterms:modified xsi:type="dcterms:W3CDTF">2020-07-31T14:54:19Z</dcterms:modified>
</cp:coreProperties>
</file>