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3"/>
          <w:szCs w:val="13"/>
          <w:u w:val="single" w:color="auto"/>
          <w:color w:val="0000EE"/>
        </w:rPr>
        <w:t>Table of Contents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30" w:lineRule="exact"/>
        <w:rPr>
          <w:sz w:val="24"/>
          <w:szCs w:val="24"/>
          <w:color w:val="auto"/>
        </w:rPr>
      </w:pPr>
    </w:p>
    <w:p>
      <w:pPr>
        <w:ind w:left="3880" w:right="1560" w:hanging="3872"/>
        <w:spacing w:after="0" w:line="500" w:lineRule="auto"/>
        <w:tabs>
          <w:tab w:leader="none" w:pos="57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1" w:lineRule="exact"/>
        <w:rPr>
          <w:rFonts w:ascii="MS PGothic" w:cs="MS PGothic" w:eastAsia="MS PGothic" w:hAnsi="MS PGothic"/>
          <w:sz w:val="18"/>
          <w:szCs w:val="18"/>
          <w:color w:val="auto"/>
          <w:highlight w:val="black"/>
        </w:rPr>
      </w:pPr>
    </w:p>
    <w:p>
      <w:pPr>
        <w:ind w:left="434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1-11416</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CONSUMER PORTFOLIO SERVICES,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9"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420" w:type="dxa"/>
            <w:vAlign w:val="bottom"/>
          </w:tcPr>
          <w:p>
            <w:pPr>
              <w:jc w:val="center"/>
              <w:ind w:right="1010"/>
              <w:spacing w:after="0"/>
              <w:rPr>
                <w:sz w:val="20"/>
                <w:szCs w:val="20"/>
                <w:color w:val="auto"/>
              </w:rPr>
            </w:pPr>
            <w:r>
              <w:rPr>
                <w:rFonts w:ascii="Arial" w:cs="Arial" w:eastAsia="Arial" w:hAnsi="Arial"/>
                <w:sz w:val="18"/>
                <w:szCs w:val="18"/>
                <w:color w:val="auto"/>
                <w:w w:val="94"/>
              </w:rPr>
              <w:t>California</w:t>
            </w:r>
          </w:p>
        </w:tc>
        <w:tc>
          <w:tcPr>
            <w:tcW w:w="3600" w:type="dxa"/>
            <w:vAlign w:val="bottom"/>
          </w:tcPr>
          <w:p>
            <w:pPr>
              <w:jc w:val="right"/>
              <w:ind w:right="730"/>
              <w:spacing w:after="0"/>
              <w:rPr>
                <w:sz w:val="20"/>
                <w:szCs w:val="20"/>
                <w:color w:val="auto"/>
              </w:rPr>
            </w:pPr>
            <w:r>
              <w:rPr>
                <w:rFonts w:ascii="Arial" w:cs="Arial" w:eastAsia="Arial" w:hAnsi="Arial"/>
                <w:sz w:val="18"/>
                <w:szCs w:val="18"/>
                <w:color w:val="auto"/>
              </w:rPr>
              <w:t>33-0459135</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00" w:type="dxa"/>
            <w:vAlign w:val="bottom"/>
          </w:tcPr>
          <w:p>
            <w:pPr>
              <w:jc w:val="center"/>
              <w:ind w:left="103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20" w:type="dxa"/>
            <w:vAlign w:val="bottom"/>
          </w:tcPr>
          <w:p>
            <w:pPr>
              <w:jc w:val="center"/>
              <w:ind w:right="1010"/>
              <w:spacing w:after="0"/>
              <w:rPr>
                <w:sz w:val="20"/>
                <w:szCs w:val="20"/>
                <w:color w:val="auto"/>
              </w:rPr>
            </w:pPr>
            <w:r>
              <w:rPr>
                <w:rFonts w:ascii="Arial" w:cs="Arial" w:eastAsia="Arial" w:hAnsi="Arial"/>
                <w:sz w:val="18"/>
                <w:szCs w:val="18"/>
                <w:color w:val="auto"/>
                <w:w w:val="90"/>
              </w:rPr>
              <w:t>3800 Howard Hughes Parkway, Suite 1400,</w:t>
            </w:r>
          </w:p>
        </w:tc>
        <w:tc>
          <w:tcPr>
            <w:tcW w:w="3600" w:type="dxa"/>
            <w:vAlign w:val="bottom"/>
          </w:tcPr>
          <w:p>
            <w:pPr>
              <w:spacing w:after="0"/>
              <w:rPr>
                <w:sz w:val="24"/>
                <w:szCs w:val="24"/>
                <w:color w:val="auto"/>
              </w:rPr>
            </w:pPr>
          </w:p>
        </w:tc>
      </w:tr>
      <w:tr>
        <w:trPr>
          <w:trHeight w:val="216"/>
        </w:trPr>
        <w:tc>
          <w:tcPr>
            <w:tcW w:w="5420" w:type="dxa"/>
            <w:vAlign w:val="bottom"/>
          </w:tcPr>
          <w:p>
            <w:pPr>
              <w:jc w:val="center"/>
              <w:ind w:right="1010"/>
              <w:spacing w:after="0"/>
              <w:rPr>
                <w:sz w:val="20"/>
                <w:szCs w:val="20"/>
                <w:color w:val="auto"/>
              </w:rPr>
            </w:pPr>
            <w:r>
              <w:rPr>
                <w:rFonts w:ascii="Arial" w:cs="Arial" w:eastAsia="Arial" w:hAnsi="Arial"/>
                <w:sz w:val="18"/>
                <w:szCs w:val="18"/>
                <w:color w:val="auto"/>
                <w:w w:val="86"/>
              </w:rPr>
              <w:t>Las Vegas, Nevada</w:t>
            </w:r>
          </w:p>
        </w:tc>
        <w:tc>
          <w:tcPr>
            <w:tcW w:w="3600" w:type="dxa"/>
            <w:vAlign w:val="bottom"/>
          </w:tcPr>
          <w:p>
            <w:pPr>
              <w:jc w:val="right"/>
              <w:ind w:right="930"/>
              <w:spacing w:after="0"/>
              <w:rPr>
                <w:sz w:val="20"/>
                <w:szCs w:val="20"/>
                <w:color w:val="auto"/>
              </w:rPr>
            </w:pPr>
            <w:r>
              <w:rPr>
                <w:rFonts w:ascii="Arial" w:cs="Arial" w:eastAsia="Arial" w:hAnsi="Arial"/>
                <w:sz w:val="18"/>
                <w:szCs w:val="18"/>
                <w:color w:val="auto"/>
              </w:rPr>
              <w:t>89169</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(Address of principal executive offices)</w:t>
            </w:r>
          </w:p>
        </w:tc>
        <w:tc>
          <w:tcPr>
            <w:tcW w:w="3600" w:type="dxa"/>
            <w:vAlign w:val="bottom"/>
          </w:tcPr>
          <w:p>
            <w:pPr>
              <w:jc w:val="center"/>
              <w:ind w:left="101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(949) 753-6800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 N/A</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92"/>
        </w:trPr>
        <w:tc>
          <w:tcPr>
            <w:tcW w:w="1460" w:type="dxa"/>
            <w:vAlign w:val="bottom"/>
          </w:tcPr>
          <w:p>
            <w:pPr>
              <w:spacing w:after="0"/>
              <w:rPr>
                <w:sz w:val="24"/>
                <w:szCs w:val="24"/>
                <w:color w:val="auto"/>
              </w:rPr>
            </w:pPr>
          </w:p>
        </w:tc>
        <w:tc>
          <w:tcPr>
            <w:tcW w:w="3140" w:type="dxa"/>
            <w:vAlign w:val="bottom"/>
            <w:gridSpan w:val="2"/>
          </w:tcPr>
          <w:p>
            <w:pPr>
              <w:jc w:val="center"/>
              <w:ind w:right="1780"/>
              <w:spacing w:after="0"/>
              <w:rPr>
                <w:sz w:val="20"/>
                <w:szCs w:val="20"/>
                <w:color w:val="auto"/>
              </w:rPr>
            </w:pPr>
            <w:r>
              <w:rPr>
                <w:rFonts w:ascii="Arial" w:cs="Arial" w:eastAsia="Arial" w:hAnsi="Arial"/>
                <w:sz w:val="18"/>
                <w:szCs w:val="18"/>
                <w:color w:val="auto"/>
                <w:w w:val="90"/>
              </w:rPr>
              <w:t>Title of Each Class</w:t>
            </w:r>
          </w:p>
        </w:tc>
        <w:tc>
          <w:tcPr>
            <w:tcW w:w="1620" w:type="dxa"/>
            <w:vAlign w:val="bottom"/>
            <w:gridSpan w:val="2"/>
          </w:tcPr>
          <w:p>
            <w:pPr>
              <w:jc w:val="center"/>
              <w:ind w:left="350"/>
              <w:spacing w:after="0"/>
              <w:rPr>
                <w:sz w:val="20"/>
                <w:szCs w:val="20"/>
                <w:color w:val="auto"/>
              </w:rPr>
            </w:pPr>
            <w:r>
              <w:rPr>
                <w:rFonts w:ascii="Arial" w:cs="Arial" w:eastAsia="Arial" w:hAnsi="Arial"/>
                <w:sz w:val="18"/>
                <w:szCs w:val="18"/>
                <w:color w:val="auto"/>
                <w:w w:val="93"/>
              </w:rPr>
              <w:t>Trading Symbol</w:t>
            </w:r>
          </w:p>
        </w:tc>
        <w:tc>
          <w:tcPr>
            <w:tcW w:w="4740" w:type="dxa"/>
            <w:vAlign w:val="bottom"/>
            <w:gridSpan w:val="3"/>
          </w:tcPr>
          <w:p>
            <w:pPr>
              <w:jc w:val="center"/>
              <w:ind w:left="95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460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Common Stock, no par value</w:t>
            </w:r>
          </w:p>
        </w:tc>
        <w:tc>
          <w:tcPr>
            <w:tcW w:w="44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CPSS</w:t>
            </w:r>
          </w:p>
        </w:tc>
        <w:tc>
          <w:tcPr>
            <w:tcW w:w="4740" w:type="dxa"/>
            <w:vAlign w:val="bottom"/>
            <w:gridSpan w:val="3"/>
          </w:tcPr>
          <w:p>
            <w:pPr>
              <w:jc w:val="center"/>
              <w:ind w:left="950"/>
              <w:spacing w:after="0"/>
              <w:rPr>
                <w:sz w:val="20"/>
                <w:szCs w:val="20"/>
                <w:color w:val="auto"/>
              </w:rPr>
            </w:pPr>
            <w:r>
              <w:rPr>
                <w:rFonts w:ascii="Arial" w:cs="Arial" w:eastAsia="Arial" w:hAnsi="Arial"/>
                <w:sz w:val="18"/>
                <w:szCs w:val="18"/>
                <w:color w:val="auto"/>
                <w:w w:val="95"/>
              </w:rPr>
              <w:t>The NASDAQ Stock Market LLC (Global Market)</w:t>
            </w:r>
          </w:p>
        </w:tc>
      </w:tr>
    </w:tbl>
    <w:p>
      <w:pPr>
        <w:spacing w:after="0" w:line="202"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126" w:lineRule="exact"/>
        <w:rPr>
          <w:sz w:val="24"/>
          <w:szCs w:val="24"/>
          <w:color w:val="auto"/>
        </w:rPr>
      </w:pPr>
    </w:p>
    <w:p>
      <w:pPr>
        <w:jc w:val="center"/>
        <w:ind w:right="-19"/>
        <w:spacing w:after="0" w:line="207" w:lineRule="exact"/>
        <w:tabs>
          <w:tab w:leader="none" w:pos="2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63" w:lineRule="exact"/>
        <w:rPr>
          <w:sz w:val="24"/>
          <w:szCs w:val="24"/>
          <w:color w:val="auto"/>
        </w:rPr>
      </w:pPr>
    </w:p>
    <w:p>
      <w:pPr>
        <w:jc w:val="center"/>
        <w:spacing w:after="0" w:line="207" w:lineRule="exact"/>
        <w:tabs>
          <w:tab w:leader="none" w:pos="26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As of August 3, 2023 the registrant had 21,164,580 common shares outstanding.</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spacing w:after="0"/>
              <w:rPr>
                <w:sz w:val="20"/>
                <w:szCs w:val="20"/>
                <w:color w:val="auto"/>
              </w:rPr>
            </w:pPr>
            <w:r>
              <w:rPr>
                <w:rFonts w:ascii="Arial" w:cs="Arial" w:eastAsia="Arial" w:hAnsi="Arial"/>
                <w:sz w:val="18"/>
                <w:szCs w:val="18"/>
                <w:b w:val="1"/>
                <w:bCs w:val="1"/>
                <w:color w:val="auto"/>
              </w:rPr>
              <w:t>Page</w:t>
            </w:r>
          </w:p>
        </w:tc>
      </w:tr>
      <w:tr>
        <w:trPr>
          <w:trHeight w:val="237"/>
        </w:trPr>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196"/>
        </w:trPr>
        <w:tc>
          <w:tcPr>
            <w:tcW w:w="9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6540" w:type="dxa"/>
            <w:vAlign w:val="bottom"/>
            <w:gridSpan w:val="12"/>
            <w:shd w:val="clear" w:color="auto" w:fill="EEEEEE"/>
          </w:tcPr>
          <w:p>
            <w:pPr>
              <w:jc w:val="center"/>
              <w:ind w:right="3400"/>
              <w:spacing w:after="0" w:line="176" w:lineRule="exact"/>
              <w:rPr>
                <w:sz w:val="20"/>
                <w:szCs w:val="20"/>
                <w:color w:val="auto"/>
              </w:rPr>
            </w:pPr>
            <w:r>
              <w:rPr>
                <w:rFonts w:ascii="Arial" w:cs="Arial" w:eastAsia="Arial" w:hAnsi="Arial"/>
                <w:sz w:val="18"/>
                <w:szCs w:val="18"/>
                <w:b w:val="1"/>
                <w:bCs w:val="1"/>
                <w:color w:val="0000EE"/>
              </w:rPr>
              <w:t>PART I – FINANCIAL INFORMATION</w:t>
            </w:r>
          </w:p>
        </w:tc>
        <w:tc>
          <w:tcPr>
            <w:tcW w:w="3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r>
      <w:tr>
        <w:trPr>
          <w:trHeight w:val="216"/>
        </w:trPr>
        <w:tc>
          <w:tcPr>
            <w:tcW w:w="90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1380" w:type="dxa"/>
            <w:vAlign w:val="bottom"/>
            <w:tcBorders>
              <w:top w:val="single" w:sz="8" w:color="EEEE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168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r>
      <w:tr>
        <w:trPr>
          <w:trHeight w:val="196"/>
        </w:trPr>
        <w:tc>
          <w:tcPr>
            <w:tcW w:w="900" w:type="dxa"/>
            <w:vAlign w:val="bottom"/>
            <w:tcBorders>
              <w:bottom w:val="single" w:sz="8" w:color="EEEEEE"/>
            </w:tcBorders>
            <w:shd w:val="clear" w:color="auto" w:fill="EEEEEE"/>
          </w:tcPr>
          <w:p>
            <w:pPr>
              <w:spacing w:after="0" w:line="176" w:lineRule="exact"/>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7"/>
            <w:shd w:val="clear" w:color="auto" w:fill="EEEEEE"/>
          </w:tcPr>
          <w:p>
            <w:pPr>
              <w:spacing w:after="0" w:line="176" w:lineRule="exact"/>
              <w:rPr>
                <w:sz w:val="20"/>
                <w:szCs w:val="20"/>
                <w:color w:val="auto"/>
              </w:rPr>
            </w:pPr>
            <w:r>
              <w:rPr>
                <w:rFonts w:ascii="Arial" w:cs="Arial" w:eastAsia="Arial" w:hAnsi="Arial"/>
                <w:sz w:val="18"/>
                <w:szCs w:val="18"/>
                <w:color w:val="0000EE"/>
                <w:w w:val="89"/>
              </w:rPr>
              <w:t>Financial Statements</w:t>
            </w:r>
          </w:p>
        </w:tc>
        <w:tc>
          <w:tcPr>
            <w:tcW w:w="8180" w:type="dxa"/>
            <w:vAlign w:val="bottom"/>
            <w:tcBorders>
              <w:bottom w:val="single" w:sz="8" w:color="EEEEEE"/>
            </w:tcBorders>
            <w:gridSpan w:val="14"/>
            <w:shd w:val="clear" w:color="auto" w:fill="EEEEEE"/>
          </w:tcPr>
          <w:p>
            <w:pPr>
              <w:spacing w:after="0"/>
              <w:rPr>
                <w:sz w:val="17"/>
                <w:szCs w:val="17"/>
                <w:color w:val="auto"/>
              </w:rPr>
            </w:pPr>
          </w:p>
        </w:tc>
        <w:tc>
          <w:tcPr>
            <w:tcW w:w="38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r>
      <w:tr>
        <w:trPr>
          <w:trHeight w:val="175"/>
        </w:trPr>
        <w:tc>
          <w:tcPr>
            <w:tcW w:w="900" w:type="dxa"/>
            <w:vAlign w:val="bottom"/>
          </w:tcPr>
          <w:p>
            <w:pPr>
              <w:spacing w:after="0"/>
              <w:rPr>
                <w:sz w:val="15"/>
                <w:szCs w:val="15"/>
                <w:color w:val="auto"/>
              </w:rPr>
            </w:pPr>
          </w:p>
        </w:tc>
        <w:tc>
          <w:tcPr>
            <w:tcW w:w="9700" w:type="dxa"/>
            <w:vAlign w:val="bottom"/>
            <w:gridSpan w:val="21"/>
          </w:tcPr>
          <w:p>
            <w:pPr>
              <w:spacing w:after="0" w:line="176" w:lineRule="exact"/>
              <w:rPr>
                <w:sz w:val="20"/>
                <w:szCs w:val="20"/>
                <w:color w:val="auto"/>
              </w:rPr>
            </w:pPr>
            <w:r>
              <w:rPr>
                <w:rFonts w:ascii="Arial" w:cs="Arial" w:eastAsia="Arial" w:hAnsi="Arial"/>
                <w:sz w:val="18"/>
                <w:szCs w:val="18"/>
                <w:color w:val="0000EE"/>
              </w:rPr>
              <w:t>Unaudited Condensed Consolidated Balance Sheets as of June 30, 2023 and December 31, 2022</w:t>
            </w:r>
          </w:p>
        </w:tc>
        <w:tc>
          <w:tcPr>
            <w:tcW w:w="38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c>
          <w:tcPr>
            <w:tcW w:w="260" w:type="dxa"/>
            <w:vAlign w:val="bottom"/>
          </w:tcPr>
          <w:p>
            <w:pPr>
              <w:spacing w:after="0"/>
              <w:rPr>
                <w:sz w:val="15"/>
                <w:szCs w:val="15"/>
                <w:color w:val="auto"/>
              </w:rPr>
            </w:pPr>
          </w:p>
        </w:tc>
      </w:tr>
      <w:tr>
        <w:trPr>
          <w:trHeight w:val="21"/>
        </w:trPr>
        <w:tc>
          <w:tcPr>
            <w:tcW w:w="9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5"/>
        </w:trPr>
        <w:tc>
          <w:tcPr>
            <w:tcW w:w="900" w:type="dxa"/>
            <w:vAlign w:val="bottom"/>
            <w:shd w:val="clear" w:color="auto" w:fill="EEEEEE"/>
          </w:tcPr>
          <w:p>
            <w:pPr>
              <w:spacing w:after="0"/>
              <w:rPr>
                <w:sz w:val="15"/>
                <w:szCs w:val="15"/>
                <w:color w:val="auto"/>
              </w:rPr>
            </w:pPr>
          </w:p>
        </w:tc>
        <w:tc>
          <w:tcPr>
            <w:tcW w:w="9700" w:type="dxa"/>
            <w:vAlign w:val="bottom"/>
            <w:gridSpan w:val="21"/>
            <w:shd w:val="clear" w:color="auto" w:fill="EEEEEE"/>
          </w:tcPr>
          <w:p>
            <w:pPr>
              <w:spacing w:after="0" w:line="176" w:lineRule="exact"/>
              <w:rPr>
                <w:sz w:val="20"/>
                <w:szCs w:val="20"/>
                <w:color w:val="auto"/>
              </w:rPr>
            </w:pPr>
            <w:r>
              <w:rPr>
                <w:rFonts w:ascii="Arial" w:cs="Arial" w:eastAsia="Arial" w:hAnsi="Arial"/>
                <w:sz w:val="18"/>
                <w:szCs w:val="18"/>
                <w:color w:val="0000EE"/>
                <w:w w:val="92"/>
              </w:rPr>
              <w:t>Unaudited Condensed Consolidated Statements of Operations for the three-month and six-month periods ended June 30, 2023 and</w:t>
            </w:r>
          </w:p>
        </w:tc>
        <w:tc>
          <w:tcPr>
            <w:tcW w:w="38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r>
      <w:tr>
        <w:trPr>
          <w:trHeight w:val="222"/>
        </w:trPr>
        <w:tc>
          <w:tcPr>
            <w:tcW w:w="900" w:type="dxa"/>
            <w:vAlign w:val="bottom"/>
            <w:tcBorders>
              <w:top w:val="single" w:sz="8" w:color="EEEEEE"/>
              <w:bottom w:val="single" w:sz="8" w:color="EEEEEE"/>
            </w:tcBorders>
            <w:shd w:val="clear" w:color="auto" w:fill="EEEEEE"/>
          </w:tcPr>
          <w:p>
            <w:pPr>
              <w:spacing w:after="0"/>
              <w:rPr>
                <w:sz w:val="18"/>
                <w:szCs w:val="18"/>
                <w:color w:val="auto"/>
              </w:rPr>
            </w:pPr>
          </w:p>
        </w:tc>
        <w:tc>
          <w:tcPr>
            <w:tcW w:w="360" w:type="dxa"/>
            <w:vAlign w:val="bottom"/>
            <w:tcBorders>
              <w:top w:val="single" w:sz="8" w:color="0000EE"/>
              <w:bottom w:val="single" w:sz="8" w:color="0000EE"/>
            </w:tcBorders>
            <w:shd w:val="clear" w:color="auto" w:fill="EEEEEE"/>
          </w:tcPr>
          <w:p>
            <w:pPr>
              <w:spacing w:after="0" w:line="196" w:lineRule="exact"/>
              <w:rPr>
                <w:sz w:val="20"/>
                <w:szCs w:val="20"/>
                <w:color w:val="auto"/>
              </w:rPr>
            </w:pPr>
            <w:r>
              <w:rPr>
                <w:rFonts w:ascii="Arial" w:cs="Arial" w:eastAsia="Arial" w:hAnsi="Arial"/>
                <w:sz w:val="18"/>
                <w:szCs w:val="18"/>
                <w:color w:val="0000EE"/>
                <w:w w:val="84"/>
              </w:rPr>
              <w:t>2022</w:t>
            </w:r>
          </w:p>
        </w:tc>
        <w:tc>
          <w:tcPr>
            <w:tcW w:w="240" w:type="dxa"/>
            <w:vAlign w:val="bottom"/>
            <w:tcBorders>
              <w:top w:val="single" w:sz="8" w:color="0000EE"/>
              <w:bottom w:val="single" w:sz="8" w:color="EEEEEE"/>
            </w:tcBorders>
            <w:shd w:val="clear" w:color="auto" w:fill="EEEEEE"/>
          </w:tcPr>
          <w:p>
            <w:pPr>
              <w:spacing w:after="0"/>
              <w:rPr>
                <w:sz w:val="18"/>
                <w:szCs w:val="18"/>
                <w:color w:val="auto"/>
              </w:rPr>
            </w:pPr>
          </w:p>
        </w:tc>
        <w:tc>
          <w:tcPr>
            <w:tcW w:w="160" w:type="dxa"/>
            <w:vAlign w:val="bottom"/>
            <w:tcBorders>
              <w:top w:val="single" w:sz="8" w:color="0000EE"/>
              <w:bottom w:val="single" w:sz="8" w:color="EEEEEE"/>
            </w:tcBorders>
            <w:shd w:val="clear" w:color="auto" w:fill="EEEEEE"/>
          </w:tcPr>
          <w:p>
            <w:pPr>
              <w:spacing w:after="0"/>
              <w:rPr>
                <w:sz w:val="18"/>
                <w:szCs w:val="18"/>
                <w:color w:val="auto"/>
              </w:rPr>
            </w:pPr>
          </w:p>
        </w:tc>
        <w:tc>
          <w:tcPr>
            <w:tcW w:w="160" w:type="dxa"/>
            <w:vAlign w:val="bottom"/>
            <w:tcBorders>
              <w:top w:val="single" w:sz="8" w:color="0000EE"/>
              <w:bottom w:val="single" w:sz="8" w:color="EEEEEE"/>
            </w:tcBorders>
            <w:shd w:val="clear" w:color="auto" w:fill="EEEEEE"/>
          </w:tcPr>
          <w:p>
            <w:pPr>
              <w:spacing w:after="0"/>
              <w:rPr>
                <w:sz w:val="18"/>
                <w:szCs w:val="18"/>
                <w:color w:val="auto"/>
              </w:rPr>
            </w:pPr>
          </w:p>
        </w:tc>
        <w:tc>
          <w:tcPr>
            <w:tcW w:w="160" w:type="dxa"/>
            <w:vAlign w:val="bottom"/>
            <w:tcBorders>
              <w:top w:val="single" w:sz="8" w:color="0000EE"/>
              <w:bottom w:val="single" w:sz="8" w:color="EEEEEE"/>
            </w:tcBorders>
            <w:shd w:val="clear" w:color="auto" w:fill="EEEEEE"/>
          </w:tcPr>
          <w:p>
            <w:pPr>
              <w:spacing w:after="0"/>
              <w:rPr>
                <w:sz w:val="18"/>
                <w:szCs w:val="18"/>
                <w:color w:val="auto"/>
              </w:rPr>
            </w:pPr>
          </w:p>
        </w:tc>
        <w:tc>
          <w:tcPr>
            <w:tcW w:w="260" w:type="dxa"/>
            <w:vAlign w:val="bottom"/>
            <w:tcBorders>
              <w:top w:val="single" w:sz="8" w:color="0000EE"/>
              <w:bottom w:val="single" w:sz="8" w:color="EEEEEE"/>
            </w:tcBorders>
            <w:shd w:val="clear" w:color="auto" w:fill="EEEEEE"/>
          </w:tcPr>
          <w:p>
            <w:pPr>
              <w:spacing w:after="0"/>
              <w:rPr>
                <w:sz w:val="18"/>
                <w:szCs w:val="18"/>
                <w:color w:val="auto"/>
              </w:rPr>
            </w:pPr>
          </w:p>
        </w:tc>
        <w:tc>
          <w:tcPr>
            <w:tcW w:w="180" w:type="dxa"/>
            <w:vAlign w:val="bottom"/>
            <w:tcBorders>
              <w:top w:val="single" w:sz="8" w:color="0000EE"/>
              <w:bottom w:val="single" w:sz="8" w:color="EEEEEE"/>
            </w:tcBorders>
            <w:shd w:val="clear" w:color="auto" w:fill="EEEEEE"/>
          </w:tcPr>
          <w:p>
            <w:pPr>
              <w:spacing w:after="0"/>
              <w:rPr>
                <w:sz w:val="18"/>
                <w:szCs w:val="18"/>
                <w:color w:val="auto"/>
              </w:rPr>
            </w:pPr>
          </w:p>
        </w:tc>
        <w:tc>
          <w:tcPr>
            <w:tcW w:w="260" w:type="dxa"/>
            <w:vAlign w:val="bottom"/>
            <w:tcBorders>
              <w:top w:val="single" w:sz="8" w:color="0000EE"/>
              <w:bottom w:val="single" w:sz="8" w:color="EEEEEE"/>
            </w:tcBorders>
            <w:shd w:val="clear" w:color="auto" w:fill="EEEEEE"/>
          </w:tcPr>
          <w:p>
            <w:pPr>
              <w:spacing w:after="0"/>
              <w:rPr>
                <w:sz w:val="18"/>
                <w:szCs w:val="18"/>
                <w:color w:val="auto"/>
              </w:rPr>
            </w:pPr>
          </w:p>
        </w:tc>
        <w:tc>
          <w:tcPr>
            <w:tcW w:w="1380" w:type="dxa"/>
            <w:vAlign w:val="bottom"/>
            <w:tcBorders>
              <w:top w:val="single" w:sz="8" w:color="0000EE"/>
              <w:bottom w:val="single" w:sz="8" w:color="EEEEEE"/>
            </w:tcBorders>
            <w:shd w:val="clear" w:color="auto" w:fill="EEEEEE"/>
          </w:tcPr>
          <w:p>
            <w:pPr>
              <w:spacing w:after="0"/>
              <w:rPr>
                <w:sz w:val="18"/>
                <w:szCs w:val="18"/>
                <w:color w:val="auto"/>
              </w:rPr>
            </w:pPr>
          </w:p>
        </w:tc>
        <w:tc>
          <w:tcPr>
            <w:tcW w:w="140" w:type="dxa"/>
            <w:vAlign w:val="bottom"/>
            <w:tcBorders>
              <w:top w:val="single" w:sz="8" w:color="0000EE"/>
              <w:bottom w:val="single" w:sz="8" w:color="EEEEEE"/>
            </w:tcBorders>
            <w:shd w:val="clear" w:color="auto" w:fill="EEEEEE"/>
          </w:tcPr>
          <w:p>
            <w:pPr>
              <w:spacing w:after="0"/>
              <w:rPr>
                <w:sz w:val="18"/>
                <w:szCs w:val="18"/>
                <w:color w:val="auto"/>
              </w:rPr>
            </w:pPr>
          </w:p>
        </w:tc>
        <w:tc>
          <w:tcPr>
            <w:tcW w:w="1060" w:type="dxa"/>
            <w:vAlign w:val="bottom"/>
            <w:tcBorders>
              <w:top w:val="single" w:sz="8" w:color="0000EE"/>
              <w:bottom w:val="single" w:sz="8" w:color="EEEEEE"/>
            </w:tcBorders>
            <w:shd w:val="clear" w:color="auto" w:fill="EEEEEE"/>
          </w:tcPr>
          <w:p>
            <w:pPr>
              <w:spacing w:after="0"/>
              <w:rPr>
                <w:sz w:val="18"/>
                <w:szCs w:val="18"/>
                <w:color w:val="auto"/>
              </w:rPr>
            </w:pPr>
          </w:p>
        </w:tc>
        <w:tc>
          <w:tcPr>
            <w:tcW w:w="440" w:type="dxa"/>
            <w:vAlign w:val="bottom"/>
            <w:tcBorders>
              <w:top w:val="single" w:sz="8" w:color="0000EE"/>
              <w:bottom w:val="single" w:sz="8" w:color="EEEEEE"/>
            </w:tcBorders>
            <w:shd w:val="clear" w:color="auto" w:fill="EEEEEE"/>
          </w:tcPr>
          <w:p>
            <w:pPr>
              <w:spacing w:after="0"/>
              <w:rPr>
                <w:sz w:val="18"/>
                <w:szCs w:val="18"/>
                <w:color w:val="auto"/>
              </w:rPr>
            </w:pPr>
          </w:p>
        </w:tc>
        <w:tc>
          <w:tcPr>
            <w:tcW w:w="1360" w:type="dxa"/>
            <w:vAlign w:val="bottom"/>
            <w:tcBorders>
              <w:top w:val="single" w:sz="8" w:color="0000EE"/>
              <w:bottom w:val="single" w:sz="8" w:color="EEEEEE"/>
            </w:tcBorders>
            <w:shd w:val="clear" w:color="auto" w:fill="EEEEEE"/>
          </w:tcPr>
          <w:p>
            <w:pPr>
              <w:spacing w:after="0"/>
              <w:rPr>
                <w:sz w:val="18"/>
                <w:szCs w:val="18"/>
                <w:color w:val="auto"/>
              </w:rPr>
            </w:pPr>
          </w:p>
        </w:tc>
        <w:tc>
          <w:tcPr>
            <w:tcW w:w="140" w:type="dxa"/>
            <w:vAlign w:val="bottom"/>
            <w:tcBorders>
              <w:top w:val="single" w:sz="8" w:color="0000EE"/>
              <w:bottom w:val="single" w:sz="8" w:color="EEEEEE"/>
            </w:tcBorders>
            <w:shd w:val="clear" w:color="auto" w:fill="EEEEEE"/>
          </w:tcPr>
          <w:p>
            <w:pPr>
              <w:spacing w:after="0"/>
              <w:rPr>
                <w:sz w:val="18"/>
                <w:szCs w:val="18"/>
                <w:color w:val="auto"/>
              </w:rPr>
            </w:pPr>
          </w:p>
        </w:tc>
        <w:tc>
          <w:tcPr>
            <w:tcW w:w="160" w:type="dxa"/>
            <w:vAlign w:val="bottom"/>
            <w:tcBorders>
              <w:top w:val="single" w:sz="8" w:color="0000EE"/>
              <w:bottom w:val="single" w:sz="8" w:color="EEEEEE"/>
            </w:tcBorders>
            <w:shd w:val="clear" w:color="auto" w:fill="EEEEEE"/>
          </w:tcPr>
          <w:p>
            <w:pPr>
              <w:spacing w:after="0"/>
              <w:rPr>
                <w:sz w:val="18"/>
                <w:szCs w:val="18"/>
                <w:color w:val="auto"/>
              </w:rPr>
            </w:pPr>
          </w:p>
        </w:tc>
        <w:tc>
          <w:tcPr>
            <w:tcW w:w="480" w:type="dxa"/>
            <w:vAlign w:val="bottom"/>
            <w:tcBorders>
              <w:top w:val="single" w:sz="8" w:color="0000EE"/>
              <w:bottom w:val="single" w:sz="8" w:color="EEEEEE"/>
            </w:tcBorders>
            <w:shd w:val="clear" w:color="auto" w:fill="EEEEEE"/>
          </w:tcPr>
          <w:p>
            <w:pPr>
              <w:spacing w:after="0"/>
              <w:rPr>
                <w:sz w:val="18"/>
                <w:szCs w:val="18"/>
                <w:color w:val="auto"/>
              </w:rPr>
            </w:pPr>
          </w:p>
        </w:tc>
        <w:tc>
          <w:tcPr>
            <w:tcW w:w="1680" w:type="dxa"/>
            <w:vAlign w:val="bottom"/>
            <w:tcBorders>
              <w:top w:val="single" w:sz="8" w:color="0000EE"/>
              <w:bottom w:val="single" w:sz="8" w:color="EEEEEE"/>
            </w:tcBorders>
            <w:shd w:val="clear" w:color="auto" w:fill="EEEEEE"/>
          </w:tcPr>
          <w:p>
            <w:pPr>
              <w:spacing w:after="0"/>
              <w:rPr>
                <w:sz w:val="18"/>
                <w:szCs w:val="18"/>
                <w:color w:val="auto"/>
              </w:rPr>
            </w:pPr>
          </w:p>
        </w:tc>
        <w:tc>
          <w:tcPr>
            <w:tcW w:w="720" w:type="dxa"/>
            <w:vAlign w:val="bottom"/>
            <w:tcBorders>
              <w:top w:val="single" w:sz="8" w:color="0000EE"/>
              <w:bottom w:val="single" w:sz="8" w:color="EEEEEE"/>
            </w:tcBorders>
            <w:shd w:val="clear" w:color="auto" w:fill="EEEEEE"/>
          </w:tcPr>
          <w:p>
            <w:pPr>
              <w:spacing w:after="0"/>
              <w:rPr>
                <w:sz w:val="18"/>
                <w:szCs w:val="18"/>
                <w:color w:val="auto"/>
              </w:rPr>
            </w:pPr>
          </w:p>
        </w:tc>
        <w:tc>
          <w:tcPr>
            <w:tcW w:w="40" w:type="dxa"/>
            <w:vAlign w:val="bottom"/>
            <w:tcBorders>
              <w:top w:val="single" w:sz="8" w:color="0000EE"/>
              <w:bottom w:val="single" w:sz="8" w:color="EEEEEE"/>
            </w:tcBorders>
            <w:shd w:val="clear" w:color="auto" w:fill="EEEEEE"/>
          </w:tcPr>
          <w:p>
            <w:pPr>
              <w:spacing w:after="0"/>
              <w:rPr>
                <w:sz w:val="18"/>
                <w:szCs w:val="18"/>
                <w:color w:val="auto"/>
              </w:rPr>
            </w:pPr>
          </w:p>
        </w:tc>
        <w:tc>
          <w:tcPr>
            <w:tcW w:w="20" w:type="dxa"/>
            <w:vAlign w:val="bottom"/>
            <w:tcBorders>
              <w:top w:val="single" w:sz="8" w:color="EEEEEE"/>
              <w:bottom w:val="single" w:sz="8" w:color="EEEEEE"/>
            </w:tcBorders>
            <w:shd w:val="clear" w:color="auto" w:fill="EEEEEE"/>
          </w:tcPr>
          <w:p>
            <w:pPr>
              <w:spacing w:after="0"/>
              <w:rPr>
                <w:sz w:val="18"/>
                <w:szCs w:val="18"/>
                <w:color w:val="auto"/>
              </w:rPr>
            </w:pPr>
          </w:p>
        </w:tc>
        <w:tc>
          <w:tcPr>
            <w:tcW w:w="300" w:type="dxa"/>
            <w:vAlign w:val="bottom"/>
            <w:tcBorders>
              <w:top w:val="single" w:sz="8" w:color="EEEEEE"/>
              <w:bottom w:val="single" w:sz="8" w:color="EEEEEE"/>
            </w:tcBorders>
            <w:shd w:val="clear" w:color="auto" w:fill="EEEEEE"/>
          </w:tcPr>
          <w:p>
            <w:pPr>
              <w:spacing w:after="0"/>
              <w:rPr>
                <w:sz w:val="18"/>
                <w:szCs w:val="18"/>
                <w:color w:val="auto"/>
              </w:rPr>
            </w:pPr>
          </w:p>
        </w:tc>
        <w:tc>
          <w:tcPr>
            <w:tcW w:w="380" w:type="dxa"/>
            <w:vAlign w:val="bottom"/>
            <w:tcBorders>
              <w:top w:val="single" w:sz="8" w:color="EEEEEE"/>
              <w:bottom w:val="single" w:sz="8" w:color="EEEEEE"/>
            </w:tcBorders>
            <w:shd w:val="clear" w:color="auto" w:fill="EEEEEE"/>
          </w:tcPr>
          <w:p>
            <w:pPr>
              <w:jc w:val="center"/>
              <w:spacing w:after="0" w:line="196" w:lineRule="exact"/>
              <w:rPr>
                <w:sz w:val="20"/>
                <w:szCs w:val="20"/>
                <w:color w:val="auto"/>
              </w:rPr>
            </w:pPr>
            <w:r>
              <w:rPr>
                <w:rFonts w:ascii="Arial" w:cs="Arial" w:eastAsia="Arial" w:hAnsi="Arial"/>
                <w:sz w:val="18"/>
                <w:szCs w:val="18"/>
                <w:color w:val="auto"/>
                <w:w w:val="99"/>
              </w:rPr>
              <w:t>4</w:t>
            </w:r>
          </w:p>
        </w:tc>
        <w:tc>
          <w:tcPr>
            <w:tcW w:w="260" w:type="dxa"/>
            <w:vAlign w:val="bottom"/>
            <w:tcBorders>
              <w:top w:val="single" w:sz="8" w:color="EEEEEE"/>
              <w:bottom w:val="single" w:sz="8" w:color="EEEEEE"/>
            </w:tcBorders>
            <w:shd w:val="clear" w:color="auto" w:fill="EEEEEE"/>
          </w:tcPr>
          <w:p>
            <w:pPr>
              <w:spacing w:after="0"/>
              <w:rPr>
                <w:sz w:val="18"/>
                <w:szCs w:val="18"/>
                <w:color w:val="auto"/>
              </w:rPr>
            </w:pPr>
          </w:p>
        </w:tc>
      </w:tr>
      <w:tr>
        <w:trPr>
          <w:trHeight w:val="176"/>
        </w:trPr>
        <w:tc>
          <w:tcPr>
            <w:tcW w:w="900" w:type="dxa"/>
            <w:vAlign w:val="bottom"/>
            <w:tcBorders>
              <w:top w:val="single" w:sz="8" w:color="EEEEEE"/>
            </w:tcBorders>
          </w:tcPr>
          <w:p>
            <w:pPr>
              <w:spacing w:after="0"/>
              <w:rPr>
                <w:sz w:val="15"/>
                <w:szCs w:val="15"/>
                <w:color w:val="auto"/>
              </w:rPr>
            </w:pPr>
          </w:p>
        </w:tc>
        <w:tc>
          <w:tcPr>
            <w:tcW w:w="9340" w:type="dxa"/>
            <w:vAlign w:val="bottom"/>
            <w:tcBorders>
              <w:top w:val="single" w:sz="8" w:color="EEEEEE"/>
              <w:bottom w:val="single" w:sz="8" w:color="0000EE"/>
            </w:tcBorders>
            <w:gridSpan w:val="18"/>
          </w:tcPr>
          <w:p>
            <w:pPr>
              <w:spacing w:after="0" w:line="176" w:lineRule="exact"/>
              <w:rPr>
                <w:sz w:val="20"/>
                <w:szCs w:val="20"/>
                <w:color w:val="auto"/>
              </w:rPr>
            </w:pPr>
            <w:r>
              <w:rPr>
                <w:rFonts w:ascii="Arial" w:cs="Arial" w:eastAsia="Arial" w:hAnsi="Arial"/>
                <w:sz w:val="18"/>
                <w:szCs w:val="18"/>
                <w:color w:val="0000EE"/>
                <w:w w:val="89"/>
              </w:rPr>
              <w:t>Unaudited Condensed Consolidated Statements of Comprehensive Income for the three-month and six-month periods ended June</w:t>
            </w:r>
          </w:p>
        </w:tc>
        <w:tc>
          <w:tcPr>
            <w:tcW w:w="360" w:type="dxa"/>
            <w:vAlign w:val="bottom"/>
            <w:tcBorders>
              <w:top w:val="single" w:sz="8" w:color="EEEEEE"/>
            </w:tcBorders>
            <w:gridSpan w:val="3"/>
          </w:tcPr>
          <w:p>
            <w:pPr>
              <w:spacing w:after="0"/>
              <w:rPr>
                <w:sz w:val="15"/>
                <w:szCs w:val="15"/>
                <w:color w:val="auto"/>
              </w:rPr>
            </w:pPr>
          </w:p>
        </w:tc>
        <w:tc>
          <w:tcPr>
            <w:tcW w:w="380" w:type="dxa"/>
            <w:vAlign w:val="bottom"/>
            <w:tcBorders>
              <w:top w:val="single" w:sz="8" w:color="EEEEEE"/>
            </w:tcBorders>
          </w:tcPr>
          <w:p>
            <w:pPr>
              <w:spacing w:after="0"/>
              <w:rPr>
                <w:sz w:val="15"/>
                <w:szCs w:val="15"/>
                <w:color w:val="auto"/>
              </w:rPr>
            </w:pPr>
          </w:p>
        </w:tc>
        <w:tc>
          <w:tcPr>
            <w:tcW w:w="260" w:type="dxa"/>
            <w:vAlign w:val="bottom"/>
            <w:tcBorders>
              <w:top w:val="single" w:sz="8" w:color="EEEEEE"/>
            </w:tcBorders>
          </w:tcPr>
          <w:p>
            <w:pPr>
              <w:spacing w:after="0"/>
              <w:rPr>
                <w:sz w:val="15"/>
                <w:szCs w:val="15"/>
                <w:color w:val="auto"/>
              </w:rPr>
            </w:pPr>
          </w:p>
        </w:tc>
      </w:tr>
      <w:tr>
        <w:trPr>
          <w:trHeight w:val="196"/>
        </w:trPr>
        <w:tc>
          <w:tcPr>
            <w:tcW w:w="900" w:type="dxa"/>
            <w:vAlign w:val="bottom"/>
          </w:tcPr>
          <w:p>
            <w:pPr>
              <w:spacing w:after="0"/>
              <w:rPr>
                <w:sz w:val="17"/>
                <w:szCs w:val="17"/>
                <w:color w:val="auto"/>
              </w:rPr>
            </w:pPr>
          </w:p>
        </w:tc>
        <w:tc>
          <w:tcPr>
            <w:tcW w:w="9700" w:type="dxa"/>
            <w:vAlign w:val="bottom"/>
            <w:gridSpan w:val="21"/>
          </w:tcPr>
          <w:p>
            <w:pPr>
              <w:spacing w:after="0" w:line="196" w:lineRule="exact"/>
              <w:rPr>
                <w:sz w:val="20"/>
                <w:szCs w:val="20"/>
                <w:color w:val="auto"/>
              </w:rPr>
            </w:pPr>
            <w:r>
              <w:rPr>
                <w:rFonts w:ascii="Arial" w:cs="Arial" w:eastAsia="Arial" w:hAnsi="Arial"/>
                <w:sz w:val="18"/>
                <w:szCs w:val="18"/>
                <w:color w:val="0000EE"/>
              </w:rPr>
              <w:t>30, 2023 and 2022</w:t>
            </w: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c>
          <w:tcPr>
            <w:tcW w:w="260" w:type="dxa"/>
            <w:vAlign w:val="bottom"/>
          </w:tcPr>
          <w:p>
            <w:pPr>
              <w:spacing w:after="0"/>
              <w:rPr>
                <w:sz w:val="17"/>
                <w:szCs w:val="17"/>
                <w:color w:val="auto"/>
              </w:rPr>
            </w:pPr>
          </w:p>
        </w:tc>
      </w:tr>
      <w:tr>
        <w:trPr>
          <w:trHeight w:val="21"/>
        </w:trPr>
        <w:tc>
          <w:tcPr>
            <w:tcW w:w="9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900" w:type="dxa"/>
            <w:vAlign w:val="bottom"/>
            <w:tcBorders>
              <w:bottom w:val="single" w:sz="8" w:color="EEEEEE"/>
            </w:tcBorders>
            <w:shd w:val="clear" w:color="auto" w:fill="EEEEEE"/>
          </w:tcPr>
          <w:p>
            <w:pPr>
              <w:spacing w:after="0"/>
              <w:rPr>
                <w:sz w:val="17"/>
                <w:szCs w:val="17"/>
                <w:color w:val="auto"/>
              </w:rPr>
            </w:pPr>
          </w:p>
        </w:tc>
        <w:tc>
          <w:tcPr>
            <w:tcW w:w="8620" w:type="dxa"/>
            <w:vAlign w:val="bottom"/>
            <w:tcBorders>
              <w:bottom w:val="single" w:sz="8" w:color="0000EE"/>
            </w:tcBorders>
            <w:gridSpan w:val="17"/>
            <w:shd w:val="clear" w:color="auto" w:fill="EEEEEE"/>
          </w:tcPr>
          <w:p>
            <w:pPr>
              <w:spacing w:after="0" w:line="176" w:lineRule="exact"/>
              <w:rPr>
                <w:sz w:val="20"/>
                <w:szCs w:val="20"/>
                <w:color w:val="auto"/>
              </w:rPr>
            </w:pPr>
            <w:r>
              <w:rPr>
                <w:rFonts w:ascii="Arial" w:cs="Arial" w:eastAsia="Arial" w:hAnsi="Arial"/>
                <w:sz w:val="18"/>
                <w:szCs w:val="18"/>
                <w:color w:val="0000EE"/>
                <w:w w:val="89"/>
              </w:rPr>
              <w:t>Unaudited Condensed Consolidated Statements of Cash Flows for the six-month periods ended June 30, 2023 and 2022</w:t>
            </w:r>
          </w:p>
        </w:tc>
        <w:tc>
          <w:tcPr>
            <w:tcW w:w="1080" w:type="dxa"/>
            <w:vAlign w:val="bottom"/>
            <w:tcBorders>
              <w:bottom w:val="single" w:sz="8" w:color="EEEEEE"/>
            </w:tcBorders>
            <w:gridSpan w:val="4"/>
            <w:shd w:val="clear" w:color="auto" w:fill="EEEEEE"/>
          </w:tcPr>
          <w:p>
            <w:pPr>
              <w:spacing w:after="0"/>
              <w:rPr>
                <w:sz w:val="17"/>
                <w:szCs w:val="17"/>
                <w:color w:val="auto"/>
              </w:rPr>
            </w:pPr>
          </w:p>
        </w:tc>
        <w:tc>
          <w:tcPr>
            <w:tcW w:w="380" w:type="dxa"/>
            <w:vAlign w:val="bottom"/>
            <w:tcBorders>
              <w:bottom w:val="single" w:sz="8" w:color="EEEEEE"/>
            </w:tcBorders>
            <w:shd w:val="clear" w:color="auto" w:fill="EEEEEE"/>
          </w:tcPr>
          <w:p>
            <w:pPr>
              <w:jc w:val="center"/>
              <w:spacing w:after="0" w:line="176" w:lineRule="exact"/>
              <w:rPr>
                <w:sz w:val="20"/>
                <w:szCs w:val="20"/>
                <w:color w:val="auto"/>
              </w:rPr>
            </w:pPr>
            <w:r>
              <w:rPr>
                <w:rFonts w:ascii="Arial" w:cs="Arial" w:eastAsia="Arial" w:hAnsi="Arial"/>
                <w:sz w:val="18"/>
                <w:szCs w:val="18"/>
                <w:color w:val="auto"/>
                <w:w w:val="99"/>
              </w:rPr>
              <w:t>6</w:t>
            </w:r>
          </w:p>
        </w:tc>
        <w:tc>
          <w:tcPr>
            <w:tcW w:w="260" w:type="dxa"/>
            <w:vAlign w:val="bottom"/>
            <w:tcBorders>
              <w:bottom w:val="single" w:sz="8" w:color="EEEEEE"/>
            </w:tcBorders>
            <w:shd w:val="clear" w:color="auto" w:fill="EEEEEE"/>
          </w:tcPr>
          <w:p>
            <w:pPr>
              <w:spacing w:after="0"/>
              <w:rPr>
                <w:sz w:val="17"/>
                <w:szCs w:val="17"/>
                <w:color w:val="auto"/>
              </w:rPr>
            </w:pPr>
          </w:p>
        </w:tc>
      </w:tr>
      <w:tr>
        <w:trPr>
          <w:trHeight w:val="175"/>
        </w:trPr>
        <w:tc>
          <w:tcPr>
            <w:tcW w:w="900" w:type="dxa"/>
            <w:vAlign w:val="bottom"/>
          </w:tcPr>
          <w:p>
            <w:pPr>
              <w:spacing w:after="0"/>
              <w:rPr>
                <w:sz w:val="15"/>
                <w:szCs w:val="15"/>
                <w:color w:val="auto"/>
              </w:rPr>
            </w:pPr>
          </w:p>
        </w:tc>
        <w:tc>
          <w:tcPr>
            <w:tcW w:w="9400" w:type="dxa"/>
            <w:vAlign w:val="bottom"/>
            <w:tcBorders>
              <w:bottom w:val="single" w:sz="8" w:color="0000EE"/>
            </w:tcBorders>
            <w:gridSpan w:val="20"/>
          </w:tcPr>
          <w:p>
            <w:pPr>
              <w:spacing w:after="0" w:line="176" w:lineRule="exact"/>
              <w:rPr>
                <w:sz w:val="20"/>
                <w:szCs w:val="20"/>
                <w:color w:val="auto"/>
              </w:rPr>
            </w:pPr>
            <w:r>
              <w:rPr>
                <w:rFonts w:ascii="Arial" w:cs="Arial" w:eastAsia="Arial" w:hAnsi="Arial"/>
                <w:sz w:val="18"/>
                <w:szCs w:val="18"/>
                <w:color w:val="0000EE"/>
                <w:w w:val="89"/>
              </w:rPr>
              <w:t>Unaudited Condensed Consolidated Statements of Shareholders’ Equity for the three-month and six-month periods ended June 30,</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6"/>
        </w:trPr>
        <w:tc>
          <w:tcPr>
            <w:tcW w:w="900" w:type="dxa"/>
            <w:vAlign w:val="bottom"/>
          </w:tcPr>
          <w:p>
            <w:pPr>
              <w:spacing w:after="0"/>
              <w:rPr>
                <w:sz w:val="17"/>
                <w:szCs w:val="17"/>
                <w:color w:val="auto"/>
              </w:rPr>
            </w:pPr>
          </w:p>
        </w:tc>
        <w:tc>
          <w:tcPr>
            <w:tcW w:w="9700" w:type="dxa"/>
            <w:vAlign w:val="bottom"/>
            <w:gridSpan w:val="21"/>
          </w:tcPr>
          <w:p>
            <w:pPr>
              <w:spacing w:after="0" w:line="196" w:lineRule="exact"/>
              <w:rPr>
                <w:sz w:val="20"/>
                <w:szCs w:val="20"/>
                <w:color w:val="auto"/>
              </w:rPr>
            </w:pPr>
            <w:r>
              <w:rPr>
                <w:rFonts w:ascii="Arial" w:cs="Arial" w:eastAsia="Arial" w:hAnsi="Arial"/>
                <w:sz w:val="18"/>
                <w:szCs w:val="18"/>
                <w:color w:val="0000EE"/>
              </w:rPr>
              <w:t>2023 and 2022</w:t>
            </w: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7</w:t>
            </w:r>
          </w:p>
        </w:tc>
        <w:tc>
          <w:tcPr>
            <w:tcW w:w="26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900" w:type="dxa"/>
            <w:vAlign w:val="bottom"/>
            <w:tcBorders>
              <w:bottom w:val="single" w:sz="8" w:color="EEEEEE"/>
            </w:tcBorders>
            <w:shd w:val="clear" w:color="auto" w:fill="EEEEEE"/>
          </w:tcPr>
          <w:p>
            <w:pPr>
              <w:spacing w:after="0"/>
              <w:rPr>
                <w:sz w:val="17"/>
                <w:szCs w:val="17"/>
                <w:color w:val="auto"/>
              </w:rPr>
            </w:pPr>
          </w:p>
        </w:tc>
        <w:tc>
          <w:tcPr>
            <w:tcW w:w="4800" w:type="dxa"/>
            <w:vAlign w:val="bottom"/>
            <w:tcBorders>
              <w:bottom w:val="single" w:sz="8" w:color="0000EE"/>
            </w:tcBorders>
            <w:gridSpan w:val="12"/>
            <w:shd w:val="clear" w:color="auto" w:fill="EEEEEE"/>
          </w:tcPr>
          <w:p>
            <w:pPr>
              <w:spacing w:after="0" w:line="176" w:lineRule="exact"/>
              <w:rPr>
                <w:sz w:val="20"/>
                <w:szCs w:val="20"/>
                <w:color w:val="auto"/>
              </w:rPr>
            </w:pPr>
            <w:r>
              <w:rPr>
                <w:rFonts w:ascii="Arial" w:cs="Arial" w:eastAsia="Arial" w:hAnsi="Arial"/>
                <w:sz w:val="18"/>
                <w:szCs w:val="18"/>
                <w:color w:val="0000EE"/>
                <w:w w:val="89"/>
              </w:rPr>
              <w:t>Notes to Unaudited Condensed Consolidated Financial Statements</w:t>
            </w:r>
          </w:p>
        </w:tc>
        <w:tc>
          <w:tcPr>
            <w:tcW w:w="4900" w:type="dxa"/>
            <w:vAlign w:val="bottom"/>
            <w:tcBorders>
              <w:bottom w:val="single" w:sz="8" w:color="EEEEEE"/>
            </w:tcBorders>
            <w:gridSpan w:val="9"/>
            <w:shd w:val="clear" w:color="auto" w:fill="EEEEEE"/>
          </w:tcPr>
          <w:p>
            <w:pPr>
              <w:spacing w:after="0"/>
              <w:rPr>
                <w:sz w:val="17"/>
                <w:szCs w:val="17"/>
                <w:color w:val="auto"/>
              </w:rPr>
            </w:pPr>
          </w:p>
        </w:tc>
        <w:tc>
          <w:tcPr>
            <w:tcW w:w="380" w:type="dxa"/>
            <w:vAlign w:val="bottom"/>
            <w:tcBorders>
              <w:bottom w:val="single" w:sz="8" w:color="EEEEEE"/>
            </w:tcBorders>
            <w:shd w:val="clear" w:color="auto" w:fill="EEEEEE"/>
          </w:tcPr>
          <w:p>
            <w:pPr>
              <w:jc w:val="center"/>
              <w:spacing w:after="0" w:line="176" w:lineRule="exact"/>
              <w:rPr>
                <w:sz w:val="20"/>
                <w:szCs w:val="20"/>
                <w:color w:val="auto"/>
              </w:rPr>
            </w:pPr>
            <w:r>
              <w:rPr>
                <w:rFonts w:ascii="Arial" w:cs="Arial" w:eastAsia="Arial" w:hAnsi="Arial"/>
                <w:sz w:val="18"/>
                <w:szCs w:val="18"/>
                <w:color w:val="auto"/>
                <w:w w:val="99"/>
              </w:rPr>
              <w:t>8</w:t>
            </w:r>
          </w:p>
        </w:tc>
        <w:tc>
          <w:tcPr>
            <w:tcW w:w="260" w:type="dxa"/>
            <w:vAlign w:val="bottom"/>
            <w:tcBorders>
              <w:bottom w:val="single" w:sz="8" w:color="EEEEEE"/>
            </w:tcBorders>
            <w:shd w:val="clear" w:color="auto" w:fill="EEEEEE"/>
          </w:tcPr>
          <w:p>
            <w:pPr>
              <w:spacing w:after="0"/>
              <w:rPr>
                <w:sz w:val="17"/>
                <w:szCs w:val="17"/>
                <w:color w:val="auto"/>
              </w:rPr>
            </w:pPr>
          </w:p>
        </w:tc>
      </w:tr>
      <w:tr>
        <w:trPr>
          <w:trHeight w:val="176"/>
        </w:trPr>
        <w:tc>
          <w:tcPr>
            <w:tcW w:w="90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700" w:type="dxa"/>
            <w:vAlign w:val="bottom"/>
            <w:gridSpan w:val="21"/>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380" w:type="dxa"/>
            <w:vAlign w:val="bottom"/>
          </w:tcPr>
          <w:p>
            <w:pPr>
              <w:jc w:val="center"/>
              <w:spacing w:after="0" w:line="176" w:lineRule="exact"/>
              <w:rPr>
                <w:sz w:val="20"/>
                <w:szCs w:val="20"/>
                <w:color w:val="auto"/>
              </w:rPr>
            </w:pPr>
            <w:r>
              <w:rPr>
                <w:rFonts w:ascii="Arial" w:cs="Arial" w:eastAsia="Arial" w:hAnsi="Arial"/>
                <w:sz w:val="18"/>
                <w:szCs w:val="18"/>
                <w:color w:val="auto"/>
                <w:w w:val="89"/>
              </w:rPr>
              <w:t>27</w:t>
            </w:r>
          </w:p>
        </w:tc>
        <w:tc>
          <w:tcPr>
            <w:tcW w:w="260" w:type="dxa"/>
            <w:vAlign w:val="bottom"/>
          </w:tcPr>
          <w:p>
            <w:pPr>
              <w:spacing w:after="0"/>
              <w:rPr>
                <w:sz w:val="15"/>
                <w:szCs w:val="15"/>
                <w:color w:val="auto"/>
              </w:rPr>
            </w:pPr>
          </w:p>
        </w:tc>
      </w:tr>
      <w:tr>
        <w:trPr>
          <w:trHeight w:val="21"/>
        </w:trPr>
        <w:tc>
          <w:tcPr>
            <w:tcW w:w="9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900" w:type="dxa"/>
            <w:vAlign w:val="bottom"/>
            <w:shd w:val="clear" w:color="auto" w:fill="EEEEEE"/>
          </w:tcPr>
          <w:p>
            <w:pPr>
              <w:spacing w:after="0" w:line="176" w:lineRule="exact"/>
              <w:rPr>
                <w:sz w:val="20"/>
                <w:szCs w:val="20"/>
                <w:color w:val="auto"/>
              </w:rPr>
            </w:pPr>
            <w:r>
              <w:rPr>
                <w:rFonts w:ascii="Arial" w:cs="Arial" w:eastAsia="Arial" w:hAnsi="Arial"/>
                <w:sz w:val="18"/>
                <w:szCs w:val="18"/>
                <w:color w:val="auto"/>
              </w:rPr>
              <w:t>Item 4.</w:t>
            </w:r>
          </w:p>
        </w:tc>
        <w:tc>
          <w:tcPr>
            <w:tcW w:w="9700" w:type="dxa"/>
            <w:vAlign w:val="bottom"/>
            <w:gridSpan w:val="21"/>
            <w:shd w:val="clear" w:color="auto" w:fill="EEEEEE"/>
          </w:tcPr>
          <w:p>
            <w:pPr>
              <w:spacing w:after="0" w:line="176" w:lineRule="exact"/>
              <w:rPr>
                <w:sz w:val="20"/>
                <w:szCs w:val="20"/>
                <w:color w:val="auto"/>
              </w:rPr>
            </w:pPr>
            <w:r>
              <w:rPr>
                <w:rFonts w:ascii="Arial" w:cs="Arial" w:eastAsia="Arial" w:hAnsi="Arial"/>
                <w:sz w:val="18"/>
                <w:szCs w:val="18"/>
                <w:color w:val="0000EE"/>
              </w:rPr>
              <w:t>Controls and Procedures</w:t>
            </w:r>
          </w:p>
        </w:tc>
        <w:tc>
          <w:tcPr>
            <w:tcW w:w="380" w:type="dxa"/>
            <w:vAlign w:val="bottom"/>
            <w:shd w:val="clear" w:color="auto" w:fill="EEEEEE"/>
          </w:tcPr>
          <w:p>
            <w:pPr>
              <w:jc w:val="center"/>
              <w:spacing w:after="0" w:line="176" w:lineRule="exact"/>
              <w:rPr>
                <w:sz w:val="20"/>
                <w:szCs w:val="20"/>
                <w:color w:val="auto"/>
              </w:rPr>
            </w:pPr>
            <w:r>
              <w:rPr>
                <w:rFonts w:ascii="Arial" w:cs="Arial" w:eastAsia="Arial" w:hAnsi="Arial"/>
                <w:sz w:val="18"/>
                <w:szCs w:val="18"/>
                <w:color w:val="auto"/>
                <w:w w:val="89"/>
              </w:rPr>
              <w:t>44</w:t>
            </w:r>
          </w:p>
        </w:tc>
        <w:tc>
          <w:tcPr>
            <w:tcW w:w="260" w:type="dxa"/>
            <w:vAlign w:val="bottom"/>
            <w:shd w:val="clear" w:color="auto" w:fill="EEEEEE"/>
          </w:tcPr>
          <w:p>
            <w:pPr>
              <w:spacing w:after="0"/>
              <w:rPr>
                <w:sz w:val="17"/>
                <w:szCs w:val="17"/>
                <w:color w:val="auto"/>
              </w:rPr>
            </w:pPr>
          </w:p>
        </w:tc>
      </w:tr>
      <w:tr>
        <w:trPr>
          <w:trHeight w:val="216"/>
        </w:trPr>
        <w:tc>
          <w:tcPr>
            <w:tcW w:w="900" w:type="dxa"/>
            <w:vAlign w:val="bottom"/>
            <w:tcBorders>
              <w:top w:val="single" w:sz="8" w:color="EEEE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3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06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3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168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r>
      <w:tr>
        <w:trPr>
          <w:trHeight w:val="196"/>
        </w:trPr>
        <w:tc>
          <w:tcPr>
            <w:tcW w:w="9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6540" w:type="dxa"/>
            <w:vAlign w:val="bottom"/>
            <w:gridSpan w:val="12"/>
            <w:shd w:val="clear" w:color="auto" w:fill="EEEEEE"/>
          </w:tcPr>
          <w:p>
            <w:pPr>
              <w:jc w:val="center"/>
              <w:ind w:right="3400"/>
              <w:spacing w:after="0" w:line="176" w:lineRule="exact"/>
              <w:rPr>
                <w:sz w:val="20"/>
                <w:szCs w:val="20"/>
                <w:color w:val="auto"/>
              </w:rPr>
            </w:pPr>
            <w:r>
              <w:rPr>
                <w:rFonts w:ascii="Arial" w:cs="Arial" w:eastAsia="Arial" w:hAnsi="Arial"/>
                <w:sz w:val="18"/>
                <w:szCs w:val="18"/>
                <w:b w:val="1"/>
                <w:bCs w:val="1"/>
                <w:color w:val="0000EE"/>
              </w:rPr>
              <w:t>PART II – OTHER INFORMATION</w:t>
            </w:r>
          </w:p>
        </w:tc>
        <w:tc>
          <w:tcPr>
            <w:tcW w:w="3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r>
      <w:tr>
        <w:trPr>
          <w:trHeight w:val="216"/>
        </w:trPr>
        <w:tc>
          <w:tcPr>
            <w:tcW w:w="90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138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1680" w:type="dxa"/>
            <w:vAlign w:val="bottom"/>
            <w:tcBorders>
              <w:top w:val="single" w:sz="8" w:color="EEEEEE"/>
            </w:tcBorders>
          </w:tcPr>
          <w:p>
            <w:pPr>
              <w:spacing w:after="0"/>
              <w:rPr>
                <w:sz w:val="18"/>
                <w:szCs w:val="18"/>
                <w:color w:val="auto"/>
              </w:rPr>
            </w:pPr>
          </w:p>
        </w:tc>
        <w:tc>
          <w:tcPr>
            <w:tcW w:w="7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r>
      <w:tr>
        <w:trPr>
          <w:trHeight w:val="196"/>
        </w:trPr>
        <w:tc>
          <w:tcPr>
            <w:tcW w:w="900" w:type="dxa"/>
            <w:vAlign w:val="bottom"/>
            <w:shd w:val="clear" w:color="auto" w:fill="EEEEEE"/>
          </w:tcPr>
          <w:p>
            <w:pPr>
              <w:spacing w:after="0" w:line="176" w:lineRule="exact"/>
              <w:rPr>
                <w:sz w:val="20"/>
                <w:szCs w:val="20"/>
                <w:color w:val="auto"/>
              </w:rPr>
            </w:pPr>
            <w:r>
              <w:rPr>
                <w:rFonts w:ascii="Arial" w:cs="Arial" w:eastAsia="Arial" w:hAnsi="Arial"/>
                <w:sz w:val="18"/>
                <w:szCs w:val="18"/>
                <w:color w:val="auto"/>
              </w:rPr>
              <w:t>Item 1.</w:t>
            </w:r>
          </w:p>
        </w:tc>
        <w:tc>
          <w:tcPr>
            <w:tcW w:w="9700" w:type="dxa"/>
            <w:vAlign w:val="bottom"/>
            <w:gridSpan w:val="21"/>
            <w:shd w:val="clear" w:color="auto" w:fill="EEEEEE"/>
          </w:tcPr>
          <w:p>
            <w:pPr>
              <w:spacing w:after="0" w:line="176" w:lineRule="exact"/>
              <w:rPr>
                <w:sz w:val="20"/>
                <w:szCs w:val="20"/>
                <w:color w:val="auto"/>
              </w:rPr>
            </w:pPr>
            <w:r>
              <w:rPr>
                <w:rFonts w:ascii="Arial" w:cs="Arial" w:eastAsia="Arial" w:hAnsi="Arial"/>
                <w:sz w:val="18"/>
                <w:szCs w:val="18"/>
                <w:color w:val="0000EE"/>
              </w:rPr>
              <w:t>Legal Proceedings</w:t>
            </w:r>
          </w:p>
        </w:tc>
        <w:tc>
          <w:tcPr>
            <w:tcW w:w="380" w:type="dxa"/>
            <w:vAlign w:val="bottom"/>
            <w:shd w:val="clear" w:color="auto" w:fill="EEEEEE"/>
          </w:tcPr>
          <w:p>
            <w:pPr>
              <w:jc w:val="center"/>
              <w:spacing w:after="0" w:line="176" w:lineRule="exact"/>
              <w:rPr>
                <w:sz w:val="20"/>
                <w:szCs w:val="20"/>
                <w:color w:val="auto"/>
              </w:rPr>
            </w:pPr>
            <w:r>
              <w:rPr>
                <w:rFonts w:ascii="Arial" w:cs="Arial" w:eastAsia="Arial" w:hAnsi="Arial"/>
                <w:sz w:val="18"/>
                <w:szCs w:val="18"/>
                <w:color w:val="auto"/>
                <w:w w:val="89"/>
              </w:rPr>
              <w:t>45</w:t>
            </w:r>
          </w:p>
        </w:tc>
        <w:tc>
          <w:tcPr>
            <w:tcW w:w="260" w:type="dxa"/>
            <w:vAlign w:val="bottom"/>
            <w:shd w:val="clear" w:color="auto" w:fill="EEEEEE"/>
          </w:tcPr>
          <w:p>
            <w:pPr>
              <w:spacing w:after="0"/>
              <w:rPr>
                <w:sz w:val="17"/>
                <w:szCs w:val="17"/>
                <w:color w:val="auto"/>
              </w:rPr>
            </w:pPr>
          </w:p>
        </w:tc>
      </w:tr>
      <w:tr>
        <w:trPr>
          <w:trHeight w:val="175"/>
        </w:trPr>
        <w:tc>
          <w:tcPr>
            <w:tcW w:w="900" w:type="dxa"/>
            <w:vAlign w:val="bottom"/>
            <w:tcBorders>
              <w:top w:val="single" w:sz="8" w:color="EEEEEE"/>
            </w:tcBorders>
          </w:tcPr>
          <w:p>
            <w:pPr>
              <w:spacing w:after="0" w:line="176" w:lineRule="exact"/>
              <w:rPr>
                <w:sz w:val="20"/>
                <w:szCs w:val="20"/>
                <w:color w:val="auto"/>
              </w:rPr>
            </w:pPr>
            <w:r>
              <w:rPr>
                <w:rFonts w:ascii="Arial" w:cs="Arial" w:eastAsia="Arial" w:hAnsi="Arial"/>
                <w:sz w:val="18"/>
                <w:szCs w:val="18"/>
                <w:color w:val="auto"/>
              </w:rPr>
              <w:t>Item 1A.</w:t>
            </w:r>
          </w:p>
        </w:tc>
        <w:tc>
          <w:tcPr>
            <w:tcW w:w="1340" w:type="dxa"/>
            <w:vAlign w:val="bottom"/>
            <w:tcBorders>
              <w:top w:val="single" w:sz="8" w:color="0000EE"/>
            </w:tcBorders>
            <w:gridSpan w:val="6"/>
          </w:tcPr>
          <w:p>
            <w:pPr>
              <w:spacing w:after="0" w:line="176" w:lineRule="exact"/>
              <w:rPr>
                <w:sz w:val="20"/>
                <w:szCs w:val="20"/>
                <w:color w:val="auto"/>
              </w:rPr>
            </w:pPr>
            <w:r>
              <w:rPr>
                <w:rFonts w:ascii="Arial" w:cs="Arial" w:eastAsia="Arial" w:hAnsi="Arial"/>
                <w:sz w:val="18"/>
                <w:szCs w:val="18"/>
                <w:color w:val="0000EE"/>
              </w:rPr>
              <w:t>Risk Factors</w:t>
            </w:r>
          </w:p>
        </w:tc>
        <w:tc>
          <w:tcPr>
            <w:tcW w:w="8360" w:type="dxa"/>
            <w:vAlign w:val="bottom"/>
            <w:tcBorders>
              <w:top w:val="single" w:sz="8" w:color="EEEEEE"/>
            </w:tcBorders>
            <w:gridSpan w:val="15"/>
          </w:tcPr>
          <w:p>
            <w:pPr>
              <w:spacing w:after="0"/>
              <w:rPr>
                <w:sz w:val="15"/>
                <w:szCs w:val="15"/>
                <w:color w:val="auto"/>
              </w:rPr>
            </w:pPr>
          </w:p>
        </w:tc>
        <w:tc>
          <w:tcPr>
            <w:tcW w:w="380" w:type="dxa"/>
            <w:vAlign w:val="bottom"/>
            <w:tcBorders>
              <w:top w:val="single" w:sz="8" w:color="EEEEEE"/>
            </w:tcBorders>
          </w:tcPr>
          <w:p>
            <w:pPr>
              <w:jc w:val="center"/>
              <w:spacing w:after="0" w:line="176" w:lineRule="exact"/>
              <w:rPr>
                <w:sz w:val="20"/>
                <w:szCs w:val="20"/>
                <w:color w:val="auto"/>
              </w:rPr>
            </w:pPr>
            <w:r>
              <w:rPr>
                <w:rFonts w:ascii="Arial" w:cs="Arial" w:eastAsia="Arial" w:hAnsi="Arial"/>
                <w:sz w:val="18"/>
                <w:szCs w:val="18"/>
                <w:color w:val="auto"/>
                <w:w w:val="89"/>
              </w:rPr>
              <w:t>45</w:t>
            </w:r>
          </w:p>
        </w:tc>
        <w:tc>
          <w:tcPr>
            <w:tcW w:w="260" w:type="dxa"/>
            <w:vAlign w:val="bottom"/>
            <w:tcBorders>
              <w:top w:val="single" w:sz="8" w:color="EEEEEE"/>
            </w:tcBorders>
          </w:tcPr>
          <w:p>
            <w:pPr>
              <w:spacing w:after="0"/>
              <w:rPr>
                <w:sz w:val="15"/>
                <w:szCs w:val="15"/>
                <w:color w:val="auto"/>
              </w:rPr>
            </w:pPr>
          </w:p>
        </w:tc>
      </w:tr>
      <w:tr>
        <w:trPr>
          <w:trHeight w:val="21"/>
        </w:trPr>
        <w:tc>
          <w:tcPr>
            <w:tcW w:w="9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900" w:type="dxa"/>
            <w:vAlign w:val="bottom"/>
            <w:tcBorders>
              <w:bottom w:val="single" w:sz="8" w:color="EEEEEE"/>
            </w:tcBorders>
            <w:shd w:val="clear" w:color="auto" w:fill="EEEEEE"/>
          </w:tcPr>
          <w:p>
            <w:pPr>
              <w:spacing w:after="0" w:line="17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1"/>
            <w:shd w:val="clear" w:color="auto" w:fill="EEEEEE"/>
          </w:tcPr>
          <w:p>
            <w:pPr>
              <w:spacing w:after="0" w:line="176" w:lineRule="exact"/>
              <w:rPr>
                <w:sz w:val="20"/>
                <w:szCs w:val="20"/>
                <w:color w:val="auto"/>
              </w:rPr>
            </w:pPr>
            <w:r>
              <w:rPr>
                <w:rFonts w:ascii="Arial" w:cs="Arial" w:eastAsia="Arial" w:hAnsi="Arial"/>
                <w:sz w:val="18"/>
                <w:szCs w:val="18"/>
                <w:color w:val="0000EE"/>
                <w:w w:val="89"/>
              </w:rPr>
              <w:t>Unregistered Sales of Equity Securities and Use of Proceeds</w:t>
            </w:r>
          </w:p>
        </w:tc>
        <w:tc>
          <w:tcPr>
            <w:tcW w:w="5340" w:type="dxa"/>
            <w:vAlign w:val="bottom"/>
            <w:tcBorders>
              <w:bottom w:val="single" w:sz="8" w:color="EEEEEE"/>
            </w:tcBorders>
            <w:gridSpan w:val="10"/>
            <w:shd w:val="clear" w:color="auto" w:fill="EEEEEE"/>
          </w:tcPr>
          <w:p>
            <w:pPr>
              <w:spacing w:after="0"/>
              <w:rPr>
                <w:sz w:val="17"/>
                <w:szCs w:val="17"/>
                <w:color w:val="auto"/>
              </w:rPr>
            </w:pPr>
          </w:p>
        </w:tc>
        <w:tc>
          <w:tcPr>
            <w:tcW w:w="380" w:type="dxa"/>
            <w:vAlign w:val="bottom"/>
            <w:tcBorders>
              <w:bottom w:val="single" w:sz="8" w:color="EEEEEE"/>
            </w:tcBorders>
            <w:shd w:val="clear" w:color="auto" w:fill="EEEEEE"/>
          </w:tcPr>
          <w:p>
            <w:pPr>
              <w:jc w:val="center"/>
              <w:spacing w:after="0" w:line="176" w:lineRule="exact"/>
              <w:rPr>
                <w:sz w:val="20"/>
                <w:szCs w:val="20"/>
                <w:color w:val="auto"/>
              </w:rPr>
            </w:pPr>
            <w:r>
              <w:rPr>
                <w:rFonts w:ascii="Arial" w:cs="Arial" w:eastAsia="Arial" w:hAnsi="Arial"/>
                <w:sz w:val="18"/>
                <w:szCs w:val="18"/>
                <w:color w:val="auto"/>
                <w:w w:val="89"/>
              </w:rPr>
              <w:t>47</w:t>
            </w:r>
          </w:p>
        </w:tc>
        <w:tc>
          <w:tcPr>
            <w:tcW w:w="260" w:type="dxa"/>
            <w:vAlign w:val="bottom"/>
            <w:tcBorders>
              <w:bottom w:val="single" w:sz="8" w:color="EEEEEE"/>
            </w:tcBorders>
            <w:shd w:val="clear" w:color="auto" w:fill="EEEEEE"/>
          </w:tcPr>
          <w:p>
            <w:pPr>
              <w:spacing w:after="0"/>
              <w:rPr>
                <w:sz w:val="17"/>
                <w:szCs w:val="17"/>
                <w:color w:val="auto"/>
              </w:rPr>
            </w:pPr>
          </w:p>
        </w:tc>
      </w:tr>
      <w:tr>
        <w:trPr>
          <w:trHeight w:val="176"/>
        </w:trPr>
        <w:tc>
          <w:tcPr>
            <w:tcW w:w="90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9700" w:type="dxa"/>
            <w:vAlign w:val="bottom"/>
            <w:gridSpan w:val="21"/>
          </w:tcPr>
          <w:p>
            <w:pPr>
              <w:spacing w:after="0" w:line="176" w:lineRule="exact"/>
              <w:rPr>
                <w:sz w:val="20"/>
                <w:szCs w:val="20"/>
                <w:color w:val="auto"/>
              </w:rPr>
            </w:pPr>
            <w:r>
              <w:rPr>
                <w:rFonts w:ascii="Arial" w:cs="Arial" w:eastAsia="Arial" w:hAnsi="Arial"/>
                <w:sz w:val="18"/>
                <w:szCs w:val="18"/>
                <w:color w:val="0000EE"/>
              </w:rPr>
              <w:t>Exhibits</w:t>
            </w:r>
          </w:p>
        </w:tc>
        <w:tc>
          <w:tcPr>
            <w:tcW w:w="380" w:type="dxa"/>
            <w:vAlign w:val="bottom"/>
          </w:tcPr>
          <w:p>
            <w:pPr>
              <w:jc w:val="center"/>
              <w:spacing w:after="0" w:line="176" w:lineRule="exact"/>
              <w:rPr>
                <w:sz w:val="20"/>
                <w:szCs w:val="20"/>
                <w:color w:val="auto"/>
              </w:rPr>
            </w:pPr>
            <w:r>
              <w:rPr>
                <w:rFonts w:ascii="Arial" w:cs="Arial" w:eastAsia="Arial" w:hAnsi="Arial"/>
                <w:sz w:val="18"/>
                <w:szCs w:val="18"/>
                <w:color w:val="auto"/>
                <w:w w:val="89"/>
              </w:rPr>
              <w:t>47</w:t>
            </w:r>
          </w:p>
        </w:tc>
        <w:tc>
          <w:tcPr>
            <w:tcW w:w="260" w:type="dxa"/>
            <w:vAlign w:val="bottom"/>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6"/>
        </w:trPr>
        <w:tc>
          <w:tcPr>
            <w:tcW w:w="900" w:type="dxa"/>
            <w:vAlign w:val="bottom"/>
            <w:shd w:val="clear" w:color="auto" w:fill="EEEEEE"/>
          </w:tcPr>
          <w:p>
            <w:pPr>
              <w:spacing w:after="0"/>
              <w:rPr>
                <w:sz w:val="15"/>
                <w:szCs w:val="15"/>
                <w:color w:val="auto"/>
              </w:rPr>
            </w:pPr>
          </w:p>
        </w:tc>
        <w:tc>
          <w:tcPr>
            <w:tcW w:w="9700" w:type="dxa"/>
            <w:vAlign w:val="bottom"/>
            <w:gridSpan w:val="21"/>
            <w:shd w:val="clear" w:color="auto" w:fill="EEEEEE"/>
          </w:tcPr>
          <w:p>
            <w:pPr>
              <w:spacing w:after="0" w:line="176" w:lineRule="exact"/>
              <w:rPr>
                <w:sz w:val="20"/>
                <w:szCs w:val="20"/>
                <w:color w:val="auto"/>
              </w:rPr>
            </w:pPr>
            <w:r>
              <w:rPr>
                <w:rFonts w:ascii="Arial" w:cs="Arial" w:eastAsia="Arial" w:hAnsi="Arial"/>
                <w:sz w:val="18"/>
                <w:szCs w:val="18"/>
                <w:color w:val="0000EE"/>
              </w:rPr>
              <w:t>Signatures</w:t>
            </w:r>
          </w:p>
        </w:tc>
        <w:tc>
          <w:tcPr>
            <w:tcW w:w="380" w:type="dxa"/>
            <w:vAlign w:val="bottom"/>
            <w:shd w:val="clear" w:color="auto" w:fill="EEEEEE"/>
          </w:tcPr>
          <w:p>
            <w:pPr>
              <w:jc w:val="center"/>
              <w:spacing w:after="0" w:line="176" w:lineRule="exact"/>
              <w:rPr>
                <w:sz w:val="20"/>
                <w:szCs w:val="20"/>
                <w:color w:val="auto"/>
              </w:rPr>
            </w:pPr>
            <w:r>
              <w:rPr>
                <w:rFonts w:ascii="Arial" w:cs="Arial" w:eastAsia="Arial" w:hAnsi="Arial"/>
                <w:sz w:val="18"/>
                <w:szCs w:val="18"/>
                <w:color w:val="auto"/>
                <w:w w:val="89"/>
              </w:rPr>
              <w:t>48</w:t>
            </w:r>
          </w:p>
        </w:tc>
        <w:tc>
          <w:tcPr>
            <w:tcW w:w="260" w:type="dxa"/>
            <w:vAlign w:val="bottom"/>
            <w:shd w:val="clear" w:color="auto" w:fill="EEEEEE"/>
          </w:tcPr>
          <w:p>
            <w:pPr>
              <w:spacing w:after="0"/>
              <w:rPr>
                <w:sz w:val="15"/>
                <w:szCs w:val="15"/>
                <w:color w:val="auto"/>
              </w:rPr>
            </w:pPr>
          </w:p>
        </w:tc>
      </w:tr>
      <w:tr>
        <w:trPr>
          <w:trHeight w:val="20"/>
        </w:trPr>
        <w:tc>
          <w:tcPr>
            <w:tcW w:w="90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13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060" w:type="dxa"/>
            <w:vAlign w:val="bottom"/>
            <w:tcBorders>
              <w:top w:val="single" w:sz="8" w:color="EEEEEE"/>
            </w:tcBorders>
            <w:shd w:val="clear" w:color="auto" w:fill="EEEEEE"/>
          </w:tcPr>
          <w:p>
            <w:pPr>
              <w:spacing w:after="0" w:line="20" w:lineRule="exact"/>
              <w:rPr>
                <w:sz w:val="1"/>
                <w:szCs w:val="1"/>
                <w:color w:val="auto"/>
              </w:rPr>
            </w:pPr>
          </w:p>
        </w:tc>
        <w:tc>
          <w:tcPr>
            <w:tcW w:w="440" w:type="dxa"/>
            <w:vAlign w:val="bottom"/>
            <w:tcBorders>
              <w:top w:val="single" w:sz="8" w:color="EEEEEE"/>
            </w:tcBorders>
            <w:shd w:val="clear" w:color="auto" w:fill="EEEEEE"/>
          </w:tcPr>
          <w:p>
            <w:pPr>
              <w:spacing w:after="0" w:line="20" w:lineRule="exact"/>
              <w:rPr>
                <w:sz w:val="1"/>
                <w:szCs w:val="1"/>
                <w:color w:val="auto"/>
              </w:rPr>
            </w:pPr>
          </w:p>
        </w:tc>
        <w:tc>
          <w:tcPr>
            <w:tcW w:w="13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1680" w:type="dxa"/>
            <w:vAlign w:val="bottom"/>
            <w:tcBorders>
              <w:top w:val="single" w:sz="8" w:color="EEEEEE"/>
            </w:tcBorders>
            <w:shd w:val="clear" w:color="auto" w:fill="EEEEEE"/>
          </w:tcPr>
          <w:p>
            <w:pPr>
              <w:spacing w:after="0" w:line="20" w:lineRule="exact"/>
              <w:rPr>
                <w:sz w:val="1"/>
                <w:szCs w:val="1"/>
                <w:color w:val="auto"/>
              </w:rPr>
            </w:pPr>
          </w:p>
        </w:tc>
        <w:tc>
          <w:tcPr>
            <w:tcW w:w="7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9"/>
                <w:szCs w:val="19"/>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76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EEEEEE"/>
            </w:tcBorders>
          </w:tcPr>
          <w:p>
            <w:pPr>
              <w:spacing w:after="0"/>
              <w:rPr>
                <w:sz w:val="20"/>
                <w:szCs w:val="20"/>
                <w:color w:val="auto"/>
              </w:rPr>
            </w:pPr>
          </w:p>
        </w:tc>
      </w:tr>
      <w:tr>
        <w:trPr>
          <w:trHeight w:val="210"/>
        </w:trPr>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7,081</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13,490</w:t>
            </w:r>
          </w:p>
        </w:tc>
        <w:tc>
          <w:tcPr>
            <w:tcW w:w="100" w:type="dxa"/>
            <w:vAlign w:val="bottom"/>
          </w:tcPr>
          <w:p>
            <w:pPr>
              <w:spacing w:after="0"/>
              <w:rPr>
                <w:sz w:val="18"/>
                <w:szCs w:val="18"/>
                <w:color w:val="auto"/>
              </w:rPr>
            </w:pPr>
          </w:p>
        </w:tc>
      </w:tr>
      <w:tr>
        <w:trPr>
          <w:trHeight w:val="216"/>
        </w:trPr>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148,063</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149,299</w:t>
            </w:r>
          </w:p>
        </w:tc>
        <w:tc>
          <w:tcPr>
            <w:tcW w:w="100" w:type="dxa"/>
            <w:vAlign w:val="bottom"/>
            <w:shd w:val="clear" w:color="auto" w:fill="EEEEEE"/>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Finance receivables measured at fair value</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2,618,420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2,476,617</w:t>
            </w:r>
          </w:p>
        </w:tc>
        <w:tc>
          <w:tcPr>
            <w:tcW w:w="100" w:type="dxa"/>
            <w:vAlign w:val="bottom"/>
          </w:tcPr>
          <w:p>
            <w:pPr>
              <w:spacing w:after="0"/>
              <w:rPr>
                <w:sz w:val="18"/>
                <w:szCs w:val="18"/>
                <w:color w:val="auto"/>
              </w:rPr>
            </w:pPr>
          </w:p>
        </w:tc>
      </w:tr>
      <w:tr>
        <w:trPr>
          <w:trHeight w:val="216"/>
        </w:trPr>
        <w:tc>
          <w:tcPr>
            <w:tcW w:w="7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Finance receivables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52,080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92,304</w:t>
            </w:r>
          </w:p>
        </w:tc>
        <w:tc>
          <w:tcPr>
            <w:tcW w:w="100" w:type="dxa"/>
            <w:vAlign w:val="bottom"/>
          </w:tcPr>
          <w:p>
            <w:pPr>
              <w:spacing w:after="0"/>
              <w:rPr>
                <w:sz w:val="18"/>
                <w:szCs w:val="18"/>
                <w:color w:val="auto"/>
              </w:rPr>
            </w:pPr>
          </w:p>
        </w:tc>
      </w:tr>
      <w:tr>
        <w:trPr>
          <w:trHeight w:val="229"/>
        </w:trPr>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Less: Allowance for finance credit losses</w:t>
            </w:r>
          </w:p>
        </w:tc>
        <w:tc>
          <w:tcPr>
            <w:tcW w:w="28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(5,721)</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(21,753)</w:t>
            </w:r>
          </w:p>
        </w:tc>
      </w:tr>
      <w:tr>
        <w:trPr>
          <w:trHeight w:val="210"/>
        </w:trPr>
        <w:tc>
          <w:tcPr>
            <w:tcW w:w="7760" w:type="dxa"/>
            <w:vAlign w:val="bottom"/>
          </w:tcPr>
          <w:p>
            <w:pPr>
              <w:spacing w:after="0"/>
              <w:rPr>
                <w:sz w:val="20"/>
                <w:szCs w:val="20"/>
                <w:color w:val="auto"/>
              </w:rPr>
            </w:pPr>
            <w:r>
              <w:rPr>
                <w:rFonts w:ascii="Arial" w:cs="Arial" w:eastAsia="Arial" w:hAnsi="Arial"/>
                <w:sz w:val="18"/>
                <w:szCs w:val="18"/>
                <w:color w:val="auto"/>
              </w:rPr>
              <w:t>Finance receivables, net</w:t>
            </w: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46,359</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70,551</w:t>
            </w:r>
          </w:p>
        </w:tc>
        <w:tc>
          <w:tcPr>
            <w:tcW w:w="100" w:type="dxa"/>
            <w:vAlign w:val="bottom"/>
          </w:tcPr>
          <w:p>
            <w:pPr>
              <w:spacing w:after="0"/>
              <w:rPr>
                <w:sz w:val="18"/>
                <w:szCs w:val="18"/>
                <w:color w:val="auto"/>
              </w:rPr>
            </w:pPr>
          </w:p>
        </w:tc>
      </w:tr>
      <w:tr>
        <w:trPr>
          <w:trHeight w:val="216"/>
        </w:trPr>
        <w:tc>
          <w:tcPr>
            <w:tcW w:w="7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18"/>
                <w:szCs w:val="18"/>
                <w:color w:val="auto"/>
              </w:rPr>
            </w:pPr>
          </w:p>
        </w:tc>
      </w:tr>
      <w:tr>
        <w:trPr>
          <w:trHeight w:val="216"/>
        </w:trPr>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 net</w:t>
            </w: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7,367</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10,177</w:t>
            </w:r>
          </w:p>
        </w:tc>
        <w:tc>
          <w:tcPr>
            <w:tcW w:w="100" w:type="dxa"/>
            <w:vAlign w:val="bottom"/>
            <w:shd w:val="clear" w:color="auto" w:fill="EEEEEE"/>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25,304</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30,974</w:t>
            </w:r>
          </w:p>
        </w:tc>
        <w:tc>
          <w:tcPr>
            <w:tcW w:w="100" w:type="dxa"/>
            <w:vAlign w:val="bottom"/>
          </w:tcPr>
          <w:p>
            <w:pPr>
              <w:spacing w:after="0"/>
              <w:rPr>
                <w:sz w:val="18"/>
                <w:szCs w:val="18"/>
                <w:color w:val="auto"/>
              </w:rPr>
            </w:pPr>
          </w:p>
        </w:tc>
      </w:tr>
      <w:tr>
        <w:trPr>
          <w:trHeight w:val="237"/>
        </w:trPr>
        <w:tc>
          <w:tcPr>
            <w:tcW w:w="7760" w:type="dxa"/>
            <w:vAlign w:val="bottom"/>
            <w:tcBorders>
              <w:bottom w:val="single" w:sz="8" w:color="EEEEEE"/>
            </w:tcBorders>
            <w:shd w:val="clear" w:color="auto" w:fill="EEEEEE"/>
          </w:tcPr>
          <w:p>
            <w:pPr>
              <w:ind w:left="6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2,853,878</w:t>
            </w:r>
          </w:p>
        </w:tc>
        <w:tc>
          <w:tcPr>
            <w:tcW w:w="220" w:type="dxa"/>
            <w:vAlign w:val="bottom"/>
            <w:tcBorders>
              <w:bottom w:val="single" w:sz="8" w:color="EEEEEE"/>
            </w:tcBorders>
            <w:shd w:val="clear" w:color="auto" w:fill="EEEEEE"/>
          </w:tcPr>
          <w:p>
            <w:pPr>
              <w:spacing w:after="0"/>
              <w:rPr>
                <w:sz w:val="20"/>
                <w:szCs w:val="20"/>
                <w:color w:val="auto"/>
              </w:rPr>
            </w:pPr>
          </w:p>
        </w:tc>
        <w:tc>
          <w:tcPr>
            <w:tcW w:w="180" w:type="dxa"/>
            <w:vAlign w:val="bottom"/>
            <w:tcBorders>
              <w:bottom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2,752,768</w:t>
            </w:r>
          </w:p>
        </w:tc>
        <w:tc>
          <w:tcPr>
            <w:tcW w:w="100" w:type="dxa"/>
            <w:vAlign w:val="bottom"/>
            <w:tcBorders>
              <w:bottom w:val="single" w:sz="8" w:color="EEEEEE"/>
            </w:tcBorders>
            <w:shd w:val="clear" w:color="auto" w:fill="EEEEEE"/>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57,384</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55,421</w:t>
            </w:r>
          </w:p>
        </w:tc>
        <w:tc>
          <w:tcPr>
            <w:tcW w:w="100" w:type="dxa"/>
            <w:vAlign w:val="bottom"/>
            <w:shd w:val="clear" w:color="auto" w:fill="EEEEEE"/>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245,272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285,328</w:t>
            </w:r>
          </w:p>
        </w:tc>
        <w:tc>
          <w:tcPr>
            <w:tcW w:w="100" w:type="dxa"/>
            <w:vAlign w:val="bottom"/>
          </w:tcPr>
          <w:p>
            <w:pPr>
              <w:spacing w:after="0"/>
              <w:rPr>
                <w:sz w:val="18"/>
                <w:szCs w:val="18"/>
                <w:color w:val="auto"/>
              </w:rPr>
            </w:pPr>
          </w:p>
        </w:tc>
      </w:tr>
      <w:tr>
        <w:trPr>
          <w:trHeight w:val="216"/>
        </w:trPr>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49,749</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49,623</w:t>
            </w:r>
          </w:p>
        </w:tc>
        <w:tc>
          <w:tcPr>
            <w:tcW w:w="100" w:type="dxa"/>
            <w:vAlign w:val="bottom"/>
            <w:shd w:val="clear" w:color="auto" w:fill="EEEEEE"/>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Securitization trust debt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2,225,072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2,108,744</w:t>
            </w:r>
          </w:p>
        </w:tc>
        <w:tc>
          <w:tcPr>
            <w:tcW w:w="100" w:type="dxa"/>
            <w:vAlign w:val="bottom"/>
          </w:tcPr>
          <w:p>
            <w:pPr>
              <w:spacing w:after="0"/>
              <w:rPr>
                <w:sz w:val="18"/>
                <w:szCs w:val="18"/>
                <w:color w:val="auto"/>
              </w:rPr>
            </w:pPr>
          </w:p>
        </w:tc>
      </w:tr>
      <w:tr>
        <w:trPr>
          <w:trHeight w:val="230"/>
        </w:trPr>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80" w:type="dxa"/>
            <w:vAlign w:val="bottom"/>
            <w:tcBorders>
              <w:bottom w:val="single" w:sz="8" w:color="auto"/>
            </w:tcBorders>
            <w:shd w:val="clear" w:color="auto" w:fill="EEEEEE"/>
          </w:tcPr>
          <w:p>
            <w:pPr>
              <w:spacing w:after="0"/>
              <w:rPr>
                <w:sz w:val="19"/>
                <w:szCs w:val="19"/>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21,204</w:t>
            </w:r>
          </w:p>
        </w:tc>
        <w:tc>
          <w:tcPr>
            <w:tcW w:w="22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14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25,263</w:t>
            </w:r>
          </w:p>
        </w:tc>
        <w:tc>
          <w:tcPr>
            <w:tcW w:w="100" w:type="dxa"/>
            <w:vAlign w:val="bottom"/>
            <w:shd w:val="clear" w:color="auto" w:fill="EEEEEE"/>
          </w:tcPr>
          <w:p>
            <w:pPr>
              <w:spacing w:after="0"/>
              <w:rPr>
                <w:sz w:val="19"/>
                <w:szCs w:val="19"/>
                <w:color w:val="auto"/>
              </w:rPr>
            </w:pPr>
          </w:p>
        </w:tc>
      </w:tr>
      <w:tr>
        <w:trPr>
          <w:trHeight w:val="210"/>
        </w:trPr>
        <w:tc>
          <w:tcPr>
            <w:tcW w:w="7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2,598,681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2,524,379</w:t>
            </w:r>
          </w:p>
        </w:tc>
        <w:tc>
          <w:tcPr>
            <w:tcW w:w="100" w:type="dxa"/>
            <w:vAlign w:val="bottom"/>
          </w:tcPr>
          <w:p>
            <w:pPr>
              <w:spacing w:after="0"/>
              <w:rPr>
                <w:sz w:val="18"/>
                <w:szCs w:val="18"/>
                <w:color w:val="auto"/>
              </w:rPr>
            </w:pPr>
          </w:p>
        </w:tc>
      </w:tr>
      <w:tr>
        <w:trPr>
          <w:trHeight w:val="216"/>
        </w:trPr>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COMMITMENTS AND CONTINGENCIES</w:t>
            </w: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Preferred stock, $1 par value; authorized 4,998,130 shares; none issued</w:t>
            </w:r>
          </w:p>
        </w:tc>
        <w:tc>
          <w:tcPr>
            <w:tcW w:w="2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Series A preferred stock, $1 par value; authorized 5,000,000 shares; none issued</w:t>
            </w:r>
          </w:p>
        </w:tc>
        <w:tc>
          <w:tcPr>
            <w:tcW w:w="2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Series B preferred stock, $1 par value; authorized 1,870 shares; none issued</w:t>
            </w:r>
          </w:p>
        </w:tc>
        <w:tc>
          <w:tcPr>
            <w:tcW w:w="2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7760" w:type="dxa"/>
            <w:vAlign w:val="bottom"/>
          </w:tcPr>
          <w:p>
            <w:pPr>
              <w:spacing w:after="0" w:line="201" w:lineRule="exact"/>
              <w:rPr>
                <w:sz w:val="20"/>
                <w:szCs w:val="20"/>
                <w:color w:val="auto"/>
              </w:rPr>
            </w:pPr>
            <w:r>
              <w:rPr>
                <w:rFonts w:ascii="Arial" w:cs="Arial" w:eastAsia="Arial" w:hAnsi="Arial"/>
                <w:sz w:val="18"/>
                <w:szCs w:val="18"/>
                <w:color w:val="auto"/>
                <w:w w:val="90"/>
              </w:rPr>
              <w:t>Common stock, no par value; authorized 75,000,000 shares; 21,151,966 and 20,131,323 shares issued and</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760" w:type="dxa"/>
            <w:vAlign w:val="bottom"/>
          </w:tcPr>
          <w:p>
            <w:pPr>
              <w:ind w:left="180"/>
              <w:spacing w:after="0"/>
              <w:rPr>
                <w:sz w:val="20"/>
                <w:szCs w:val="20"/>
                <w:color w:val="auto"/>
              </w:rPr>
            </w:pPr>
            <w:r>
              <w:rPr>
                <w:rFonts w:ascii="Arial" w:cs="Arial" w:eastAsia="Arial" w:hAnsi="Arial"/>
                <w:sz w:val="18"/>
                <w:szCs w:val="18"/>
                <w:color w:val="auto"/>
              </w:rPr>
              <w:t>outstanding at June 30, 2023 and December 31, 2022, respectively</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27,937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28,906</w:t>
            </w:r>
          </w:p>
        </w:tc>
        <w:tc>
          <w:tcPr>
            <w:tcW w:w="100" w:type="dxa"/>
            <w:vAlign w:val="bottom"/>
          </w:tcPr>
          <w:p>
            <w:pPr>
              <w:spacing w:after="0"/>
              <w:rPr>
                <w:sz w:val="20"/>
                <w:szCs w:val="20"/>
                <w:color w:val="auto"/>
              </w:rPr>
            </w:pPr>
          </w:p>
        </w:tc>
      </w:tr>
      <w:tr>
        <w:trPr>
          <w:trHeight w:val="216"/>
        </w:trPr>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230,291</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202,514</w:t>
            </w:r>
          </w:p>
        </w:tc>
        <w:tc>
          <w:tcPr>
            <w:tcW w:w="100" w:type="dxa"/>
            <w:vAlign w:val="bottom"/>
            <w:shd w:val="clear" w:color="auto" w:fill="EEEEEE"/>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(3,031)</w:t>
            </w:r>
          </w:p>
        </w:tc>
        <w:tc>
          <w:tcPr>
            <w:tcW w:w="18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(3,031)</w:t>
            </w:r>
          </w:p>
        </w:tc>
      </w:tr>
      <w:tr>
        <w:trPr>
          <w:trHeight w:val="223"/>
        </w:trPr>
        <w:tc>
          <w:tcPr>
            <w:tcW w:w="7760" w:type="dxa"/>
            <w:vAlign w:val="bottom"/>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spacing w:after="0"/>
              <w:rPr>
                <w:sz w:val="19"/>
                <w:szCs w:val="19"/>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255,197</w:t>
            </w:r>
          </w:p>
        </w:tc>
        <w:tc>
          <w:tcPr>
            <w:tcW w:w="220" w:type="dxa"/>
            <w:vAlign w:val="bottom"/>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spacing w:after="0"/>
              <w:rPr>
                <w:sz w:val="19"/>
                <w:szCs w:val="19"/>
                <w:color w:val="auto"/>
              </w:rPr>
            </w:pP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228,389</w:t>
            </w:r>
          </w:p>
        </w:tc>
        <w:tc>
          <w:tcPr>
            <w:tcW w:w="100" w:type="dxa"/>
            <w:vAlign w:val="bottom"/>
            <w:shd w:val="clear" w:color="auto" w:fill="EEEEEE"/>
          </w:tcPr>
          <w:p>
            <w:pPr>
              <w:spacing w:after="0"/>
              <w:rPr>
                <w:sz w:val="19"/>
                <w:szCs w:val="19"/>
                <w:color w:val="auto"/>
              </w:rPr>
            </w:pPr>
          </w:p>
        </w:tc>
      </w:tr>
      <w:tr>
        <w:trPr>
          <w:trHeight w:val="210"/>
        </w:trPr>
        <w:tc>
          <w:tcPr>
            <w:tcW w:w="7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760" w:type="dxa"/>
            <w:vAlign w:val="bottom"/>
            <w:tcBorders>
              <w:bottom w:val="single" w:sz="8" w:color="EEEEEE"/>
            </w:tcBorders>
            <w:shd w:val="clear" w:color="auto" w:fill="EEEEEE"/>
          </w:tcPr>
          <w:p>
            <w:pPr>
              <w:spacing w:after="0"/>
              <w:rPr>
                <w:sz w:val="21"/>
                <w:szCs w:val="21"/>
                <w:color w:val="auto"/>
              </w:rPr>
            </w:pPr>
          </w:p>
        </w:tc>
        <w:tc>
          <w:tcPr>
            <w:tcW w:w="280" w:type="dxa"/>
            <w:vAlign w:val="bottom"/>
            <w:tcBorders>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2,853,878</w:t>
            </w:r>
          </w:p>
        </w:tc>
        <w:tc>
          <w:tcPr>
            <w:tcW w:w="220" w:type="dxa"/>
            <w:vAlign w:val="bottom"/>
            <w:tcBorders>
              <w:bottom w:val="single" w:sz="8" w:color="EEEEEE"/>
            </w:tcBorders>
            <w:shd w:val="clear" w:color="auto" w:fill="EEEEEE"/>
          </w:tcPr>
          <w:p>
            <w:pPr>
              <w:spacing w:after="0"/>
              <w:rPr>
                <w:sz w:val="21"/>
                <w:szCs w:val="21"/>
                <w:color w:val="auto"/>
              </w:rPr>
            </w:pPr>
          </w:p>
        </w:tc>
        <w:tc>
          <w:tcPr>
            <w:tcW w:w="180" w:type="dxa"/>
            <w:vAlign w:val="bottom"/>
            <w:tcBorders>
              <w:bottom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2,752,768</w:t>
            </w:r>
          </w:p>
        </w:tc>
        <w:tc>
          <w:tcPr>
            <w:tcW w:w="100" w:type="dxa"/>
            <w:vAlign w:val="bottom"/>
            <w:tcBorders>
              <w:bottom w:val="single" w:sz="8" w:color="EEEEEE"/>
            </w:tcBorders>
            <w:shd w:val="clear" w:color="auto" w:fill="EEEEEE"/>
          </w:tcPr>
          <w:p>
            <w:pPr>
              <w:spacing w:after="0"/>
              <w:rPr>
                <w:sz w:val="21"/>
                <w:szCs w:val="21"/>
                <w:color w:val="auto"/>
              </w:rPr>
            </w:pPr>
          </w:p>
        </w:tc>
      </w:tr>
      <w:tr>
        <w:trPr>
          <w:trHeight w:val="20"/>
        </w:trPr>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jc w:val="center"/>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OPERATIONS (In thousands, except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4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9"/>
                <w:szCs w:val="19"/>
                <w:color w:val="auto"/>
              </w:rPr>
            </w:pPr>
          </w:p>
        </w:tc>
        <w:tc>
          <w:tcPr>
            <w:tcW w:w="274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6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82,637</w:t>
            </w:r>
          </w:p>
        </w:tc>
        <w:tc>
          <w:tcPr>
            <w:tcW w:w="420" w:type="dxa"/>
            <w:vAlign w:val="bottom"/>
            <w:gridSpan w:val="2"/>
            <w:shd w:val="clear" w:color="auto" w:fill="EEEEEE"/>
          </w:tcPr>
          <w:p>
            <w:pPr>
              <w:jc w:val="right"/>
              <w:ind w:right="187"/>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75,670</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162,699</w:t>
            </w:r>
          </w:p>
        </w:tc>
        <w:tc>
          <w:tcPr>
            <w:tcW w:w="440" w:type="dxa"/>
            <w:vAlign w:val="bottom"/>
            <w:gridSpan w:val="2"/>
            <w:shd w:val="clear" w:color="auto" w:fill="EEEEEE"/>
          </w:tcPr>
          <w:p>
            <w:pPr>
              <w:jc w:val="right"/>
              <w:ind w:right="207"/>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145,730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Mark to finance receivables measured at fair value</w:t>
            </w: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4,700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2,221</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1,648</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5,259</w:t>
            </w:r>
          </w:p>
        </w:tc>
        <w:tc>
          <w:tcPr>
            <w:tcW w:w="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3,554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shd w:val="clear" w:color="auto" w:fill="EEEEEE"/>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84,858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82,018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167,958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6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Employee costs</w:t>
            </w: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21,147</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20,591</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43,180</w:t>
            </w:r>
          </w:p>
        </w:tc>
        <w:tc>
          <w:tcPr>
            <w:tcW w:w="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42,743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11,783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8,280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23,180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35,706</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18,771</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68,465</w:t>
            </w:r>
          </w:p>
        </w:tc>
        <w:tc>
          <w:tcPr>
            <w:tcW w:w="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35,171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3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(9,700)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(8,000)</w:t>
            </w:r>
          </w:p>
        </w:tc>
        <w:tc>
          <w:tcPr>
            <w:tcW w:w="3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(18,700)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(17,400)</w:t>
            </w:r>
          </w:p>
        </w:tc>
        <w:tc>
          <w:tcPr>
            <w:tcW w:w="0" w:type="dxa"/>
            <w:vAlign w:val="bottom"/>
          </w:tcPr>
          <w:p>
            <w:pPr>
              <w:spacing w:after="0"/>
              <w:rPr>
                <w:sz w:val="1"/>
                <w:szCs w:val="1"/>
                <w:color w:val="auto"/>
              </w:rPr>
            </w:pPr>
          </w:p>
        </w:tc>
      </w:tr>
      <w:tr>
        <w:trPr>
          <w:trHeight w:val="216"/>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Sales</w:t>
            </w: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5,463</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5,838</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11,186</w:t>
            </w:r>
          </w:p>
        </w:tc>
        <w:tc>
          <w:tcPr>
            <w:tcW w:w="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11,224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1,644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3,170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211</w:t>
            </w:r>
          </w:p>
        </w:tc>
        <w:tc>
          <w:tcPr>
            <w:tcW w:w="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385</w:t>
            </w: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442</w:t>
            </w:r>
          </w:p>
        </w:tc>
        <w:tc>
          <w:tcPr>
            <w:tcW w:w="8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6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66,254</w:t>
            </w:r>
          </w:p>
        </w:tc>
        <w:tc>
          <w:tcPr>
            <w:tcW w:w="16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47,802</w:t>
            </w:r>
          </w:p>
        </w:tc>
        <w:tc>
          <w:tcPr>
            <w:tcW w:w="2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130,923</w:t>
            </w:r>
          </w:p>
        </w:tc>
        <w:tc>
          <w:tcPr>
            <w:tcW w:w="14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92,840</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 expense</w:t>
            </w: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18,604</w:t>
            </w: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34,216</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37,035</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63,544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4,650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8,896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9,258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13,954</w:t>
            </w:r>
          </w:p>
        </w:tc>
        <w:tc>
          <w:tcPr>
            <w:tcW w:w="160" w:type="dxa"/>
            <w:vAlign w:val="bottom"/>
            <w:tcBorders>
              <w:top w:val="single" w:sz="8" w:color="EEEEEE"/>
              <w:bottom w:val="single" w:sz="8" w:color="EEEEEE"/>
            </w:tcBorders>
            <w:shd w:val="clear" w:color="auto" w:fill="EEEEEE"/>
          </w:tcPr>
          <w:p>
            <w:pPr>
              <w:spacing w:after="0"/>
              <w:rPr>
                <w:sz w:val="22"/>
                <w:szCs w:val="22"/>
                <w:color w:val="auto"/>
              </w:rPr>
            </w:pPr>
          </w:p>
        </w:tc>
        <w:tc>
          <w:tcPr>
            <w:tcW w:w="80" w:type="dxa"/>
            <w:vAlign w:val="bottom"/>
            <w:tcBorders>
              <w:top w:val="single" w:sz="8" w:color="EEEEEE"/>
              <w:bottom w:val="single" w:sz="8" w:color="EEEEEE"/>
            </w:tcBorders>
            <w:shd w:val="clear" w:color="auto" w:fill="EEEEEE"/>
          </w:tcPr>
          <w:p>
            <w:pPr>
              <w:spacing w:after="0"/>
              <w:rPr>
                <w:sz w:val="22"/>
                <w:szCs w:val="22"/>
                <w:color w:val="auto"/>
              </w:rPr>
            </w:pPr>
          </w:p>
        </w:tc>
        <w:tc>
          <w:tcPr>
            <w:tcW w:w="340" w:type="dxa"/>
            <w:vAlign w:val="bottom"/>
            <w:tcBorders>
              <w:top w:val="single" w:sz="8" w:color="auto"/>
              <w:bottom w:val="single" w:sz="8" w:color="auto"/>
            </w:tcBorders>
            <w:shd w:val="clear" w:color="auto" w:fill="EEEEEE"/>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25,320</w:t>
            </w:r>
          </w:p>
        </w:tc>
        <w:tc>
          <w:tcPr>
            <w:tcW w:w="220" w:type="dxa"/>
            <w:vAlign w:val="bottom"/>
            <w:tcBorders>
              <w:top w:val="single" w:sz="8" w:color="EEEEEE"/>
              <w:bottom w:val="single" w:sz="8" w:color="EEEEEE"/>
            </w:tcBorders>
            <w:shd w:val="clear" w:color="auto" w:fill="EEEEEE"/>
          </w:tcPr>
          <w:p>
            <w:pPr>
              <w:spacing w:after="0"/>
              <w:rPr>
                <w:sz w:val="22"/>
                <w:szCs w:val="22"/>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27,777</w:t>
            </w:r>
          </w:p>
        </w:tc>
        <w:tc>
          <w:tcPr>
            <w:tcW w:w="140" w:type="dxa"/>
            <w:vAlign w:val="bottom"/>
            <w:tcBorders>
              <w:top w:val="single" w:sz="8" w:color="EEEEEE"/>
              <w:bottom w:val="single" w:sz="8" w:color="EEEEEE"/>
            </w:tcBorders>
            <w:shd w:val="clear" w:color="auto" w:fill="EEEEEE"/>
          </w:tcPr>
          <w:p>
            <w:pPr>
              <w:spacing w:after="0"/>
              <w:rPr>
                <w:sz w:val="22"/>
                <w:szCs w:val="22"/>
                <w:color w:val="auto"/>
              </w:rPr>
            </w:pPr>
          </w:p>
        </w:tc>
        <w:tc>
          <w:tcPr>
            <w:tcW w:w="80" w:type="dxa"/>
            <w:vAlign w:val="bottom"/>
            <w:tcBorders>
              <w:top w:val="single" w:sz="8" w:color="EEEEEE"/>
              <w:bottom w:val="single" w:sz="8" w:color="EEEEEE"/>
            </w:tcBorders>
            <w:shd w:val="clear" w:color="auto" w:fill="EEEEEE"/>
          </w:tcPr>
          <w:p>
            <w:pPr>
              <w:spacing w:after="0"/>
              <w:rPr>
                <w:sz w:val="22"/>
                <w:szCs w:val="22"/>
                <w:color w:val="auto"/>
              </w:rPr>
            </w:pPr>
          </w:p>
        </w:tc>
        <w:tc>
          <w:tcPr>
            <w:tcW w:w="360" w:type="dxa"/>
            <w:vAlign w:val="bottom"/>
            <w:tcBorders>
              <w:top w:val="single" w:sz="8" w:color="auto"/>
              <w:bottom w:val="single" w:sz="8" w:color="auto"/>
            </w:tcBorders>
            <w:shd w:val="clear" w:color="auto" w:fill="EEEEEE"/>
          </w:tcPr>
          <w:p>
            <w:pPr>
              <w:jc w:val="right"/>
              <w:ind w:right="2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46,435</w:t>
            </w:r>
          </w:p>
        </w:tc>
        <w:tc>
          <w:tcPr>
            <w:tcW w:w="100" w:type="dxa"/>
            <w:vAlign w:val="bottom"/>
            <w:tcBorders>
              <w:top w:val="single" w:sz="8" w:color="EEEEEE"/>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0.67</w:t>
            </w:r>
          </w:p>
        </w:tc>
        <w:tc>
          <w:tcPr>
            <w:tcW w:w="42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4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0.55</w:t>
            </w:r>
          </w:p>
        </w:tc>
        <w:tc>
          <w:tcPr>
            <w:tcW w:w="420" w:type="dxa"/>
            <w:vAlign w:val="bottom"/>
            <w:gridSpan w:val="2"/>
            <w:shd w:val="clear" w:color="auto" w:fill="EEEEEE"/>
          </w:tcPr>
          <w:p>
            <w:pPr>
              <w:jc w:val="right"/>
              <w:ind w:right="187"/>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0.91</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1.09</w:t>
            </w:r>
          </w:p>
        </w:tc>
        <w:tc>
          <w:tcPr>
            <w:tcW w:w="440" w:type="dxa"/>
            <w:vAlign w:val="bottom"/>
            <w:gridSpan w:val="2"/>
            <w:shd w:val="clear" w:color="auto" w:fill="EEEEEE"/>
          </w:tcPr>
          <w:p>
            <w:pPr>
              <w:jc w:val="right"/>
              <w:ind w:right="207"/>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Number of shares used in computing earnings per share:</w:t>
            </w: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20,866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21,370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20,643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25,373</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27,687</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25,384</w:t>
            </w:r>
          </w:p>
        </w:tc>
        <w:tc>
          <w:tcPr>
            <w:tcW w:w="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27,943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line="275"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COMPREHENSIVE INCOME (In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24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40" w:type="dxa"/>
            <w:vAlign w:val="bottom"/>
            <w:gridSpan w:val="6"/>
          </w:tcPr>
          <w:p>
            <w:pPr>
              <w:ind w:left="46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0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8"/>
                <w:szCs w:val="18"/>
                <w:b w:val="1"/>
                <w:bCs w:val="1"/>
                <w:color w:val="auto"/>
              </w:rPr>
              <w:t>June 30,</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09"/>
        </w:trPr>
        <w:tc>
          <w:tcPr>
            <w:tcW w:w="50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EEEEEE"/>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7"/>
              </w:rPr>
              <w:t>13,954</w:t>
            </w:r>
          </w:p>
        </w:tc>
        <w:tc>
          <w:tcPr>
            <w:tcW w:w="1060" w:type="dxa"/>
            <w:vAlign w:val="bottom"/>
            <w:gridSpan w:val="2"/>
            <w:shd w:val="clear" w:color="auto" w:fill="EEEEEE"/>
          </w:tcPr>
          <w:p>
            <w:pPr>
              <w:jc w:val="right"/>
              <w:ind w:right="76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25,320</w:t>
            </w:r>
          </w:p>
        </w:tc>
        <w:tc>
          <w:tcPr>
            <w:tcW w:w="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27,777</w:t>
            </w:r>
          </w:p>
        </w:tc>
        <w:tc>
          <w:tcPr>
            <w:tcW w:w="4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46,435</w:t>
            </w:r>
          </w:p>
        </w:tc>
        <w:tc>
          <w:tcPr>
            <w:tcW w:w="100" w:type="dxa"/>
            <w:vAlign w:val="bottom"/>
            <w:shd w:val="clear" w:color="auto" w:fill="EEEEEE"/>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0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9"/>
              </w:rPr>
              <w:t>Other comprehensive income/(loss); change in funded status of</w:t>
            </w:r>
          </w:p>
        </w:tc>
        <w:tc>
          <w:tcPr>
            <w:tcW w:w="860" w:type="dxa"/>
            <w:vAlign w:val="bottom"/>
            <w:shd w:val="clear" w:color="auto" w:fill="EEEEEE"/>
          </w:tcPr>
          <w:p>
            <w:pPr>
              <w:spacing w:after="0"/>
              <w:rPr>
                <w:sz w:val="17"/>
                <w:szCs w:val="17"/>
                <w:color w:val="auto"/>
              </w:rPr>
            </w:pPr>
          </w:p>
        </w:tc>
        <w:tc>
          <w:tcPr>
            <w:tcW w:w="500" w:type="dxa"/>
            <w:vAlign w:val="bottom"/>
            <w:tcBorders>
              <w:right w:val="single" w:sz="8" w:color="EEEEEE"/>
            </w:tcBorders>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0"/>
        </w:trPr>
        <w:tc>
          <w:tcPr>
            <w:tcW w:w="50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pension plan</w:t>
            </w:r>
          </w:p>
        </w:tc>
        <w:tc>
          <w:tcPr>
            <w:tcW w:w="860" w:type="dxa"/>
            <w:vAlign w:val="bottom"/>
            <w:shd w:val="clear" w:color="auto" w:fill="EEEEEE"/>
          </w:tcPr>
          <w:p>
            <w:pPr>
              <w:spacing w:after="0"/>
              <w:rPr>
                <w:sz w:val="20"/>
                <w:szCs w:val="20"/>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060" w:type="dxa"/>
            <w:vAlign w:val="bottom"/>
            <w:shd w:val="clear" w:color="auto" w:fill="EEEEEE"/>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tcBorders>
              <w:right w:val="single" w:sz="8" w:color="EEEEEE"/>
            </w:tcBorders>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r>
      <w:tr>
        <w:trPr>
          <w:trHeight w:val="237"/>
        </w:trPr>
        <w:tc>
          <w:tcPr>
            <w:tcW w:w="5060" w:type="dxa"/>
            <w:vAlign w:val="bottom"/>
          </w:tcPr>
          <w:p>
            <w:pPr>
              <w:spacing w:after="0"/>
              <w:rPr>
                <w:sz w:val="20"/>
                <w:szCs w:val="20"/>
                <w:color w:val="auto"/>
              </w:rPr>
            </w:pPr>
            <w:r>
              <w:rPr>
                <w:rFonts w:ascii="Arial" w:cs="Arial" w:eastAsia="Arial" w:hAnsi="Arial"/>
                <w:sz w:val="18"/>
                <w:szCs w:val="18"/>
                <w:color w:val="auto"/>
              </w:rPr>
              <w:t>Comprehensive income</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13,954</w:t>
            </w:r>
          </w:p>
        </w:tc>
        <w:tc>
          <w:tcPr>
            <w:tcW w:w="10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25,320</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27,777</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46,435</w:t>
            </w:r>
          </w:p>
        </w:tc>
        <w:tc>
          <w:tcPr>
            <w:tcW w:w="100" w:type="dxa"/>
            <w:vAlign w:val="bottom"/>
          </w:tcPr>
          <w:p>
            <w:pPr>
              <w:spacing w:after="0"/>
              <w:rPr>
                <w:sz w:val="20"/>
                <w:szCs w:val="20"/>
                <w:color w:val="auto"/>
              </w:rPr>
            </w:pPr>
          </w:p>
        </w:tc>
      </w:tr>
      <w:tr>
        <w:trPr>
          <w:trHeight w:val="20"/>
        </w:trPr>
        <w:tc>
          <w:tcPr>
            <w:tcW w:w="50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CASH FLOWS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7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327"/>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76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EEEEEE"/>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2022</w:t>
            </w:r>
          </w:p>
        </w:tc>
        <w:tc>
          <w:tcPr>
            <w:tcW w:w="100" w:type="dxa"/>
            <w:vAlign w:val="bottom"/>
            <w:tcBorders>
              <w:bottom w:val="single" w:sz="8" w:color="EEEEEE"/>
            </w:tcBorders>
          </w:tcPr>
          <w:p>
            <w:pPr>
              <w:spacing w:after="0"/>
              <w:rPr>
                <w:sz w:val="19"/>
                <w:szCs w:val="19"/>
                <w:color w:val="auto"/>
              </w:rPr>
            </w:pPr>
          </w:p>
        </w:tc>
      </w:tr>
      <w:tr>
        <w:trPr>
          <w:trHeight w:val="209"/>
        </w:trPr>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27,777</w:t>
            </w:r>
          </w:p>
        </w:tc>
        <w:tc>
          <w:tcPr>
            <w:tcW w:w="220" w:type="dxa"/>
            <w:vAlign w:val="bottom"/>
          </w:tcPr>
          <w:p>
            <w:pPr>
              <w:spacing w:after="0"/>
              <w:rPr>
                <w:sz w:val="18"/>
                <w:szCs w:val="18"/>
                <w:color w:val="auto"/>
              </w:rPr>
            </w:pPr>
          </w:p>
        </w:tc>
        <w:tc>
          <w:tcPr>
            <w:tcW w:w="600" w:type="dxa"/>
            <w:vAlign w:val="bottom"/>
          </w:tcPr>
          <w:p>
            <w:pPr>
              <w:jc w:val="right"/>
              <w:ind w:right="44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46,435</w:t>
            </w:r>
          </w:p>
        </w:tc>
        <w:tc>
          <w:tcPr>
            <w:tcW w:w="100" w:type="dxa"/>
            <w:vAlign w:val="bottom"/>
          </w:tcPr>
          <w:p>
            <w:pPr>
              <w:spacing w:after="0"/>
              <w:rPr>
                <w:sz w:val="18"/>
                <w:szCs w:val="18"/>
                <w:color w:val="auto"/>
              </w:rPr>
            </w:pPr>
          </w:p>
        </w:tc>
      </w:tr>
      <w:tr>
        <w:trPr>
          <w:trHeight w:val="216"/>
        </w:trPr>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Net interest income accretion on fair value receivables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94,305</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60,766</w:t>
            </w:r>
          </w:p>
        </w:tc>
        <w:tc>
          <w:tcPr>
            <w:tcW w:w="100" w:type="dxa"/>
            <w:vAlign w:val="bottom"/>
          </w:tcPr>
          <w:p>
            <w:pPr>
              <w:spacing w:after="0"/>
              <w:rPr>
                <w:sz w:val="18"/>
                <w:szCs w:val="18"/>
                <w:color w:val="auto"/>
              </w:rPr>
            </w:pPr>
          </w:p>
        </w:tc>
      </w:tr>
      <w:tr>
        <w:trPr>
          <w:trHeight w:val="216"/>
        </w:trPr>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442</w:t>
            </w: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EEEEEE"/>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4,800</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3,628</w:t>
            </w:r>
          </w:p>
        </w:tc>
        <w:tc>
          <w:tcPr>
            <w:tcW w:w="100" w:type="dxa"/>
            <w:vAlign w:val="bottom"/>
          </w:tcPr>
          <w:p>
            <w:pPr>
              <w:spacing w:after="0"/>
              <w:rPr>
                <w:sz w:val="18"/>
                <w:szCs w:val="18"/>
                <w:color w:val="auto"/>
              </w:rPr>
            </w:pPr>
          </w:p>
        </w:tc>
      </w:tr>
      <w:tr>
        <w:trPr>
          <w:trHeight w:val="216"/>
        </w:trPr>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Mark to finance receivables measured at fair value</w:t>
            </w:r>
          </w:p>
        </w:tc>
        <w:tc>
          <w:tcPr>
            <w:tcW w:w="3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(7,100)</w:t>
            </w: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Provision for credit losses</w:t>
            </w:r>
          </w:p>
        </w:tc>
        <w:tc>
          <w:tcPr>
            <w:tcW w:w="340" w:type="dxa"/>
            <w:vAlign w:val="bottom"/>
          </w:tcPr>
          <w:p>
            <w:pPr>
              <w:spacing w:after="0"/>
              <w:rPr>
                <w:sz w:val="18"/>
                <w:szCs w:val="18"/>
                <w:color w:val="auto"/>
              </w:rPr>
            </w:pPr>
          </w:p>
        </w:tc>
        <w:tc>
          <w:tcPr>
            <w:tcW w:w="1460" w:type="dxa"/>
            <w:vAlign w:val="bottom"/>
            <w:gridSpan w:val="2"/>
          </w:tcPr>
          <w:p>
            <w:pPr>
              <w:jc w:val="right"/>
              <w:ind w:right="81"/>
              <w:spacing w:after="0"/>
              <w:rPr>
                <w:sz w:val="20"/>
                <w:szCs w:val="20"/>
                <w:color w:val="auto"/>
              </w:rPr>
            </w:pPr>
            <w:r>
              <w:rPr>
                <w:rFonts w:ascii="Arial" w:cs="Arial" w:eastAsia="Arial" w:hAnsi="Arial"/>
                <w:sz w:val="18"/>
                <w:szCs w:val="18"/>
                <w:color w:val="auto"/>
              </w:rPr>
              <w:t>(18,700)</w:t>
            </w:r>
          </w:p>
        </w:tc>
        <w:tc>
          <w:tcPr>
            <w:tcW w:w="60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(17,400)</w:t>
            </w:r>
          </w:p>
        </w:tc>
      </w:tr>
      <w:tr>
        <w:trPr>
          <w:trHeight w:val="216"/>
        </w:trPr>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1,817</w:t>
            </w: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1,518</w:t>
            </w:r>
          </w:p>
        </w:tc>
        <w:tc>
          <w:tcPr>
            <w:tcW w:w="100" w:type="dxa"/>
            <w:vAlign w:val="bottom"/>
            <w:shd w:val="clear" w:color="auto" w:fill="EEEEEE"/>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Deferred tax assets, net</w:t>
            </w: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2,810</w:t>
            </w: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2,052</w:t>
            </w:r>
          </w:p>
        </w:tc>
        <w:tc>
          <w:tcPr>
            <w:tcW w:w="100" w:type="dxa"/>
            <w:vAlign w:val="bottom"/>
            <w:shd w:val="clear" w:color="auto" w:fill="EEEEEE"/>
          </w:tcPr>
          <w:p>
            <w:pPr>
              <w:spacing w:after="0"/>
              <w:rPr>
                <w:sz w:val="18"/>
                <w:szCs w:val="18"/>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5,447</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10,202</w:t>
            </w: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EEEEEE"/>
            </w:tcBorders>
            <w:shd w:val="clear" w:color="auto" w:fill="EEEEEE"/>
          </w:tcPr>
          <w:p>
            <w:pPr>
              <w:ind w:left="36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Borders>
              <w:bottom w:val="single" w:sz="8" w:color="auto"/>
            </w:tcBorders>
            <w:shd w:val="clear" w:color="auto" w:fill="EEEEEE"/>
          </w:tcPr>
          <w:p>
            <w:pPr>
              <w:spacing w:after="0"/>
              <w:rPr>
                <w:sz w:val="18"/>
                <w:szCs w:val="18"/>
                <w:color w:val="auto"/>
              </w:rPr>
            </w:pPr>
          </w:p>
        </w:tc>
        <w:tc>
          <w:tcPr>
            <w:tcW w:w="12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1,963</w:t>
            </w:r>
          </w:p>
        </w:tc>
        <w:tc>
          <w:tcPr>
            <w:tcW w:w="220" w:type="dxa"/>
            <w:vAlign w:val="bottom"/>
            <w:tcBorders>
              <w:bottom w:val="single" w:sz="8" w:color="EEEEEE"/>
            </w:tcBorders>
            <w:shd w:val="clear" w:color="auto" w:fill="EEEEEE"/>
          </w:tcPr>
          <w:p>
            <w:pPr>
              <w:spacing w:after="0"/>
              <w:rPr>
                <w:sz w:val="18"/>
                <w:szCs w:val="18"/>
                <w:color w:val="auto"/>
              </w:rPr>
            </w:pPr>
          </w:p>
        </w:tc>
        <w:tc>
          <w:tcPr>
            <w:tcW w:w="600" w:type="dxa"/>
            <w:vAlign w:val="bottom"/>
            <w:tcBorders>
              <w:bottom w:val="single" w:sz="8" w:color="auto"/>
            </w:tcBorders>
            <w:shd w:val="clear" w:color="auto" w:fill="EEEEEE"/>
          </w:tcPr>
          <w:p>
            <w:pPr>
              <w:spacing w:after="0"/>
              <w:rPr>
                <w:sz w:val="18"/>
                <w:szCs w:val="18"/>
                <w:color w:val="auto"/>
              </w:rPr>
            </w:pPr>
          </w:p>
        </w:tc>
        <w:tc>
          <w:tcPr>
            <w:tcW w:w="9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18,767</w:t>
            </w:r>
          </w:p>
        </w:tc>
        <w:tc>
          <w:tcPr>
            <w:tcW w:w="100" w:type="dxa"/>
            <w:vAlign w:val="bottom"/>
            <w:tcBorders>
              <w:bottom w:val="single" w:sz="8" w:color="EEEEEE"/>
            </w:tcBorders>
            <w:shd w:val="clear" w:color="auto" w:fill="EEEEEE"/>
          </w:tcPr>
          <w:p>
            <w:pPr>
              <w:spacing w:after="0"/>
              <w:rPr>
                <w:sz w:val="18"/>
                <w:szCs w:val="18"/>
                <w:color w:val="auto"/>
              </w:rPr>
            </w:pPr>
          </w:p>
        </w:tc>
      </w:tr>
      <w:tr>
        <w:trPr>
          <w:trHeight w:val="223"/>
        </w:trPr>
        <w:tc>
          <w:tcPr>
            <w:tcW w:w="7760" w:type="dxa"/>
            <w:vAlign w:val="bottom"/>
            <w:tcBorders>
              <w:bottom w:val="single" w:sz="8" w:color="EEEEEE"/>
            </w:tcBorders>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120,661</w:t>
            </w:r>
          </w:p>
        </w:tc>
        <w:tc>
          <w:tcPr>
            <w:tcW w:w="220" w:type="dxa"/>
            <w:vAlign w:val="bottom"/>
            <w:tcBorders>
              <w:bottom w:val="single" w:sz="8" w:color="EEEEEE"/>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119,670</w:t>
            </w:r>
          </w:p>
        </w:tc>
        <w:tc>
          <w:tcPr>
            <w:tcW w:w="100" w:type="dxa"/>
            <w:vAlign w:val="bottom"/>
            <w:tcBorders>
              <w:bottom w:val="single" w:sz="8" w:color="EEEEEE"/>
            </w:tcBorders>
          </w:tcPr>
          <w:p>
            <w:pPr>
              <w:spacing w:after="0"/>
              <w:rPr>
                <w:sz w:val="19"/>
                <w:szCs w:val="19"/>
                <w:color w:val="auto"/>
              </w:rPr>
            </w:pPr>
          </w:p>
        </w:tc>
      </w:tr>
      <w:tr>
        <w:trPr>
          <w:trHeight w:val="210"/>
        </w:trPr>
        <w:tc>
          <w:tcPr>
            <w:tcW w:w="77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received on finance receivables held for investment</w:t>
            </w: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42,892</w:t>
            </w: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80,246</w:t>
            </w:r>
          </w:p>
        </w:tc>
        <w:tc>
          <w:tcPr>
            <w:tcW w:w="100" w:type="dxa"/>
            <w:vAlign w:val="bottom"/>
            <w:shd w:val="clear" w:color="auto" w:fill="EEEEEE"/>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Purchases of finance receivables measured at fair value</w:t>
            </w:r>
          </w:p>
        </w:tc>
        <w:tc>
          <w:tcPr>
            <w:tcW w:w="340" w:type="dxa"/>
            <w:vAlign w:val="bottom"/>
          </w:tcPr>
          <w:p>
            <w:pPr>
              <w:spacing w:after="0"/>
              <w:rPr>
                <w:sz w:val="18"/>
                <w:szCs w:val="18"/>
                <w:color w:val="auto"/>
              </w:rPr>
            </w:pPr>
          </w:p>
        </w:tc>
        <w:tc>
          <w:tcPr>
            <w:tcW w:w="1460" w:type="dxa"/>
            <w:vAlign w:val="bottom"/>
            <w:gridSpan w:val="2"/>
          </w:tcPr>
          <w:p>
            <w:pPr>
              <w:jc w:val="right"/>
              <w:ind w:right="81"/>
              <w:spacing w:after="0"/>
              <w:rPr>
                <w:sz w:val="20"/>
                <w:szCs w:val="20"/>
                <w:color w:val="auto"/>
              </w:rPr>
            </w:pPr>
            <w:r>
              <w:rPr>
                <w:rFonts w:ascii="Arial" w:cs="Arial" w:eastAsia="Arial" w:hAnsi="Arial"/>
                <w:sz w:val="18"/>
                <w:szCs w:val="18"/>
                <w:color w:val="auto"/>
              </w:rPr>
              <w:t>(658,048)</w:t>
            </w:r>
          </w:p>
        </w:tc>
        <w:tc>
          <w:tcPr>
            <w:tcW w:w="60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(904,475)</w:t>
            </w:r>
          </w:p>
        </w:tc>
      </w:tr>
      <w:tr>
        <w:trPr>
          <w:trHeight w:val="216"/>
        </w:trPr>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received on finance receivables at fair value</w:t>
            </w: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421,940</w:t>
            </w: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425,774</w:t>
            </w:r>
          </w:p>
        </w:tc>
        <w:tc>
          <w:tcPr>
            <w:tcW w:w="100" w:type="dxa"/>
            <w:vAlign w:val="bottom"/>
            <w:shd w:val="clear" w:color="auto" w:fill="EEEEEE"/>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Change in repossessions held in inventory</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18"/>
                <w:szCs w:val="18"/>
                <w:color w:val="auto"/>
              </w:rPr>
            </w:pPr>
          </w:p>
        </w:tc>
      </w:tr>
      <w:tr>
        <w:trPr>
          <w:trHeight w:val="230"/>
        </w:trPr>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 of furniture and equipment</w:t>
            </w:r>
          </w:p>
        </w:tc>
        <w:tc>
          <w:tcPr>
            <w:tcW w:w="34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(66)</w:t>
            </w:r>
          </w:p>
        </w:tc>
        <w:tc>
          <w:tcPr>
            <w:tcW w:w="6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(1,028)</w:t>
            </w:r>
          </w:p>
        </w:tc>
      </w:tr>
      <w:tr>
        <w:trPr>
          <w:trHeight w:val="210"/>
        </w:trPr>
        <w:tc>
          <w:tcPr>
            <w:tcW w:w="7760" w:type="dxa"/>
            <w:vAlign w:val="bottom"/>
            <w:tcBorders>
              <w:bottom w:val="single" w:sz="8" w:color="EEEEEE"/>
            </w:tcBorders>
          </w:tcPr>
          <w:p>
            <w:pPr>
              <w:ind w:left="5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(193,059</w:t>
            </w:r>
          </w:p>
        </w:tc>
        <w:tc>
          <w:tcPr>
            <w:tcW w:w="220" w:type="dxa"/>
            <w:vAlign w:val="bottom"/>
            <w:tcBorders>
              <w:bottom w:val="single" w:sz="8" w:color="EEEEEE"/>
            </w:tcBorders>
          </w:tcPr>
          <w:p>
            <w:pPr>
              <w:jc w:val="right"/>
              <w:ind w:right="81"/>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(398,396</w:t>
            </w:r>
          </w:p>
        </w:tc>
        <w:tc>
          <w:tcPr>
            <w:tcW w:w="100" w:type="dxa"/>
            <w:vAlign w:val="bottom"/>
            <w:tcBorders>
              <w:bottom w:val="single" w:sz="8" w:color="EEEEEE"/>
            </w:tcBorders>
          </w:tcPr>
          <w:p>
            <w:pPr>
              <w:jc w:val="right"/>
              <w:ind w:right="21"/>
              <w:spacing w:after="0"/>
              <w:rPr>
                <w:sz w:val="20"/>
                <w:szCs w:val="20"/>
                <w:color w:val="auto"/>
              </w:rPr>
            </w:pPr>
            <w:r>
              <w:rPr>
                <w:rFonts w:ascii="Arial" w:cs="Arial" w:eastAsia="Arial" w:hAnsi="Arial"/>
                <w:sz w:val="8"/>
                <w:szCs w:val="8"/>
                <w:color w:val="auto"/>
                <w:w w:val="73"/>
              </w:rPr>
              <w:t>)</w:t>
            </w:r>
          </w:p>
        </w:tc>
      </w:tr>
      <w:tr>
        <w:trPr>
          <w:trHeight w:val="210"/>
        </w:trPr>
        <w:tc>
          <w:tcPr>
            <w:tcW w:w="77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issuance of securitization trust debt</w:t>
            </w: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657,653</w:t>
            </w: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712,400</w:t>
            </w:r>
          </w:p>
        </w:tc>
        <w:tc>
          <w:tcPr>
            <w:tcW w:w="100" w:type="dxa"/>
            <w:vAlign w:val="bottom"/>
            <w:shd w:val="clear" w:color="auto" w:fill="EEEEEE"/>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Proceeds from issuance of subordinated renewable notes</w:t>
            </w:r>
          </w:p>
        </w:tc>
        <w:tc>
          <w:tcPr>
            <w:tcW w:w="340" w:type="dxa"/>
            <w:vAlign w:val="bottom"/>
          </w:tcPr>
          <w:p>
            <w:pPr>
              <w:spacing w:after="0"/>
              <w:rPr>
                <w:sz w:val="18"/>
                <w:szCs w:val="18"/>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2,682</w:t>
            </w:r>
          </w:p>
        </w:tc>
        <w:tc>
          <w:tcPr>
            <w:tcW w:w="100" w:type="dxa"/>
            <w:vAlign w:val="bottom"/>
          </w:tcPr>
          <w:p>
            <w:pPr>
              <w:spacing w:after="0"/>
              <w:rPr>
                <w:sz w:val="18"/>
                <w:szCs w:val="18"/>
                <w:color w:val="auto"/>
              </w:rPr>
            </w:pPr>
          </w:p>
        </w:tc>
      </w:tr>
      <w:tr>
        <w:trPr>
          <w:trHeight w:val="216"/>
        </w:trPr>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on subordinated renewable notes</w:t>
            </w:r>
          </w:p>
        </w:tc>
        <w:tc>
          <w:tcPr>
            <w:tcW w:w="3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(4,059)</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(1,933)</w:t>
            </w: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Net proceeds from (repayments of) warehouse lines of credit</w:t>
            </w:r>
          </w:p>
        </w:tc>
        <w:tc>
          <w:tcPr>
            <w:tcW w:w="340" w:type="dxa"/>
            <w:vAlign w:val="bottom"/>
          </w:tcPr>
          <w:p>
            <w:pPr>
              <w:spacing w:after="0"/>
              <w:rPr>
                <w:sz w:val="18"/>
                <w:szCs w:val="18"/>
                <w:color w:val="auto"/>
              </w:rPr>
            </w:pPr>
          </w:p>
        </w:tc>
        <w:tc>
          <w:tcPr>
            <w:tcW w:w="1460" w:type="dxa"/>
            <w:vAlign w:val="bottom"/>
            <w:gridSpan w:val="2"/>
          </w:tcPr>
          <w:p>
            <w:pPr>
              <w:jc w:val="right"/>
              <w:ind w:right="81"/>
              <w:spacing w:after="0"/>
              <w:rPr>
                <w:sz w:val="20"/>
                <w:szCs w:val="20"/>
                <w:color w:val="auto"/>
              </w:rPr>
            </w:pPr>
            <w:r>
              <w:rPr>
                <w:rFonts w:ascii="Arial" w:cs="Arial" w:eastAsia="Arial" w:hAnsi="Arial"/>
                <w:sz w:val="18"/>
                <w:szCs w:val="18"/>
                <w:color w:val="auto"/>
              </w:rPr>
              <w:t>(41,031)</w:t>
            </w: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124,606</w:t>
            </w:r>
          </w:p>
        </w:tc>
        <w:tc>
          <w:tcPr>
            <w:tcW w:w="100" w:type="dxa"/>
            <w:vAlign w:val="bottom"/>
          </w:tcPr>
          <w:p>
            <w:pPr>
              <w:spacing w:after="0"/>
              <w:rPr>
                <w:sz w:val="18"/>
                <w:szCs w:val="18"/>
                <w:color w:val="auto"/>
              </w:rPr>
            </w:pPr>
          </w:p>
        </w:tc>
      </w:tr>
      <w:tr>
        <w:trPr>
          <w:trHeight w:val="216"/>
        </w:trPr>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Proceeds from (repayment of) residual interest financing debt</w:t>
            </w:r>
          </w:p>
        </w:tc>
        <w:tc>
          <w:tcPr>
            <w:tcW w:w="3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(4,311)</w:t>
            </w: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Repayment of securitization trust debt</w:t>
            </w:r>
          </w:p>
        </w:tc>
        <w:tc>
          <w:tcPr>
            <w:tcW w:w="340" w:type="dxa"/>
            <w:vAlign w:val="bottom"/>
          </w:tcPr>
          <w:p>
            <w:pPr>
              <w:spacing w:after="0"/>
              <w:rPr>
                <w:sz w:val="18"/>
                <w:szCs w:val="18"/>
                <w:color w:val="auto"/>
              </w:rPr>
            </w:pPr>
          </w:p>
        </w:tc>
        <w:tc>
          <w:tcPr>
            <w:tcW w:w="1460" w:type="dxa"/>
            <w:vAlign w:val="bottom"/>
            <w:gridSpan w:val="2"/>
          </w:tcPr>
          <w:p>
            <w:pPr>
              <w:jc w:val="right"/>
              <w:ind w:right="81"/>
              <w:spacing w:after="0"/>
              <w:rPr>
                <w:sz w:val="20"/>
                <w:szCs w:val="20"/>
                <w:color w:val="auto"/>
              </w:rPr>
            </w:pPr>
            <w:r>
              <w:rPr>
                <w:rFonts w:ascii="Arial" w:cs="Arial" w:eastAsia="Arial" w:hAnsi="Arial"/>
                <w:sz w:val="18"/>
                <w:szCs w:val="18"/>
                <w:color w:val="auto"/>
              </w:rPr>
              <w:t>(540,958)</w:t>
            </w:r>
          </w:p>
        </w:tc>
        <w:tc>
          <w:tcPr>
            <w:tcW w:w="60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(536,824)</w:t>
            </w:r>
          </w:p>
        </w:tc>
      </w:tr>
      <w:tr>
        <w:trPr>
          <w:trHeight w:val="216"/>
        </w:trPr>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 of financing costs</w:t>
            </w:r>
          </w:p>
        </w:tc>
        <w:tc>
          <w:tcPr>
            <w:tcW w:w="3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(4,066)</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(6,204)</w:t>
            </w: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Purchase of common stock</w:t>
            </w:r>
          </w:p>
        </w:tc>
        <w:tc>
          <w:tcPr>
            <w:tcW w:w="340" w:type="dxa"/>
            <w:vAlign w:val="bottom"/>
          </w:tcPr>
          <w:p>
            <w:pPr>
              <w:spacing w:after="0"/>
              <w:rPr>
                <w:sz w:val="18"/>
                <w:szCs w:val="18"/>
                <w:color w:val="auto"/>
              </w:rPr>
            </w:pPr>
          </w:p>
        </w:tc>
        <w:tc>
          <w:tcPr>
            <w:tcW w:w="1460" w:type="dxa"/>
            <w:vAlign w:val="bottom"/>
            <w:gridSpan w:val="2"/>
          </w:tcPr>
          <w:p>
            <w:pPr>
              <w:jc w:val="right"/>
              <w:ind w:right="81"/>
              <w:spacing w:after="0"/>
              <w:rPr>
                <w:sz w:val="20"/>
                <w:szCs w:val="20"/>
                <w:color w:val="auto"/>
              </w:rPr>
            </w:pPr>
            <w:r>
              <w:rPr>
                <w:rFonts w:ascii="Arial" w:cs="Arial" w:eastAsia="Arial" w:hAnsi="Arial"/>
                <w:sz w:val="18"/>
                <w:szCs w:val="18"/>
                <w:color w:val="auto"/>
              </w:rPr>
              <w:t>(18,464)</w:t>
            </w:r>
          </w:p>
        </w:tc>
        <w:tc>
          <w:tcPr>
            <w:tcW w:w="60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(34,285)</w:t>
            </w:r>
          </w:p>
        </w:tc>
      </w:tr>
      <w:tr>
        <w:trPr>
          <w:trHeight w:val="230"/>
        </w:trPr>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Exercise of options and warrants</w:t>
            </w:r>
          </w:p>
        </w:tc>
        <w:tc>
          <w:tcPr>
            <w:tcW w:w="340" w:type="dxa"/>
            <w:vAlign w:val="bottom"/>
            <w:tcBorders>
              <w:bottom w:val="single" w:sz="8" w:color="auto"/>
            </w:tcBorders>
            <w:shd w:val="clear" w:color="auto" w:fill="EEEEEE"/>
          </w:tcPr>
          <w:p>
            <w:pPr>
              <w:spacing w:after="0"/>
              <w:rPr>
                <w:sz w:val="19"/>
                <w:szCs w:val="19"/>
                <w:color w:val="auto"/>
              </w:rPr>
            </w:pPr>
          </w:p>
        </w:tc>
        <w:tc>
          <w:tcPr>
            <w:tcW w:w="12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15,678</w:t>
            </w:r>
          </w:p>
        </w:tc>
        <w:tc>
          <w:tcPr>
            <w:tcW w:w="220" w:type="dxa"/>
            <w:vAlign w:val="bottom"/>
            <w:shd w:val="clear" w:color="auto" w:fill="EEEEEE"/>
          </w:tcPr>
          <w:p>
            <w:pPr>
              <w:spacing w:after="0"/>
              <w:rPr>
                <w:sz w:val="19"/>
                <w:szCs w:val="19"/>
                <w:color w:val="auto"/>
              </w:rPr>
            </w:pPr>
          </w:p>
        </w:tc>
        <w:tc>
          <w:tcPr>
            <w:tcW w:w="600" w:type="dxa"/>
            <w:vAlign w:val="bottom"/>
            <w:tcBorders>
              <w:bottom w:val="single" w:sz="8" w:color="auto"/>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14,416</w:t>
            </w:r>
          </w:p>
        </w:tc>
        <w:tc>
          <w:tcPr>
            <w:tcW w:w="100" w:type="dxa"/>
            <w:vAlign w:val="bottom"/>
            <w:shd w:val="clear" w:color="auto" w:fill="EEEEEE"/>
          </w:tcPr>
          <w:p>
            <w:pPr>
              <w:spacing w:after="0"/>
              <w:rPr>
                <w:sz w:val="19"/>
                <w:szCs w:val="19"/>
                <w:color w:val="auto"/>
              </w:rPr>
            </w:pPr>
          </w:p>
        </w:tc>
      </w:tr>
      <w:tr>
        <w:trPr>
          <w:trHeight w:val="210"/>
        </w:trPr>
        <w:tc>
          <w:tcPr>
            <w:tcW w:w="7760" w:type="dxa"/>
            <w:vAlign w:val="bottom"/>
          </w:tcPr>
          <w:p>
            <w:pPr>
              <w:ind w:left="54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64,753</w:t>
            </w:r>
          </w:p>
        </w:tc>
        <w:tc>
          <w:tcPr>
            <w:tcW w:w="2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270,547</w:t>
            </w:r>
          </w:p>
        </w:tc>
        <w:tc>
          <w:tcPr>
            <w:tcW w:w="100" w:type="dxa"/>
            <w:vAlign w:val="bottom"/>
          </w:tcPr>
          <w:p>
            <w:pPr>
              <w:spacing w:after="0"/>
              <w:rPr>
                <w:sz w:val="18"/>
                <w:szCs w:val="18"/>
                <w:color w:val="auto"/>
              </w:rPr>
            </w:pPr>
          </w:p>
        </w:tc>
      </w:tr>
      <w:tr>
        <w:trPr>
          <w:trHeight w:val="209"/>
        </w:trPr>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Increase in cash and cash equivalents</w:t>
            </w:r>
          </w:p>
        </w:tc>
        <w:tc>
          <w:tcPr>
            <w:tcW w:w="3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(7,645)</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(8,179)</w:t>
            </w:r>
          </w:p>
        </w:tc>
      </w:tr>
      <w:tr>
        <w:trPr>
          <w:trHeight w:val="230"/>
        </w:trPr>
        <w:tc>
          <w:tcPr>
            <w:tcW w:w="77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Cash and restricted cash at beginning of period</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162,789</w:t>
            </w:r>
          </w:p>
        </w:tc>
        <w:tc>
          <w:tcPr>
            <w:tcW w:w="220" w:type="dxa"/>
            <w:vAlign w:val="bottom"/>
            <w:tcBorders>
              <w:bottom w:val="single" w:sz="8" w:color="EEEEEE"/>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176,548</w:t>
            </w:r>
          </w:p>
        </w:tc>
        <w:tc>
          <w:tcPr>
            <w:tcW w:w="100" w:type="dxa"/>
            <w:vAlign w:val="bottom"/>
            <w:tcBorders>
              <w:bottom w:val="single" w:sz="8" w:color="EEEEEE"/>
            </w:tcBorders>
          </w:tcPr>
          <w:p>
            <w:pPr>
              <w:spacing w:after="0"/>
              <w:rPr>
                <w:sz w:val="19"/>
                <w:szCs w:val="19"/>
                <w:color w:val="auto"/>
              </w:rPr>
            </w:pPr>
          </w:p>
        </w:tc>
      </w:tr>
      <w:tr>
        <w:trPr>
          <w:trHeight w:val="263"/>
        </w:trPr>
        <w:tc>
          <w:tcPr>
            <w:tcW w:w="77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Cash and restricted cash at end of period</w:t>
            </w:r>
          </w:p>
        </w:tc>
        <w:tc>
          <w:tcPr>
            <w:tcW w:w="340" w:type="dxa"/>
            <w:vAlign w:val="bottom"/>
            <w:tcBorders>
              <w:bottom w:val="single" w:sz="8" w:color="auto"/>
            </w:tcBorders>
            <w:shd w:val="clear" w:color="auto" w:fill="EEEEEE"/>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155,144</w:t>
            </w:r>
          </w:p>
        </w:tc>
        <w:tc>
          <w:tcPr>
            <w:tcW w:w="220" w:type="dxa"/>
            <w:vAlign w:val="bottom"/>
            <w:tcBorders>
              <w:bottom w:val="single" w:sz="8" w:color="EEEEEE"/>
            </w:tcBorders>
            <w:shd w:val="clear" w:color="auto" w:fill="EEEEEE"/>
          </w:tcPr>
          <w:p>
            <w:pPr>
              <w:spacing w:after="0"/>
              <w:rPr>
                <w:sz w:val="22"/>
                <w:szCs w:val="22"/>
                <w:color w:val="auto"/>
              </w:rPr>
            </w:pPr>
          </w:p>
        </w:tc>
        <w:tc>
          <w:tcPr>
            <w:tcW w:w="600" w:type="dxa"/>
            <w:vAlign w:val="bottom"/>
            <w:tcBorders>
              <w:bottom w:val="single" w:sz="8" w:color="auto"/>
            </w:tcBorders>
            <w:shd w:val="clear" w:color="auto" w:fill="EEEEEE"/>
          </w:tcPr>
          <w:p>
            <w:pPr>
              <w:jc w:val="right"/>
              <w:ind w:right="4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168,369</w:t>
            </w:r>
          </w:p>
        </w:tc>
        <w:tc>
          <w:tcPr>
            <w:tcW w:w="100" w:type="dxa"/>
            <w:vAlign w:val="bottom"/>
            <w:tcBorders>
              <w:bottom w:val="single" w:sz="8" w:color="EEEEEE"/>
            </w:tcBorders>
            <w:shd w:val="clear" w:color="auto" w:fill="EEEEEE"/>
          </w:tcPr>
          <w:p>
            <w:pPr>
              <w:spacing w:after="0"/>
              <w:rPr>
                <w:sz w:val="22"/>
                <w:szCs w:val="22"/>
                <w:color w:val="auto"/>
              </w:rPr>
            </w:pPr>
          </w:p>
        </w:tc>
      </w:tr>
      <w:tr>
        <w:trPr>
          <w:trHeight w:val="197"/>
        </w:trPr>
        <w:tc>
          <w:tcPr>
            <w:tcW w:w="7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Cash paid during the period for:</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EEEEEE"/>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62,612</w:t>
            </w: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jc w:val="right"/>
              <w:ind w:right="4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30,809</w:t>
            </w:r>
          </w:p>
        </w:tc>
        <w:tc>
          <w:tcPr>
            <w:tcW w:w="100" w:type="dxa"/>
            <w:vAlign w:val="bottom"/>
            <w:shd w:val="clear" w:color="auto" w:fill="EEEEEE"/>
          </w:tcPr>
          <w:p>
            <w:pPr>
              <w:spacing w:after="0"/>
              <w:rPr>
                <w:sz w:val="18"/>
                <w:szCs w:val="18"/>
                <w:color w:val="auto"/>
              </w:rPr>
            </w:pP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4,639</w:t>
            </w:r>
          </w:p>
        </w:tc>
        <w:tc>
          <w:tcPr>
            <w:tcW w:w="220" w:type="dxa"/>
            <w:vAlign w:val="bottom"/>
          </w:tcPr>
          <w:p>
            <w:pPr>
              <w:spacing w:after="0"/>
              <w:rPr>
                <w:sz w:val="20"/>
                <w:szCs w:val="20"/>
                <w:color w:val="auto"/>
              </w:rPr>
            </w:pPr>
          </w:p>
        </w:tc>
        <w:tc>
          <w:tcPr>
            <w:tcW w:w="600" w:type="dxa"/>
            <w:vAlign w:val="bottom"/>
          </w:tcPr>
          <w:p>
            <w:pPr>
              <w:jc w:val="right"/>
              <w:ind w:right="44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4,796</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40" w:type="dxa"/>
            <w:vAlign w:val="bottom"/>
            <w:gridSpan w:val="7"/>
          </w:tcPr>
          <w:p>
            <w:pPr>
              <w:jc w:val="right"/>
              <w:ind w:right="781"/>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9"/>
                <w:szCs w:val="19"/>
                <w:color w:val="auto"/>
              </w:rPr>
            </w:pPr>
          </w:p>
        </w:tc>
        <w:tc>
          <w:tcPr>
            <w:tcW w:w="2740" w:type="dxa"/>
            <w:vAlign w:val="bottom"/>
            <w:gridSpan w:val="6"/>
          </w:tcPr>
          <w:p>
            <w:pPr>
              <w:jc w:val="right"/>
              <w:ind w:right="82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jc w:val="right"/>
              <w:ind w:right="67"/>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Common Stock (Shares Outstanding)</w:t>
            </w: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30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20,496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21,292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20,131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Common stock issued upon exercise of options and warrants</w:t>
            </w:r>
          </w:p>
        </w:tc>
        <w:tc>
          <w:tcPr>
            <w:tcW w:w="3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1,718</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1,529</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2,805</w:t>
            </w:r>
          </w:p>
        </w:tc>
        <w:tc>
          <w:tcPr>
            <w:tcW w:w="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2,895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30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(1,062)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(1,614)</w:t>
            </w:r>
          </w:p>
        </w:tc>
        <w:tc>
          <w:tcPr>
            <w:tcW w:w="300" w:type="dxa"/>
            <w:vAlign w:val="bottom"/>
          </w:tcPr>
          <w:p>
            <w:pPr>
              <w:spacing w:after="0"/>
              <w:rPr>
                <w:sz w:val="18"/>
                <w:szCs w:val="18"/>
                <w:color w:val="auto"/>
              </w:rPr>
            </w:pPr>
          </w:p>
        </w:tc>
        <w:tc>
          <w:tcPr>
            <w:tcW w:w="1200" w:type="dxa"/>
            <w:vAlign w:val="bottom"/>
            <w:gridSpan w:val="2"/>
          </w:tcPr>
          <w:p>
            <w:pPr>
              <w:jc w:val="right"/>
              <w:ind w:right="1"/>
              <w:spacing w:after="0"/>
              <w:rPr>
                <w:sz w:val="20"/>
                <w:szCs w:val="20"/>
                <w:color w:val="auto"/>
              </w:rPr>
            </w:pPr>
            <w:r>
              <w:rPr>
                <w:rFonts w:ascii="Arial" w:cs="Arial" w:eastAsia="Arial" w:hAnsi="Arial"/>
                <w:sz w:val="18"/>
                <w:szCs w:val="18"/>
                <w:color w:val="auto"/>
              </w:rPr>
              <w:t>(1,784)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Balance, end of period</w:t>
            </w:r>
          </w:p>
        </w:tc>
        <w:tc>
          <w:tcPr>
            <w:tcW w:w="300" w:type="dxa"/>
            <w:vAlign w:val="bottom"/>
            <w:shd w:val="clear" w:color="auto" w:fill="EEEEEE"/>
          </w:tcPr>
          <w:p>
            <w:pPr>
              <w:spacing w:after="0"/>
              <w:rPr>
                <w:sz w:val="20"/>
                <w:szCs w:val="20"/>
                <w:color w:val="auto"/>
              </w:rPr>
            </w:pPr>
          </w:p>
        </w:tc>
        <w:tc>
          <w:tcPr>
            <w:tcW w:w="120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21,152</w:t>
            </w:r>
          </w:p>
        </w:tc>
        <w:tc>
          <w:tcPr>
            <w:tcW w:w="8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21,207</w:t>
            </w:r>
          </w:p>
        </w:tc>
        <w:tc>
          <w:tcPr>
            <w:tcW w:w="2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21,152</w:t>
            </w:r>
          </w:p>
        </w:tc>
        <w:tc>
          <w:tcPr>
            <w:tcW w:w="8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21,207</w:t>
            </w: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Common Stock</w:t>
            </w: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29,485</w:t>
            </w:r>
          </w:p>
        </w:tc>
        <w:tc>
          <w:tcPr>
            <w:tcW w:w="42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47,844</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28,906</w:t>
            </w:r>
          </w:p>
        </w:tc>
        <w:tc>
          <w:tcPr>
            <w:tcW w:w="4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Common stock issued upon exercise of options and warrants</w:t>
            </w:r>
          </w:p>
        </w:tc>
        <w:tc>
          <w:tcPr>
            <w:tcW w:w="3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8,718</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8,556</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15,678</w:t>
            </w:r>
          </w:p>
        </w:tc>
        <w:tc>
          <w:tcPr>
            <w:tcW w:w="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14,416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30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(11,171)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(20,181)</w:t>
            </w:r>
          </w:p>
        </w:tc>
        <w:tc>
          <w:tcPr>
            <w:tcW w:w="300" w:type="dxa"/>
            <w:vAlign w:val="bottom"/>
          </w:tcPr>
          <w:p>
            <w:pPr>
              <w:spacing w:after="0"/>
              <w:rPr>
                <w:sz w:val="18"/>
                <w:szCs w:val="18"/>
                <w:color w:val="auto"/>
              </w:rPr>
            </w:pPr>
          </w:p>
        </w:tc>
        <w:tc>
          <w:tcPr>
            <w:tcW w:w="1200" w:type="dxa"/>
            <w:vAlign w:val="bottom"/>
            <w:gridSpan w:val="2"/>
          </w:tcPr>
          <w:p>
            <w:pPr>
              <w:jc w:val="right"/>
              <w:ind w:right="1"/>
              <w:spacing w:after="0"/>
              <w:rPr>
                <w:sz w:val="20"/>
                <w:szCs w:val="20"/>
                <w:color w:val="auto"/>
              </w:rPr>
            </w:pPr>
            <w:r>
              <w:rPr>
                <w:rFonts w:ascii="Arial" w:cs="Arial" w:eastAsia="Arial" w:hAnsi="Arial"/>
                <w:sz w:val="18"/>
                <w:szCs w:val="18"/>
                <w:color w:val="auto"/>
              </w:rPr>
              <w:t>(18,464)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(34,285)</w:t>
            </w:r>
          </w:p>
        </w:tc>
        <w:tc>
          <w:tcPr>
            <w:tcW w:w="0" w:type="dxa"/>
            <w:vAlign w:val="bottom"/>
          </w:tcPr>
          <w:p>
            <w:pPr>
              <w:spacing w:after="0"/>
              <w:rPr>
                <w:sz w:val="1"/>
                <w:szCs w:val="1"/>
                <w:color w:val="auto"/>
              </w:rPr>
            </w:pPr>
          </w:p>
        </w:tc>
      </w:tr>
      <w:tr>
        <w:trPr>
          <w:trHeight w:val="230"/>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905</w:t>
            </w:r>
          </w:p>
        </w:tc>
        <w:tc>
          <w:tcPr>
            <w:tcW w:w="14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728</w:t>
            </w: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1,817</w:t>
            </w:r>
          </w:p>
        </w:tc>
        <w:tc>
          <w:tcPr>
            <w:tcW w:w="8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1,518</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Balance,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27,937</w:t>
            </w:r>
          </w:p>
        </w:tc>
        <w:tc>
          <w:tcPr>
            <w:tcW w:w="2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36,947</w:t>
            </w:r>
          </w:p>
        </w:tc>
        <w:tc>
          <w:tcPr>
            <w:tcW w:w="220" w:type="dxa"/>
            <w:vAlign w:val="bottom"/>
            <w:tcBorders>
              <w:bottom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27,937</w:t>
            </w:r>
          </w:p>
        </w:tc>
        <w:tc>
          <w:tcPr>
            <w:tcW w:w="14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36,947</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0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b w:val="1"/>
                <w:bCs w:val="1"/>
                <w:color w:val="auto"/>
              </w:rPr>
              <w:t>Retained Earnings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Balance, beginning of period</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216,337</w:t>
            </w:r>
          </w:p>
        </w:tc>
        <w:tc>
          <w:tcPr>
            <w:tcW w:w="1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187"/>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137,646</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202,514</w:t>
            </w:r>
          </w:p>
        </w:tc>
        <w:tc>
          <w:tcPr>
            <w:tcW w:w="440" w:type="dxa"/>
            <w:vAlign w:val="bottom"/>
            <w:gridSpan w:val="2"/>
            <w:shd w:val="clear" w:color="auto" w:fill="EEEEEE"/>
          </w:tcPr>
          <w:p>
            <w:pPr>
              <w:jc w:val="right"/>
              <w:ind w:right="207"/>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116,531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9"/>
                <w:szCs w:val="19"/>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13,954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25,320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27,777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end of period</w:t>
            </w: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230,291</w:t>
            </w:r>
          </w:p>
        </w:tc>
        <w:tc>
          <w:tcPr>
            <w:tcW w:w="20" w:type="dxa"/>
            <w:vAlign w:val="bottom"/>
            <w:tcBorders>
              <w:top w:val="single" w:sz="8" w:color="EEEEEE"/>
              <w:bottom w:val="single" w:sz="8" w:color="EEEEEE"/>
            </w:tcBorders>
            <w:shd w:val="clear" w:color="auto" w:fill="EEEEEE"/>
          </w:tcPr>
          <w:p>
            <w:pPr>
              <w:spacing w:after="0"/>
              <w:rPr>
                <w:sz w:val="22"/>
                <w:szCs w:val="22"/>
                <w:color w:val="auto"/>
              </w:rPr>
            </w:pPr>
          </w:p>
        </w:tc>
        <w:tc>
          <w:tcPr>
            <w:tcW w:w="140" w:type="dxa"/>
            <w:vAlign w:val="bottom"/>
            <w:tcBorders>
              <w:top w:val="single" w:sz="8" w:color="EEEEEE"/>
              <w:bottom w:val="single" w:sz="8" w:color="EEEEEE"/>
            </w:tcBorders>
            <w:shd w:val="clear" w:color="auto" w:fill="EEEEEE"/>
          </w:tcPr>
          <w:p>
            <w:pPr>
              <w:spacing w:after="0"/>
              <w:rPr>
                <w:sz w:val="22"/>
                <w:szCs w:val="22"/>
                <w:color w:val="auto"/>
              </w:rPr>
            </w:pPr>
          </w:p>
        </w:tc>
        <w:tc>
          <w:tcPr>
            <w:tcW w:w="80" w:type="dxa"/>
            <w:vAlign w:val="bottom"/>
            <w:tcBorders>
              <w:top w:val="single" w:sz="8" w:color="EEEEEE"/>
              <w:bottom w:val="single" w:sz="8" w:color="EEEEEE"/>
            </w:tcBorders>
            <w:shd w:val="clear" w:color="auto" w:fill="EEEEEE"/>
          </w:tcPr>
          <w:p>
            <w:pPr>
              <w:spacing w:after="0"/>
              <w:rPr>
                <w:sz w:val="22"/>
                <w:szCs w:val="22"/>
                <w:color w:val="auto"/>
              </w:rPr>
            </w:pPr>
          </w:p>
        </w:tc>
        <w:tc>
          <w:tcPr>
            <w:tcW w:w="340" w:type="dxa"/>
            <w:vAlign w:val="bottom"/>
            <w:tcBorders>
              <w:top w:val="single" w:sz="8" w:color="auto"/>
              <w:bottom w:val="single" w:sz="8" w:color="auto"/>
            </w:tcBorders>
            <w:shd w:val="clear" w:color="auto" w:fill="EEEEEE"/>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162,966</w:t>
            </w:r>
          </w:p>
        </w:tc>
        <w:tc>
          <w:tcPr>
            <w:tcW w:w="220" w:type="dxa"/>
            <w:vAlign w:val="bottom"/>
            <w:tcBorders>
              <w:top w:val="single" w:sz="8" w:color="EEEEEE"/>
              <w:bottom w:val="single" w:sz="8" w:color="EEEEEE"/>
            </w:tcBorders>
            <w:shd w:val="clear" w:color="auto" w:fill="EEEEEE"/>
          </w:tcPr>
          <w:p>
            <w:pPr>
              <w:spacing w:after="0"/>
              <w:rPr>
                <w:sz w:val="22"/>
                <w:szCs w:val="22"/>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230,291</w:t>
            </w:r>
          </w:p>
        </w:tc>
        <w:tc>
          <w:tcPr>
            <w:tcW w:w="140" w:type="dxa"/>
            <w:vAlign w:val="bottom"/>
            <w:tcBorders>
              <w:top w:val="single" w:sz="8" w:color="EEEEEE"/>
              <w:bottom w:val="single" w:sz="8" w:color="EEEEEE"/>
            </w:tcBorders>
            <w:shd w:val="clear" w:color="auto" w:fill="EEEEEE"/>
          </w:tcPr>
          <w:p>
            <w:pPr>
              <w:spacing w:after="0"/>
              <w:rPr>
                <w:sz w:val="22"/>
                <w:szCs w:val="22"/>
                <w:color w:val="auto"/>
              </w:rPr>
            </w:pPr>
          </w:p>
        </w:tc>
        <w:tc>
          <w:tcPr>
            <w:tcW w:w="80" w:type="dxa"/>
            <w:vAlign w:val="bottom"/>
            <w:tcBorders>
              <w:top w:val="single" w:sz="8" w:color="EEEEEE"/>
              <w:bottom w:val="single" w:sz="8" w:color="EEEEEE"/>
            </w:tcBorders>
            <w:shd w:val="clear" w:color="auto" w:fill="EEEEEE"/>
          </w:tcPr>
          <w:p>
            <w:pPr>
              <w:spacing w:after="0"/>
              <w:rPr>
                <w:sz w:val="22"/>
                <w:szCs w:val="22"/>
                <w:color w:val="auto"/>
              </w:rPr>
            </w:pPr>
          </w:p>
        </w:tc>
        <w:tc>
          <w:tcPr>
            <w:tcW w:w="360" w:type="dxa"/>
            <w:vAlign w:val="bottom"/>
            <w:tcBorders>
              <w:top w:val="single" w:sz="8" w:color="auto"/>
              <w:bottom w:val="single" w:sz="8" w:color="auto"/>
            </w:tcBorders>
            <w:shd w:val="clear" w:color="auto" w:fill="EEEEEE"/>
          </w:tcPr>
          <w:p>
            <w:pPr>
              <w:jc w:val="right"/>
              <w:ind w:right="2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162,966</w:t>
            </w:r>
          </w:p>
        </w:tc>
        <w:tc>
          <w:tcPr>
            <w:tcW w:w="100" w:type="dxa"/>
            <w:vAlign w:val="bottom"/>
            <w:tcBorders>
              <w:top w:val="single" w:sz="8" w:color="EEEEEE"/>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(3,031)</w:t>
            </w:r>
          </w:p>
        </w:tc>
        <w:tc>
          <w:tcPr>
            <w:tcW w:w="42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(1,622)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
              <w:spacing w:after="0"/>
              <w:rPr>
                <w:sz w:val="20"/>
                <w:szCs w:val="20"/>
                <w:color w:val="auto"/>
              </w:rPr>
            </w:pPr>
            <w:r>
              <w:rPr>
                <w:rFonts w:ascii="Arial" w:cs="Arial" w:eastAsia="Arial" w:hAnsi="Arial"/>
                <w:sz w:val="18"/>
                <w:szCs w:val="18"/>
                <w:color w:val="auto"/>
              </w:rPr>
              <w:t>(3,031)</w:t>
            </w:r>
          </w:p>
        </w:tc>
        <w:tc>
          <w:tcPr>
            <w:tcW w:w="4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30"/>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Pension benefit obligation</w:t>
            </w:r>
          </w:p>
        </w:tc>
        <w:tc>
          <w:tcPr>
            <w:tcW w:w="300" w:type="dxa"/>
            <w:vAlign w:val="bottom"/>
            <w:shd w:val="clear" w:color="auto" w:fill="EEEEEE"/>
          </w:tcPr>
          <w:p>
            <w:pPr>
              <w:spacing w:after="0"/>
              <w:rPr>
                <w:sz w:val="19"/>
                <w:szCs w:val="19"/>
                <w:color w:val="auto"/>
              </w:rPr>
            </w:pPr>
          </w:p>
        </w:tc>
        <w:tc>
          <w:tcPr>
            <w:tcW w:w="120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Balance, end of period</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(3,031</w:t>
            </w:r>
          </w:p>
        </w:tc>
        <w:tc>
          <w:tcPr>
            <w:tcW w:w="16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(3,031</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360" w:type="dxa"/>
            <w:vAlign w:val="bottom"/>
            <w:tcBorders>
              <w:top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b w:val="1"/>
                <w:bCs w:val="1"/>
                <w:color w:val="auto"/>
              </w:rPr>
              <w:t>Total Shareholders' Equity</w:t>
            </w:r>
          </w:p>
        </w:tc>
        <w:tc>
          <w:tcPr>
            <w:tcW w:w="30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255,197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198,291</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255,197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firstLine="180"/>
        <w:spacing w:after="0" w:line="284" w:lineRule="auto"/>
        <w:rPr>
          <w:sz w:val="20"/>
          <w:szCs w:val="20"/>
          <w:color w:val="auto"/>
        </w:rPr>
      </w:pPr>
      <w:r>
        <w:rPr>
          <w:rFonts w:ascii="Arial" w:cs="Arial" w:eastAsia="Arial" w:hAnsi="Arial"/>
          <w:sz w:val="16"/>
          <w:szCs w:val="16"/>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lent money directly to consumers for loans secured by vehicles, (ii) purchased immaterial amounts of vehicle purchase money loans from non-affiliated lenders, and</w:t>
      </w:r>
    </w:p>
    <w:p>
      <w:pPr>
        <w:spacing w:after="0" w:line="4" w:lineRule="exact"/>
        <w:rPr>
          <w:sz w:val="20"/>
          <w:szCs w:val="20"/>
          <w:color w:val="auto"/>
        </w:rPr>
      </w:pPr>
    </w:p>
    <w:p>
      <w:pPr>
        <w:ind w:firstLine="8"/>
        <w:spacing w:after="0" w:line="260" w:lineRule="auto"/>
        <w:tabs>
          <w:tab w:leader="none" w:pos="343"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acquired installment purchase contracts in four merger and acquisition transactions. In this report, we refer to all of such contracts and loans as “automobile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180"/>
        <w:spacing w:after="0" w:line="257" w:lineRule="auto"/>
        <w:rPr>
          <w:sz w:val="20"/>
          <w:szCs w:val="20"/>
          <w:color w:val="auto"/>
        </w:rPr>
      </w:pPr>
      <w:r>
        <w:rPr>
          <w:rFonts w:ascii="Arial" w:cs="Arial" w:eastAsia="Arial" w:hAnsi="Arial"/>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six-month period ended June 30, 2023 are not necessarily indicative of the operating results to be expected for the full year.</w:t>
      </w:r>
    </w:p>
    <w:p>
      <w:pPr>
        <w:spacing w:after="0" w:line="188" w:lineRule="exact"/>
        <w:rPr>
          <w:sz w:val="20"/>
          <w:szCs w:val="20"/>
          <w:color w:val="auto"/>
        </w:rPr>
      </w:pPr>
    </w:p>
    <w:p>
      <w:pPr>
        <w:jc w:val="both"/>
        <w:ind w:firstLine="180"/>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180"/>
        <w:spacing w:after="0" w:line="26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Receivables Measured at Fair Value</w:t>
      </w:r>
    </w:p>
    <w:p>
      <w:pPr>
        <w:spacing w:after="0" w:line="229" w:lineRule="exact"/>
        <w:rPr>
          <w:sz w:val="20"/>
          <w:szCs w:val="20"/>
          <w:color w:val="auto"/>
        </w:rPr>
      </w:pPr>
    </w:p>
    <w:p>
      <w:pPr>
        <w:jc w:val="both"/>
        <w:ind w:firstLine="180"/>
        <w:spacing w:after="0" w:line="273" w:lineRule="auto"/>
        <w:rPr>
          <w:sz w:val="20"/>
          <w:szCs w:val="20"/>
          <w:color w:val="auto"/>
        </w:rPr>
      </w:pPr>
      <w:r>
        <w:rPr>
          <w:rFonts w:ascii="Arial" w:cs="Arial" w:eastAsia="Arial" w:hAnsi="Arial"/>
          <w:sz w:val="17"/>
          <w:szCs w:val="17"/>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recorded value of the receivables.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180"/>
        <w:spacing w:after="0" w:line="263" w:lineRule="auto"/>
        <w:rPr>
          <w:sz w:val="20"/>
          <w:szCs w:val="20"/>
          <w:color w:val="auto"/>
        </w:rPr>
      </w:pPr>
      <w:r>
        <w:rPr>
          <w:rFonts w:ascii="Arial" w:cs="Arial" w:eastAsia="Arial" w:hAnsi="Arial"/>
          <w:sz w:val="18"/>
          <w:szCs w:val="18"/>
          <w:color w:val="auto"/>
        </w:rPr>
        <w:t>We re-evaluate the fair value of such receivables at the close of each measurement period. If the reevaluation were to yield a value materially different from the recorded value, an adjustment would be required. Results for the first quarter include no mark down reversal to the carrying value of the portion of the receivables portfolio accounted for at fair value. Mark downs are reflected as a reduction in revenue.</w:t>
      </w:r>
    </w:p>
    <w:p>
      <w:pPr>
        <w:spacing w:after="0" w:line="184" w:lineRule="exact"/>
        <w:rPr>
          <w:sz w:val="20"/>
          <w:szCs w:val="20"/>
          <w:color w:val="auto"/>
        </w:rPr>
      </w:pPr>
    </w:p>
    <w:p>
      <w:pPr>
        <w:jc w:val="both"/>
        <w:ind w:firstLine="180"/>
        <w:spacing w:after="0" w:line="293" w:lineRule="auto"/>
        <w:rPr>
          <w:sz w:val="20"/>
          <w:szCs w:val="20"/>
          <w:color w:val="auto"/>
        </w:rPr>
      </w:pPr>
      <w:r>
        <w:rPr>
          <w:rFonts w:ascii="Arial" w:cs="Arial" w:eastAsia="Arial" w:hAnsi="Arial"/>
          <w:sz w:val="16"/>
          <w:szCs w:val="16"/>
          <w:color w:val="auto"/>
        </w:rPr>
        <w:t>Anticipated credit losses are included in our estimation of cash to be received with respect to receivables. Because such credit losses are included in our computation of the appropriate level yield,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recorded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presents the primary components of Other Income for the three-month and six-month periods ending June 30, 2023 and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spacing w:after="0"/>
              <w:rPr>
                <w:sz w:val="19"/>
                <w:szCs w:val="19"/>
                <w:color w:val="auto"/>
              </w:rPr>
            </w:pPr>
          </w:p>
        </w:tc>
        <w:tc>
          <w:tcPr>
            <w:tcW w:w="248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80" w:type="dxa"/>
            <w:vAlign w:val="bottom"/>
            <w:gridSpan w:val="5"/>
          </w:tcPr>
          <w:p>
            <w:pPr>
              <w:jc w:val="right"/>
              <w:ind w:right="210"/>
              <w:spacing w:after="0"/>
              <w:rPr>
                <w:sz w:val="20"/>
                <w:szCs w:val="20"/>
                <w:color w:val="auto"/>
              </w:rPr>
            </w:pPr>
            <w:r>
              <w:rPr>
                <w:rFonts w:ascii="Arial" w:cs="Arial" w:eastAsia="Arial" w:hAnsi="Arial"/>
                <w:sz w:val="18"/>
                <w:szCs w:val="18"/>
                <w:b w:val="1"/>
                <w:bCs w:val="1"/>
                <w:color w:val="auto"/>
              </w:rPr>
              <w:t>Six Months Ended</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0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June 30,</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June 30,</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8"/>
                <w:szCs w:val="18"/>
                <w:b w:val="1"/>
                <w:bCs w:val="1"/>
                <w:color w:val="auto"/>
              </w:rPr>
              <w:t>(In</w:t>
            </w:r>
          </w:p>
        </w:tc>
        <w:tc>
          <w:tcPr>
            <w:tcW w:w="1140" w:type="dxa"/>
            <w:vAlign w:val="bottom"/>
            <w:gridSpan w:val="3"/>
          </w:tcPr>
          <w:p>
            <w:pPr>
              <w:jc w:val="right"/>
              <w:ind w:right="370"/>
              <w:spacing w:after="0"/>
              <w:rPr>
                <w:sz w:val="20"/>
                <w:szCs w:val="20"/>
                <w:color w:val="auto"/>
              </w:rPr>
            </w:pPr>
            <w:r>
              <w:rPr>
                <w:rFonts w:ascii="Arial" w:cs="Arial" w:eastAsia="Arial" w:hAnsi="Arial"/>
                <w:sz w:val="17"/>
                <w:szCs w:val="17"/>
                <w:b w:val="1"/>
                <w:bCs w:val="1"/>
                <w:color w:val="auto"/>
                <w:w w:val="71"/>
              </w:rPr>
              <w:t>thousands)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120" w:type="dxa"/>
            <w:vAlign w:val="bottom"/>
            <w:gridSpan w:val="3"/>
          </w:tcPr>
          <w:p>
            <w:pPr>
              <w:jc w:val="right"/>
              <w:ind w:right="370"/>
              <w:spacing w:after="0"/>
              <w:rPr>
                <w:sz w:val="20"/>
                <w:szCs w:val="20"/>
                <w:color w:val="auto"/>
              </w:rPr>
            </w:pPr>
            <w:r>
              <w:rPr>
                <w:rFonts w:ascii="Arial" w:cs="Arial" w:eastAsia="Arial" w:hAnsi="Arial"/>
                <w:sz w:val="16"/>
                <w:szCs w:val="16"/>
                <w:b w:val="1"/>
                <w:bCs w:val="1"/>
                <w:color w:val="auto"/>
                <w:w w:val="74"/>
              </w:rPr>
              <w:t>thousands)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Origination and servicing fees from third party receivables</w:t>
            </w:r>
          </w:p>
        </w:tc>
        <w:tc>
          <w:tcPr>
            <w:tcW w:w="880" w:type="dxa"/>
            <w:vAlign w:val="bottom"/>
            <w:shd w:val="clear" w:color="auto" w:fill="EEEEEE"/>
          </w:tcPr>
          <w:p>
            <w:pPr>
              <w:jc w:val="right"/>
              <w:ind w:right="69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EEEEEE"/>
          </w:tcPr>
          <w:p>
            <w:pPr>
              <w:jc w:val="right"/>
              <w:ind w:right="16"/>
              <w:spacing w:after="0"/>
              <w:rPr>
                <w:sz w:val="20"/>
                <w:szCs w:val="20"/>
                <w:color w:val="auto"/>
              </w:rPr>
            </w:pPr>
            <w:r>
              <w:rPr>
                <w:rFonts w:ascii="Arial" w:cs="Arial" w:eastAsia="Arial" w:hAnsi="Arial"/>
                <w:sz w:val="18"/>
                <w:szCs w:val="18"/>
                <w:color w:val="auto"/>
              </w:rPr>
              <w:t>1,924</w:t>
            </w:r>
          </w:p>
        </w:tc>
        <w:tc>
          <w:tcPr>
            <w:tcW w:w="1020" w:type="dxa"/>
            <w:vAlign w:val="bottom"/>
            <w:gridSpan w:val="2"/>
            <w:shd w:val="clear" w:color="auto" w:fill="EEEEEE"/>
          </w:tcPr>
          <w:p>
            <w:pPr>
              <w:jc w:val="right"/>
              <w:ind w:right="730"/>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1,408</w:t>
            </w:r>
          </w:p>
        </w:tc>
        <w:tc>
          <w:tcPr>
            <w:tcW w:w="1100" w:type="dxa"/>
            <w:vAlign w:val="bottom"/>
            <w:gridSpan w:val="2"/>
            <w:shd w:val="clear" w:color="auto" w:fill="EEEEEE"/>
          </w:tcPr>
          <w:p>
            <w:pPr>
              <w:jc w:val="right"/>
              <w:ind w:right="6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4,661</w:t>
            </w:r>
          </w:p>
        </w:tc>
        <w:tc>
          <w:tcPr>
            <w:tcW w:w="1020" w:type="dxa"/>
            <w:vAlign w:val="bottom"/>
            <w:gridSpan w:val="2"/>
            <w:shd w:val="clear" w:color="auto" w:fill="EEEEEE"/>
          </w:tcPr>
          <w:p>
            <w:pPr>
              <w:jc w:val="right"/>
              <w:ind w:right="73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2,252</w:t>
            </w:r>
          </w:p>
        </w:tc>
        <w:tc>
          <w:tcPr>
            <w:tcW w:w="100" w:type="dxa"/>
            <w:vAlign w:val="bottom"/>
            <w:shd w:val="clear" w:color="auto" w:fill="EEEEEE"/>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Direct mail revenues</w:t>
            </w:r>
          </w:p>
        </w:tc>
        <w:tc>
          <w:tcPr>
            <w:tcW w:w="880" w:type="dxa"/>
            <w:vAlign w:val="bottom"/>
          </w:tcPr>
          <w:p>
            <w:pPr>
              <w:spacing w:after="0"/>
              <w:rPr>
                <w:sz w:val="18"/>
                <w:szCs w:val="18"/>
                <w:color w:val="auto"/>
              </w:rPr>
            </w:pPr>
          </w:p>
        </w:tc>
        <w:tc>
          <w:tcPr>
            <w:tcW w:w="580" w:type="dxa"/>
            <w:vAlign w:val="bottom"/>
            <w:gridSpan w:val="2"/>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8"/>
                <w:szCs w:val="18"/>
                <w:color w:val="auto"/>
              </w:rPr>
            </w:pPr>
          </w:p>
        </w:tc>
      </w:tr>
      <w:tr>
        <w:trPr>
          <w:trHeight w:val="216"/>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Sales tax refunds</w:t>
            </w:r>
          </w:p>
        </w:tc>
        <w:tc>
          <w:tcPr>
            <w:tcW w:w="8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6"/>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EEEEEE"/>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580" w:type="dxa"/>
            <w:vAlign w:val="bottom"/>
            <w:gridSpan w:val="2"/>
          </w:tcPr>
          <w:p>
            <w:pPr>
              <w:jc w:val="right"/>
              <w:ind w:right="16"/>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2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Other income for the period</w:t>
            </w:r>
          </w:p>
        </w:tc>
        <w:tc>
          <w:tcPr>
            <w:tcW w:w="880" w:type="dxa"/>
            <w:vAlign w:val="bottom"/>
            <w:shd w:val="clear" w:color="auto" w:fill="EEEEEE"/>
          </w:tcPr>
          <w:p>
            <w:pPr>
              <w:jc w:val="right"/>
              <w:ind w:right="69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EEEEEE"/>
          </w:tcPr>
          <w:p>
            <w:pPr>
              <w:jc w:val="right"/>
              <w:ind w:right="16"/>
              <w:spacing w:after="0"/>
              <w:rPr>
                <w:sz w:val="20"/>
                <w:szCs w:val="20"/>
                <w:color w:val="auto"/>
              </w:rPr>
            </w:pPr>
            <w:r>
              <w:rPr>
                <w:rFonts w:ascii="Arial" w:cs="Arial" w:eastAsia="Arial" w:hAnsi="Arial"/>
                <w:sz w:val="18"/>
                <w:szCs w:val="18"/>
                <w:color w:val="auto"/>
              </w:rPr>
              <w:t>2,221</w:t>
            </w:r>
          </w:p>
        </w:tc>
        <w:tc>
          <w:tcPr>
            <w:tcW w:w="1020" w:type="dxa"/>
            <w:vAlign w:val="bottom"/>
            <w:gridSpan w:val="2"/>
            <w:shd w:val="clear" w:color="auto" w:fill="EEEEEE"/>
          </w:tcPr>
          <w:p>
            <w:pPr>
              <w:jc w:val="right"/>
              <w:ind w:right="730"/>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1,648</w:t>
            </w:r>
          </w:p>
        </w:tc>
        <w:tc>
          <w:tcPr>
            <w:tcW w:w="1100" w:type="dxa"/>
            <w:vAlign w:val="bottom"/>
            <w:gridSpan w:val="2"/>
            <w:shd w:val="clear" w:color="auto" w:fill="EEEEEE"/>
          </w:tcPr>
          <w:p>
            <w:pPr>
              <w:jc w:val="right"/>
              <w:ind w:right="6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5,259</w:t>
            </w:r>
          </w:p>
        </w:tc>
        <w:tc>
          <w:tcPr>
            <w:tcW w:w="1020" w:type="dxa"/>
            <w:vAlign w:val="bottom"/>
            <w:gridSpan w:val="2"/>
            <w:shd w:val="clear" w:color="auto" w:fill="EEEEEE"/>
          </w:tcPr>
          <w:p>
            <w:pPr>
              <w:jc w:val="right"/>
              <w:ind w:right="73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3,554</w:t>
            </w:r>
          </w:p>
        </w:tc>
        <w:tc>
          <w:tcPr>
            <w:tcW w:w="100" w:type="dxa"/>
            <w:vAlign w:val="bottom"/>
            <w:shd w:val="clear" w:color="auto" w:fill="EEEEEE"/>
          </w:tcPr>
          <w:p>
            <w:pPr>
              <w:spacing w:after="0"/>
              <w:rPr>
                <w:sz w:val="20"/>
                <w:szCs w:val="20"/>
                <w:color w:val="auto"/>
              </w:rPr>
            </w:pPr>
          </w:p>
        </w:tc>
      </w:tr>
      <w:tr>
        <w:trPr>
          <w:trHeight w:val="20"/>
        </w:trPr>
        <w:tc>
          <w:tcPr>
            <w:tcW w:w="506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8"/>
          <w:szCs w:val="18"/>
          <w:color w:val="auto"/>
        </w:rPr>
        <w:t>The Company has operating leases for corporate offices, equipment, software and hardware. The Company has entered into operating leases for the majority of its real estate locations, primarily office space. These leases are generally for periods of three to seven years with various renewal options. The depreciable life of leased assets is limited by the expected lease term. Leases with an initial term of 12 months or less are not recorded on the balance sheet and the related lease expense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ind w:left="180"/>
              <w:spacing w:after="0"/>
              <w:rPr>
                <w:sz w:val="20"/>
                <w:szCs w:val="20"/>
                <w:color w:val="auto"/>
              </w:rPr>
            </w:pPr>
            <w:r>
              <w:rPr>
                <w:rFonts w:ascii="Arial" w:cs="Arial" w:eastAsia="Arial" w:hAnsi="Arial"/>
                <w:sz w:val="18"/>
                <w:szCs w:val="18"/>
                <w:color w:val="auto"/>
              </w:rPr>
              <w:t>The following table presents the supplemental balance sheet information related to leases: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7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tcPr>
          <w:p>
            <w:pPr>
              <w:jc w:val="center"/>
              <w:ind w:right="401"/>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7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800" w:type="dxa"/>
            <w:vAlign w:val="bottom"/>
            <w:gridSpan w:val="3"/>
          </w:tcPr>
          <w:p>
            <w:pPr>
              <w:jc w:val="right"/>
              <w:ind w:right="105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Leases</w:t>
            </w: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29,575</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28,397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Less: Accumulated amortization right-of-use assets</w:t>
            </w:r>
          </w:p>
        </w:tc>
        <w:tc>
          <w:tcPr>
            <w:tcW w:w="24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(24,649)</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(22,613)</w:t>
            </w:r>
          </w:p>
        </w:tc>
        <w:tc>
          <w:tcPr>
            <w:tcW w:w="0" w:type="dxa"/>
            <w:vAlign w:val="bottom"/>
          </w:tcPr>
          <w:p>
            <w:pPr>
              <w:spacing w:after="0"/>
              <w:rPr>
                <w:sz w:val="1"/>
                <w:szCs w:val="1"/>
                <w:color w:val="auto"/>
              </w:rPr>
            </w:pPr>
          </w:p>
        </w:tc>
      </w:tr>
      <w:tr>
        <w:trPr>
          <w:trHeight w:val="263"/>
        </w:trPr>
        <w:tc>
          <w:tcPr>
            <w:tcW w:w="77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Operating lease right-of-use assets, net</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4,926</w:t>
            </w:r>
          </w:p>
        </w:tc>
        <w:tc>
          <w:tcPr>
            <w:tcW w:w="22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5,784</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7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81"/>
              <w:spacing w:after="0"/>
              <w:rPr>
                <w:sz w:val="20"/>
                <w:szCs w:val="20"/>
                <w:color w:val="auto"/>
              </w:rPr>
            </w:pPr>
            <w:r>
              <w:rPr>
                <w:rFonts w:ascii="Arial" w:cs="Arial" w:eastAsia="Arial" w:hAnsi="Arial"/>
                <w:sz w:val="18"/>
                <w:szCs w:val="18"/>
                <w:color w:val="auto"/>
              </w:rPr>
              <w:t>(5,271)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(6,234)</w:t>
            </w:r>
          </w:p>
        </w:tc>
        <w:tc>
          <w:tcPr>
            <w:tcW w:w="0" w:type="dxa"/>
            <w:vAlign w:val="bottom"/>
          </w:tcPr>
          <w:p>
            <w:pPr>
              <w:spacing w:after="0"/>
              <w:rPr>
                <w:sz w:val="1"/>
                <w:szCs w:val="1"/>
                <w:color w:val="auto"/>
              </w:rPr>
            </w:pPr>
          </w:p>
        </w:tc>
      </w:tr>
      <w:tr>
        <w:trPr>
          <w:trHeight w:val="216"/>
        </w:trPr>
        <w:tc>
          <w:tcPr>
            <w:tcW w:w="77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b w:val="1"/>
                <w:bCs w:val="1"/>
                <w:color w:val="auto"/>
              </w:rPr>
              <w:t>Finance Leases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Property and equipment, at cost</w:t>
            </w:r>
          </w:p>
        </w:tc>
        <w:tc>
          <w:tcPr>
            <w:tcW w:w="240" w:type="dxa"/>
            <w:vAlign w:val="bottom"/>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3,454</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3,407</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19"/>
                <w:szCs w:val="19"/>
                <w:color w:val="auto"/>
              </w:rPr>
            </w:pPr>
          </w:p>
        </w:tc>
        <w:tc>
          <w:tcPr>
            <w:tcW w:w="1560" w:type="dxa"/>
            <w:vAlign w:val="bottom"/>
            <w:gridSpan w:val="2"/>
          </w:tcPr>
          <w:p>
            <w:pPr>
              <w:jc w:val="right"/>
              <w:ind w:right="81"/>
              <w:spacing w:after="0"/>
              <w:rPr>
                <w:sz w:val="20"/>
                <w:szCs w:val="20"/>
                <w:color w:val="auto"/>
              </w:rPr>
            </w:pPr>
            <w:r>
              <w:rPr>
                <w:rFonts w:ascii="Arial" w:cs="Arial" w:eastAsia="Arial" w:hAnsi="Arial"/>
                <w:sz w:val="18"/>
                <w:szCs w:val="18"/>
                <w:color w:val="auto"/>
              </w:rPr>
              <w:t>(3,357)</w:t>
            </w:r>
          </w:p>
        </w:tc>
        <w:tc>
          <w:tcPr>
            <w:tcW w:w="18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63"/>
        </w:trPr>
        <w:tc>
          <w:tcPr>
            <w:tcW w:w="77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97</w:t>
            </w:r>
          </w:p>
        </w:tc>
        <w:tc>
          <w:tcPr>
            <w:tcW w:w="220" w:type="dxa"/>
            <w:vAlign w:val="bottom"/>
            <w:tcBorders>
              <w:top w:val="single" w:sz="8" w:color="EEEEEE"/>
              <w:bottom w:val="single" w:sz="8" w:color="EEEEEE"/>
            </w:tcBorders>
            <w:shd w:val="clear" w:color="auto" w:fill="EEEEEE"/>
          </w:tcPr>
          <w:p>
            <w:pPr>
              <w:spacing w:after="0"/>
              <w:rPr>
                <w:sz w:val="22"/>
                <w:szCs w:val="22"/>
                <w:color w:val="auto"/>
              </w:rPr>
            </w:pPr>
          </w:p>
        </w:tc>
        <w:tc>
          <w:tcPr>
            <w:tcW w:w="180" w:type="dxa"/>
            <w:vAlign w:val="bottom"/>
            <w:tcBorders>
              <w:top w:val="single" w:sz="8" w:color="auto"/>
              <w:bottom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top w:val="single" w:sz="8" w:color="EEEEEE"/>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lease liabilities</w:t>
            </w:r>
          </w:p>
        </w:tc>
        <w:tc>
          <w:tcPr>
            <w:tcW w:w="240" w:type="dxa"/>
            <w:vAlign w:val="bottom"/>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459"/>
        </w:trPr>
        <w:tc>
          <w:tcPr>
            <w:tcW w:w="7760" w:type="dxa"/>
            <w:vAlign w:val="bottom"/>
          </w:tcPr>
          <w:p>
            <w:pPr>
              <w:spacing w:after="0"/>
              <w:rPr>
                <w:sz w:val="20"/>
                <w:szCs w:val="20"/>
                <w:color w:val="auto"/>
              </w:rPr>
            </w:pPr>
            <w:r>
              <w:rPr>
                <w:rFonts w:ascii="Arial" w:cs="Arial" w:eastAsia="Arial" w:hAnsi="Arial"/>
                <w:sz w:val="18"/>
                <w:szCs w:val="18"/>
                <w:b w:val="1"/>
                <w:bCs w:val="1"/>
                <w:color w:val="auto"/>
              </w:rPr>
              <w:t>Weighted Average Discount Rate</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Operating lease</w:t>
            </w: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Finance lease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760" w:type="dxa"/>
            <w:vAlign w:val="bottom"/>
          </w:tcPr>
          <w:p>
            <w:pPr>
              <w:spacing w:after="0"/>
              <w:rPr>
                <w:sz w:val="20"/>
                <w:szCs w:val="20"/>
                <w:color w:val="auto"/>
              </w:rPr>
            </w:pPr>
            <w:r>
              <w:rPr>
                <w:rFonts w:ascii="Arial" w:cs="Arial" w:eastAsia="Arial" w:hAnsi="Arial"/>
                <w:sz w:val="18"/>
                <w:szCs w:val="18"/>
                <w:b w:val="1"/>
                <w:bCs w:val="1"/>
                <w:color w:val="auto"/>
              </w:rPr>
              <w:t>Maturities of lease liabilities were as follows: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760" w:type="dxa"/>
            <w:vAlign w:val="bottom"/>
          </w:tcPr>
          <w:p>
            <w:pPr>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4"/>
                <w:szCs w:val="24"/>
                <w:color w:val="auto"/>
              </w:rPr>
            </w:pPr>
          </w:p>
        </w:tc>
        <w:tc>
          <w:tcPr>
            <w:tcW w:w="1560" w:type="dxa"/>
            <w:vAlign w:val="bottom"/>
            <w:gridSpan w:val="2"/>
          </w:tcPr>
          <w:p>
            <w:pPr>
              <w:jc w:val="center"/>
              <w:ind w:right="401"/>
              <w:spacing w:after="0"/>
              <w:rPr>
                <w:sz w:val="20"/>
                <w:szCs w:val="20"/>
                <w:color w:val="auto"/>
              </w:rPr>
            </w:pPr>
            <w:r>
              <w:rPr>
                <w:rFonts w:ascii="Arial" w:cs="Arial" w:eastAsia="Arial" w:hAnsi="Arial"/>
                <w:sz w:val="18"/>
                <w:szCs w:val="18"/>
                <w:b w:val="1"/>
                <w:bCs w:val="1"/>
                <w:color w:val="auto"/>
                <w:w w:val="94"/>
              </w:rPr>
              <w:t>Operating</w:t>
            </w:r>
          </w:p>
        </w:tc>
        <w:tc>
          <w:tcPr>
            <w:tcW w:w="18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Finance</w:t>
            </w:r>
          </w:p>
        </w:tc>
        <w:tc>
          <w:tcPr>
            <w:tcW w:w="0" w:type="dxa"/>
            <w:vAlign w:val="bottom"/>
          </w:tcPr>
          <w:p>
            <w:pPr>
              <w:spacing w:after="0"/>
              <w:rPr>
                <w:sz w:val="1"/>
                <w:szCs w:val="1"/>
                <w:color w:val="auto"/>
              </w:rPr>
            </w:pPr>
          </w:p>
        </w:tc>
      </w:tr>
      <w:tr>
        <w:trPr>
          <w:trHeight w:val="244"/>
        </w:trPr>
        <w:tc>
          <w:tcPr>
            <w:tcW w:w="7760" w:type="dxa"/>
            <w:vAlign w:val="bottom"/>
          </w:tcPr>
          <w:p>
            <w:pPr>
              <w:spacing w:after="0"/>
              <w:rPr>
                <w:sz w:val="20"/>
                <w:szCs w:val="20"/>
                <w:color w:val="auto"/>
              </w:rPr>
            </w:pPr>
            <w:r>
              <w:rPr>
                <w:rFonts w:ascii="Arial" w:cs="Arial" w:eastAsia="Arial" w:hAnsi="Arial"/>
                <w:sz w:val="18"/>
                <w:szCs w:val="18"/>
                <w:color w:val="auto"/>
              </w:rPr>
              <w:t>Year Ending June 30,</w:t>
            </w:r>
          </w:p>
        </w:tc>
        <w:tc>
          <w:tcPr>
            <w:tcW w:w="240" w:type="dxa"/>
            <w:vAlign w:val="bottom"/>
          </w:tcPr>
          <w:p>
            <w:pPr>
              <w:spacing w:after="0"/>
              <w:rPr>
                <w:sz w:val="21"/>
                <w:szCs w:val="21"/>
                <w:color w:val="auto"/>
              </w:rPr>
            </w:pPr>
          </w:p>
        </w:tc>
        <w:tc>
          <w:tcPr>
            <w:tcW w:w="1560" w:type="dxa"/>
            <w:vAlign w:val="bottom"/>
            <w:gridSpan w:val="2"/>
          </w:tcPr>
          <w:p>
            <w:pPr>
              <w:jc w:val="center"/>
              <w:ind w:right="401"/>
              <w:spacing w:after="0"/>
              <w:rPr>
                <w:sz w:val="20"/>
                <w:szCs w:val="20"/>
                <w:color w:val="auto"/>
              </w:rPr>
            </w:pPr>
            <w:r>
              <w:rPr>
                <w:rFonts w:ascii="Arial" w:cs="Arial" w:eastAsia="Arial" w:hAnsi="Arial"/>
                <w:sz w:val="18"/>
                <w:szCs w:val="18"/>
                <w:b w:val="1"/>
                <w:bCs w:val="1"/>
                <w:color w:val="auto"/>
                <w:w w:val="86"/>
              </w:rPr>
              <w:t>Lease</w:t>
            </w:r>
          </w:p>
        </w:tc>
        <w:tc>
          <w:tcPr>
            <w:tcW w:w="180" w:type="dxa"/>
            <w:vAlign w:val="bottom"/>
          </w:tcPr>
          <w:p>
            <w:pPr>
              <w:spacing w:after="0"/>
              <w:rPr>
                <w:sz w:val="21"/>
                <w:szCs w:val="21"/>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Lease</w:t>
            </w:r>
          </w:p>
        </w:tc>
        <w:tc>
          <w:tcPr>
            <w:tcW w:w="0" w:type="dxa"/>
            <w:vAlign w:val="bottom"/>
          </w:tcPr>
          <w:p>
            <w:pPr>
              <w:spacing w:after="0"/>
              <w:rPr>
                <w:sz w:val="1"/>
                <w:szCs w:val="1"/>
                <w:color w:val="auto"/>
              </w:rPr>
            </w:pPr>
          </w:p>
        </w:tc>
      </w:tr>
      <w:tr>
        <w:trPr>
          <w:trHeight w:val="210"/>
        </w:trPr>
        <w:tc>
          <w:tcPr>
            <w:tcW w:w="7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2023</w:t>
            </w:r>
          </w:p>
        </w:tc>
        <w:tc>
          <w:tcPr>
            <w:tcW w:w="240" w:type="dxa"/>
            <w:vAlign w:val="bottom"/>
            <w:tcBorders>
              <w:top w:val="single" w:sz="8" w:color="auto"/>
            </w:tcBorders>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2,775</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737</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452</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22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Total undiscounted lease payments</w:t>
            </w: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6,771</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Less amounts representing interest</w:t>
            </w:r>
          </w:p>
        </w:tc>
        <w:tc>
          <w:tcPr>
            <w:tcW w:w="240" w:type="dxa"/>
            <w:vAlign w:val="bottom"/>
          </w:tcPr>
          <w:p>
            <w:pPr>
              <w:spacing w:after="0"/>
              <w:rPr>
                <w:sz w:val="19"/>
                <w:szCs w:val="19"/>
                <w:color w:val="auto"/>
              </w:rPr>
            </w:pPr>
          </w:p>
        </w:tc>
        <w:tc>
          <w:tcPr>
            <w:tcW w:w="1560" w:type="dxa"/>
            <w:vAlign w:val="bottom"/>
            <w:gridSpan w:val="2"/>
          </w:tcPr>
          <w:p>
            <w:pPr>
              <w:jc w:val="right"/>
              <w:ind w:right="81"/>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77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Lease Liability</w:t>
            </w:r>
          </w:p>
        </w:tc>
        <w:tc>
          <w:tcPr>
            <w:tcW w:w="240" w:type="dxa"/>
            <w:vAlign w:val="bottom"/>
            <w:tcBorders>
              <w:top w:val="single" w:sz="8" w:color="auto"/>
              <w:bottom w:val="single" w:sz="8" w:color="auto"/>
            </w:tcBorders>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5,271</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ind w:left="5540"/>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77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180"/>
        <w:spacing w:after="0" w:line="277" w:lineRule="auto"/>
        <w:rPr>
          <w:sz w:val="20"/>
          <w:szCs w:val="20"/>
          <w:color w:val="auto"/>
        </w:rPr>
      </w:pPr>
      <w:r>
        <w:rPr>
          <w:rFonts w:ascii="Arial" w:cs="Arial" w:eastAsia="Arial" w:hAnsi="Arial"/>
          <w:sz w:val="18"/>
          <w:szCs w:val="18"/>
          <w:color w:val="auto"/>
        </w:rPr>
        <w:t>The following table presents the lease expense included in General and administrative and Occupancy expense on our Unaudited Condensed Consolidated Statement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248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80" w:type="dxa"/>
            <w:vAlign w:val="bottom"/>
            <w:gridSpan w:val="5"/>
          </w:tcPr>
          <w:p>
            <w:pPr>
              <w:jc w:val="right"/>
              <w:ind w:right="210"/>
              <w:spacing w:after="0"/>
              <w:rPr>
                <w:sz w:val="20"/>
                <w:szCs w:val="20"/>
                <w:color w:val="auto"/>
              </w:rPr>
            </w:pPr>
            <w:r>
              <w:rPr>
                <w:rFonts w:ascii="Arial" w:cs="Arial" w:eastAsia="Arial" w:hAnsi="Arial"/>
                <w:sz w:val="18"/>
                <w:szCs w:val="18"/>
                <w:b w:val="1"/>
                <w:bCs w:val="1"/>
                <w:color w:val="auto"/>
              </w:rPr>
              <w:t>Six Months Ended</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0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June 30,</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June 30,</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5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Arial" w:cs="Arial" w:eastAsia="Arial" w:hAnsi="Arial"/>
                <w:sz w:val="18"/>
                <w:szCs w:val="18"/>
                <w:b w:val="1"/>
                <w:bCs w:val="1"/>
                <w:color w:val="auto"/>
              </w:rPr>
              <w:t>(In</w:t>
            </w:r>
          </w:p>
        </w:tc>
        <w:tc>
          <w:tcPr>
            <w:tcW w:w="1140" w:type="dxa"/>
            <w:vAlign w:val="bottom"/>
            <w:gridSpan w:val="3"/>
          </w:tcPr>
          <w:p>
            <w:pPr>
              <w:jc w:val="right"/>
              <w:ind w:right="370"/>
              <w:spacing w:after="0"/>
              <w:rPr>
                <w:sz w:val="20"/>
                <w:szCs w:val="20"/>
                <w:color w:val="auto"/>
              </w:rPr>
            </w:pPr>
            <w:r>
              <w:rPr>
                <w:rFonts w:ascii="Arial" w:cs="Arial" w:eastAsia="Arial" w:hAnsi="Arial"/>
                <w:sz w:val="17"/>
                <w:szCs w:val="17"/>
                <w:b w:val="1"/>
                <w:bCs w:val="1"/>
                <w:color w:val="auto"/>
                <w:w w:val="71"/>
              </w:rPr>
              <w:t>thousands)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120" w:type="dxa"/>
            <w:vAlign w:val="bottom"/>
            <w:gridSpan w:val="3"/>
          </w:tcPr>
          <w:p>
            <w:pPr>
              <w:jc w:val="right"/>
              <w:ind w:right="370"/>
              <w:spacing w:after="0"/>
              <w:rPr>
                <w:sz w:val="20"/>
                <w:szCs w:val="20"/>
                <w:color w:val="auto"/>
              </w:rPr>
            </w:pPr>
            <w:r>
              <w:rPr>
                <w:rFonts w:ascii="Arial" w:cs="Arial" w:eastAsia="Arial" w:hAnsi="Arial"/>
                <w:sz w:val="16"/>
                <w:szCs w:val="16"/>
                <w:b w:val="1"/>
                <w:bCs w:val="1"/>
                <w:color w:val="auto"/>
                <w:w w:val="74"/>
              </w:rPr>
              <w:t>thousands)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Operating lease cost</w:t>
            </w:r>
          </w:p>
        </w:tc>
        <w:tc>
          <w:tcPr>
            <w:tcW w:w="880" w:type="dxa"/>
            <w:vAlign w:val="bottom"/>
            <w:shd w:val="clear" w:color="auto" w:fill="EEEEEE"/>
          </w:tcPr>
          <w:p>
            <w:pPr>
              <w:jc w:val="right"/>
              <w:ind w:right="69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EEEEEE"/>
          </w:tcPr>
          <w:p>
            <w:pPr>
              <w:jc w:val="right"/>
              <w:ind w:right="16"/>
              <w:spacing w:after="0"/>
              <w:rPr>
                <w:sz w:val="20"/>
                <w:szCs w:val="20"/>
                <w:color w:val="auto"/>
              </w:rPr>
            </w:pPr>
            <w:r>
              <w:rPr>
                <w:rFonts w:ascii="Arial" w:cs="Arial" w:eastAsia="Arial" w:hAnsi="Arial"/>
                <w:sz w:val="18"/>
                <w:szCs w:val="18"/>
                <w:color w:val="auto"/>
              </w:rPr>
              <w:t>1,411</w:t>
            </w:r>
          </w:p>
        </w:tc>
        <w:tc>
          <w:tcPr>
            <w:tcW w:w="1020" w:type="dxa"/>
            <w:vAlign w:val="bottom"/>
            <w:gridSpan w:val="2"/>
            <w:shd w:val="clear" w:color="auto" w:fill="EEEEEE"/>
          </w:tcPr>
          <w:p>
            <w:pPr>
              <w:jc w:val="right"/>
              <w:ind w:right="730"/>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1,760</w:t>
            </w:r>
          </w:p>
        </w:tc>
        <w:tc>
          <w:tcPr>
            <w:tcW w:w="1100" w:type="dxa"/>
            <w:vAlign w:val="bottom"/>
            <w:gridSpan w:val="2"/>
            <w:shd w:val="clear" w:color="auto" w:fill="EEEEEE"/>
          </w:tcPr>
          <w:p>
            <w:pPr>
              <w:jc w:val="right"/>
              <w:ind w:right="6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2,771</w:t>
            </w:r>
          </w:p>
        </w:tc>
        <w:tc>
          <w:tcPr>
            <w:tcW w:w="1020" w:type="dxa"/>
            <w:vAlign w:val="bottom"/>
            <w:gridSpan w:val="2"/>
            <w:shd w:val="clear" w:color="auto" w:fill="EEEEEE"/>
          </w:tcPr>
          <w:p>
            <w:pPr>
              <w:jc w:val="right"/>
              <w:ind w:right="73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3,630</w:t>
            </w:r>
          </w:p>
        </w:tc>
        <w:tc>
          <w:tcPr>
            <w:tcW w:w="100" w:type="dxa"/>
            <w:vAlign w:val="bottom"/>
            <w:shd w:val="clear" w:color="auto" w:fill="EEEEEE"/>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Finance lease cost</w:t>
            </w:r>
          </w:p>
        </w:tc>
        <w:tc>
          <w:tcPr>
            <w:tcW w:w="880" w:type="dxa"/>
            <w:vAlign w:val="bottom"/>
          </w:tcPr>
          <w:p>
            <w:pPr>
              <w:spacing w:after="0"/>
              <w:rPr>
                <w:sz w:val="18"/>
                <w:szCs w:val="18"/>
                <w:color w:val="auto"/>
              </w:rPr>
            </w:pPr>
          </w:p>
        </w:tc>
        <w:tc>
          <w:tcPr>
            <w:tcW w:w="580" w:type="dxa"/>
            <w:vAlign w:val="bottom"/>
            <w:gridSpan w:val="2"/>
          </w:tcPr>
          <w:p>
            <w:pPr>
              <w:jc w:val="right"/>
              <w:ind w:right="16"/>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21"/>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Total lease cost</w:t>
            </w:r>
          </w:p>
        </w:tc>
        <w:tc>
          <w:tcPr>
            <w:tcW w:w="880" w:type="dxa"/>
            <w:vAlign w:val="bottom"/>
            <w:shd w:val="clear" w:color="auto" w:fill="EEEEEE"/>
          </w:tcPr>
          <w:p>
            <w:pPr>
              <w:jc w:val="right"/>
              <w:ind w:right="69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EEEEEE"/>
          </w:tcPr>
          <w:p>
            <w:pPr>
              <w:jc w:val="right"/>
              <w:ind w:right="16"/>
              <w:spacing w:after="0"/>
              <w:rPr>
                <w:sz w:val="20"/>
                <w:szCs w:val="20"/>
                <w:color w:val="auto"/>
              </w:rPr>
            </w:pPr>
            <w:r>
              <w:rPr>
                <w:rFonts w:ascii="Arial" w:cs="Arial" w:eastAsia="Arial" w:hAnsi="Arial"/>
                <w:sz w:val="18"/>
                <w:szCs w:val="18"/>
                <w:color w:val="auto"/>
              </w:rPr>
              <w:t>1,435</w:t>
            </w:r>
          </w:p>
        </w:tc>
        <w:tc>
          <w:tcPr>
            <w:tcW w:w="1020" w:type="dxa"/>
            <w:vAlign w:val="bottom"/>
            <w:gridSpan w:val="2"/>
            <w:shd w:val="clear" w:color="auto" w:fill="EEEEEE"/>
          </w:tcPr>
          <w:p>
            <w:pPr>
              <w:jc w:val="right"/>
              <w:ind w:right="730"/>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2,017</w:t>
            </w:r>
          </w:p>
        </w:tc>
        <w:tc>
          <w:tcPr>
            <w:tcW w:w="1100" w:type="dxa"/>
            <w:vAlign w:val="bottom"/>
            <w:gridSpan w:val="2"/>
            <w:shd w:val="clear" w:color="auto" w:fill="EEEEEE"/>
          </w:tcPr>
          <w:p>
            <w:pPr>
              <w:jc w:val="right"/>
              <w:ind w:right="6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2,896</w:t>
            </w:r>
          </w:p>
        </w:tc>
        <w:tc>
          <w:tcPr>
            <w:tcW w:w="1020" w:type="dxa"/>
            <w:vAlign w:val="bottom"/>
            <w:gridSpan w:val="2"/>
            <w:shd w:val="clear" w:color="auto" w:fill="EEEEEE"/>
          </w:tcPr>
          <w:p>
            <w:pPr>
              <w:jc w:val="right"/>
              <w:ind w:right="73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4,185</w:t>
            </w:r>
          </w:p>
        </w:tc>
        <w:tc>
          <w:tcPr>
            <w:tcW w:w="100" w:type="dxa"/>
            <w:vAlign w:val="bottom"/>
            <w:shd w:val="clear" w:color="auto" w:fill="EEEEEE"/>
          </w:tcPr>
          <w:p>
            <w:pPr>
              <w:spacing w:after="0"/>
              <w:rPr>
                <w:sz w:val="20"/>
                <w:szCs w:val="20"/>
                <w:color w:val="auto"/>
              </w:rPr>
            </w:pPr>
          </w:p>
        </w:tc>
      </w:tr>
      <w:tr>
        <w:trPr>
          <w:trHeight w:val="20"/>
        </w:trPr>
        <w:tc>
          <w:tcPr>
            <w:tcW w:w="506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the supplemental cash flow information related to leases: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2480" w:type="dxa"/>
            <w:vAlign w:val="bottom"/>
            <w:gridSpan w:val="5"/>
          </w:tcPr>
          <w:p>
            <w:pPr>
              <w:jc w:val="center"/>
              <w:ind w:left="350"/>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4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350"/>
              <w:spacing w:after="0"/>
              <w:rPr>
                <w:sz w:val="20"/>
                <w:szCs w:val="20"/>
                <w:color w:val="auto"/>
              </w:rPr>
            </w:pPr>
            <w:r>
              <w:rPr>
                <w:rFonts w:ascii="Arial" w:cs="Arial" w:eastAsia="Arial" w:hAnsi="Arial"/>
                <w:sz w:val="18"/>
                <w:szCs w:val="18"/>
                <w:b w:val="1"/>
                <w:bCs w:val="1"/>
                <w:color w:val="auto"/>
                <w:w w:val="88"/>
              </w:rPr>
              <w:t>June 30,</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vMerge w:val="restart"/>
          </w:tcPr>
          <w:p>
            <w:pPr>
              <w:spacing w:after="0"/>
              <w:rPr>
                <w:sz w:val="20"/>
                <w:szCs w:val="20"/>
                <w:color w:val="auto"/>
              </w:rPr>
            </w:pPr>
            <w:r>
              <w:rPr>
                <w:rFonts w:ascii="Arial" w:cs="Arial" w:eastAsia="Arial" w:hAnsi="Arial"/>
                <w:sz w:val="18"/>
                <w:szCs w:val="18"/>
                <w:b w:val="1"/>
                <w:bCs w:val="1"/>
                <w:color w:val="auto"/>
                <w:w w:val="96"/>
              </w:rPr>
              <w:t>Cash paid for amounts included in the measurement of lease</w:t>
            </w: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w:t>
            </w:r>
          </w:p>
        </w:tc>
        <w:tc>
          <w:tcPr>
            <w:tcW w:w="11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7"/>
                <w:szCs w:val="17"/>
                <w:b w:val="1"/>
                <w:bCs w:val="1"/>
                <w:color w:val="auto"/>
                <w:w w:val="71"/>
              </w:rPr>
              <w:t>thousands)</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(In</w:t>
            </w:r>
          </w:p>
        </w:tc>
        <w:tc>
          <w:tcPr>
            <w:tcW w:w="6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w w:val="74"/>
              </w:rPr>
              <w:t>thousands)</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06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060" w:type="dxa"/>
            <w:vAlign w:val="bottom"/>
          </w:tcPr>
          <w:p>
            <w:pPr>
              <w:ind w:left="180"/>
              <w:spacing w:after="0"/>
              <w:rPr>
                <w:sz w:val="20"/>
                <w:szCs w:val="20"/>
                <w:color w:val="auto"/>
              </w:rPr>
            </w:pPr>
            <w:r>
              <w:rPr>
                <w:rFonts w:ascii="Arial" w:cs="Arial" w:eastAsia="Arial" w:hAnsi="Arial"/>
                <w:sz w:val="18"/>
                <w:szCs w:val="18"/>
                <w:b w:val="1"/>
                <w:bCs w:val="1"/>
                <w:color w:val="auto"/>
              </w:rPr>
              <w:t>liabilities:</w:t>
            </w: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Operating cash flows from operating leases</w:t>
            </w:r>
          </w:p>
        </w:tc>
        <w:tc>
          <w:tcPr>
            <w:tcW w:w="880" w:type="dxa"/>
            <w:vAlign w:val="bottom"/>
            <w:shd w:val="clear" w:color="auto" w:fill="EEEEEE"/>
          </w:tcPr>
          <w:p>
            <w:pPr>
              <w:jc w:val="right"/>
              <w:ind w:right="69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EEEEEE"/>
          </w:tcPr>
          <w:p>
            <w:pPr>
              <w:jc w:val="right"/>
              <w:ind w:right="16"/>
              <w:spacing w:after="0"/>
              <w:rPr>
                <w:sz w:val="20"/>
                <w:szCs w:val="20"/>
                <w:color w:val="auto"/>
              </w:rPr>
            </w:pPr>
            <w:r>
              <w:rPr>
                <w:rFonts w:ascii="Arial" w:cs="Arial" w:eastAsia="Arial" w:hAnsi="Arial"/>
                <w:sz w:val="18"/>
                <w:szCs w:val="18"/>
                <w:color w:val="auto"/>
              </w:rPr>
              <w:t>1,441</w:t>
            </w:r>
          </w:p>
        </w:tc>
        <w:tc>
          <w:tcPr>
            <w:tcW w:w="1020" w:type="dxa"/>
            <w:vAlign w:val="bottom"/>
            <w:gridSpan w:val="2"/>
            <w:shd w:val="clear" w:color="auto" w:fill="EEEEEE"/>
          </w:tcPr>
          <w:p>
            <w:pPr>
              <w:jc w:val="right"/>
              <w:ind w:right="730"/>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1,907</w:t>
            </w:r>
          </w:p>
        </w:tc>
        <w:tc>
          <w:tcPr>
            <w:tcW w:w="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2,771</w:t>
            </w:r>
          </w:p>
        </w:tc>
        <w:tc>
          <w:tcPr>
            <w:tcW w:w="5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3,965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Operating cash flows from finance leases</w:t>
            </w:r>
          </w:p>
        </w:tc>
        <w:tc>
          <w:tcPr>
            <w:tcW w:w="880" w:type="dxa"/>
            <w:vAlign w:val="bottom"/>
          </w:tcPr>
          <w:p>
            <w:pPr>
              <w:spacing w:after="0"/>
              <w:rPr>
                <w:sz w:val="18"/>
                <w:szCs w:val="18"/>
                <w:color w:val="auto"/>
              </w:rPr>
            </w:pPr>
          </w:p>
        </w:tc>
        <w:tc>
          <w:tcPr>
            <w:tcW w:w="580" w:type="dxa"/>
            <w:vAlign w:val="bottom"/>
            <w:gridSpan w:val="2"/>
          </w:tcPr>
          <w:p>
            <w:pPr>
              <w:jc w:val="right"/>
              <w:ind w:right="16"/>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Financing cash flows from finance leases</w:t>
            </w:r>
          </w:p>
        </w:tc>
        <w:tc>
          <w:tcPr>
            <w:tcW w:w="8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4</w:t>
            </w: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180"/>
        <w:spacing w:after="0" w:line="277" w:lineRule="auto"/>
        <w:rPr>
          <w:sz w:val="20"/>
          <w:szCs w:val="20"/>
          <w:color w:val="auto"/>
        </w:rPr>
      </w:pPr>
      <w:r>
        <w:rPr>
          <w:rFonts w:ascii="Arial" w:cs="Arial" w:eastAsia="Arial" w:hAnsi="Arial"/>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70"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8"/>
          <w:szCs w:val="18"/>
          <w:color w:val="auto"/>
        </w:rPr>
        <w:t>For the three and six months ended June 30, 2023, we recorded stock-based compensation costs in the amount of $905,000 and $1.8 million, respectively. These stock-based compensation costs were $728,000 and $1.5 million for the three and six months ended June 30, 2022. As of June 30, 2023, unrecognized stock-based compensation costs to be recognized over future periods equaled $7.6 million. This amount will be recognized as expense over a weighted-average period of 2.0 years.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gridSpan w:val="3"/>
          </w:tcPr>
          <w:p>
            <w:pPr>
              <w:ind w:left="180"/>
              <w:spacing w:after="0"/>
              <w:rPr>
                <w:sz w:val="20"/>
                <w:szCs w:val="20"/>
                <w:color w:val="auto"/>
              </w:rPr>
            </w:pPr>
            <w:r>
              <w:rPr>
                <w:rFonts w:ascii="Arial" w:cs="Arial" w:eastAsia="Arial" w:hAnsi="Arial"/>
                <w:sz w:val="18"/>
                <w:szCs w:val="18"/>
                <w:color w:val="auto"/>
              </w:rPr>
              <w:t>The following represents stock option activity for the six months ended June 30, 2023:</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4"/>
        </w:trPr>
        <w:tc>
          <w:tcPr>
            <w:tcW w:w="5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96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6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r>
      <w:tr>
        <w:trPr>
          <w:trHeight w:val="229"/>
        </w:trPr>
        <w:tc>
          <w:tcPr>
            <w:tcW w:w="5960" w:type="dxa"/>
            <w:vAlign w:val="bottom"/>
          </w:tcPr>
          <w:p>
            <w:pPr>
              <w:spacing w:after="0"/>
              <w:rPr>
                <w:sz w:val="19"/>
                <w:szCs w:val="19"/>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19"/>
                <w:szCs w:val="19"/>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34"/>
        </w:trPr>
        <w:tc>
          <w:tcPr>
            <w:tcW w:w="5960" w:type="dxa"/>
            <w:vAlign w:val="bottom"/>
            <w:tcBorders>
              <w:bottom w:val="single" w:sz="8" w:color="EEEEEE"/>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Exercise Price</w:t>
            </w:r>
          </w:p>
        </w:tc>
        <w:tc>
          <w:tcPr>
            <w:tcW w:w="220" w:type="dxa"/>
            <w:vAlign w:val="bottom"/>
            <w:tcBorders>
              <w:bottom w:val="single" w:sz="8" w:color="EEEEEE"/>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Contractual Term</w:t>
            </w:r>
          </w:p>
        </w:tc>
      </w:tr>
      <w:tr>
        <w:trPr>
          <w:trHeight w:val="250"/>
        </w:trPr>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11,167</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5.21</w:t>
            </w:r>
          </w:p>
        </w:tc>
        <w:tc>
          <w:tcPr>
            <w:tcW w:w="220" w:type="dxa"/>
            <w:vAlign w:val="bottom"/>
            <w:shd w:val="clear" w:color="auto" w:fill="EEEEEE"/>
          </w:tcPr>
          <w:p>
            <w:pPr>
              <w:spacing w:after="0"/>
              <w:rPr>
                <w:sz w:val="21"/>
                <w:szCs w:val="21"/>
                <w:color w:val="auto"/>
              </w:rPr>
            </w:pPr>
          </w:p>
        </w:tc>
        <w:tc>
          <w:tcPr>
            <w:tcW w:w="1680" w:type="dxa"/>
            <w:vAlign w:val="bottom"/>
            <w:shd w:val="clear" w:color="auto" w:fill="EEEEEE"/>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59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Exercised</w:t>
            </w:r>
          </w:p>
        </w:tc>
        <w:tc>
          <w:tcPr>
            <w:tcW w:w="18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(2,805)</w:t>
            </w: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5.59</w:t>
            </w:r>
          </w:p>
        </w:tc>
        <w:tc>
          <w:tcPr>
            <w:tcW w:w="220" w:type="dxa"/>
            <w:vAlign w:val="bottom"/>
            <w:shd w:val="clear" w:color="auto" w:fill="EEEEEE"/>
          </w:tcPr>
          <w:p>
            <w:pPr>
              <w:spacing w:after="0"/>
              <w:rPr>
                <w:sz w:val="18"/>
                <w:szCs w:val="18"/>
                <w:color w:val="auto"/>
              </w:rPr>
            </w:pPr>
          </w:p>
        </w:tc>
        <w:tc>
          <w:tcPr>
            <w:tcW w:w="1680" w:type="dxa"/>
            <w:vAlign w:val="bottom"/>
            <w:shd w:val="clear" w:color="auto" w:fill="EEEEEE"/>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0"/>
        </w:trPr>
        <w:tc>
          <w:tcPr>
            <w:tcW w:w="59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7"/>
        </w:trPr>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8,362</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5.09</w:t>
            </w:r>
          </w:p>
        </w:tc>
        <w:tc>
          <w:tcPr>
            <w:tcW w:w="220" w:type="dxa"/>
            <w:vAlign w:val="bottom"/>
            <w:shd w:val="clear" w:color="auto" w:fill="EEEEEE"/>
          </w:tcPr>
          <w:p>
            <w:pPr>
              <w:spacing w:after="0"/>
              <w:rPr>
                <w:sz w:val="20"/>
                <w:szCs w:val="20"/>
                <w:color w:val="auto"/>
              </w:rPr>
            </w:pPr>
          </w:p>
        </w:tc>
        <w:tc>
          <w:tcPr>
            <w:tcW w:w="1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3.61 years</w:t>
            </w:r>
          </w:p>
        </w:tc>
      </w:tr>
      <w:tr>
        <w:trPr>
          <w:trHeight w:val="20"/>
        </w:trPr>
        <w:tc>
          <w:tcPr>
            <w:tcW w:w="5960" w:type="dxa"/>
            <w:vAlign w:val="bottom"/>
            <w:tcBorders>
              <w:top w:val="single" w:sz="8" w:color="EEEEEE"/>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680" w:type="dxa"/>
            <w:vAlign w:val="bottom"/>
            <w:tcBorders>
              <w:top w:val="single" w:sz="8" w:color="EEEEEE"/>
            </w:tcBorders>
          </w:tcPr>
          <w:p>
            <w:pPr>
              <w:spacing w:after="0" w:line="20" w:lineRule="exact"/>
              <w:rPr>
                <w:sz w:val="1"/>
                <w:szCs w:val="1"/>
                <w:color w:val="auto"/>
              </w:rPr>
            </w:pPr>
          </w:p>
        </w:tc>
      </w:tr>
      <w:tr>
        <w:trPr>
          <w:trHeight w:val="197"/>
        </w:trPr>
        <w:tc>
          <w:tcPr>
            <w:tcW w:w="59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43"/>
        </w:trPr>
        <w:tc>
          <w:tcPr>
            <w:tcW w:w="596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5,675</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4.31</w:t>
            </w:r>
          </w:p>
        </w:tc>
        <w:tc>
          <w:tcPr>
            <w:tcW w:w="220" w:type="dxa"/>
            <w:vAlign w:val="bottom"/>
            <w:shd w:val="clear" w:color="auto" w:fill="EEEEEE"/>
          </w:tcPr>
          <w:p>
            <w:pPr>
              <w:spacing w:after="0"/>
              <w:rPr>
                <w:sz w:val="21"/>
                <w:szCs w:val="21"/>
                <w:color w:val="auto"/>
              </w:rPr>
            </w:pPr>
          </w:p>
        </w:tc>
        <w:tc>
          <w:tcPr>
            <w:tcW w:w="1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2.94 years</w:t>
            </w:r>
          </w:p>
        </w:tc>
      </w:tr>
      <w:tr>
        <w:trPr>
          <w:trHeight w:val="20"/>
        </w:trPr>
        <w:tc>
          <w:tcPr>
            <w:tcW w:w="5960" w:type="dxa"/>
            <w:vAlign w:val="bottom"/>
            <w:tcBorders>
              <w:top w:val="single" w:sz="8" w:color="EEEEEE"/>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680" w:type="dxa"/>
            <w:vAlign w:val="bottom"/>
            <w:tcBorders>
              <w:top w:val="single" w:sz="8" w:color="EEEEEE"/>
            </w:tcBorders>
          </w:tcPr>
          <w:p>
            <w:pPr>
              <w:spacing w:after="0" w:line="20" w:lineRule="exact"/>
              <w:rPr>
                <w:sz w:val="1"/>
                <w:szCs w:val="1"/>
                <w:color w:val="auto"/>
              </w:rPr>
            </w:pPr>
          </w:p>
        </w:tc>
      </w:tr>
    </w:tbl>
    <w:p>
      <w:pPr>
        <w:spacing w:after="0" w:line="202" w:lineRule="exact"/>
        <w:rPr>
          <w:sz w:val="20"/>
          <w:szCs w:val="20"/>
          <w:color w:val="auto"/>
        </w:rPr>
      </w:pPr>
    </w:p>
    <w:p>
      <w:pPr>
        <w:jc w:val="both"/>
        <w:ind w:firstLine="180"/>
        <w:spacing w:after="0" w:line="277" w:lineRule="auto"/>
        <w:rPr>
          <w:sz w:val="20"/>
          <w:szCs w:val="20"/>
          <w:color w:val="auto"/>
        </w:rPr>
      </w:pPr>
      <w:r>
        <w:rPr>
          <w:rFonts w:ascii="Arial" w:cs="Arial" w:eastAsia="Arial" w:hAnsi="Arial"/>
          <w:sz w:val="18"/>
          <w:szCs w:val="18"/>
          <w:color w:val="auto"/>
        </w:rPr>
        <w:t>The following table presents the price distribution of stock options outstanding and exercisable for the years ended June 30, 2023 and December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360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Number of shares as of</w:t>
            </w:r>
          </w:p>
        </w:tc>
        <w:tc>
          <w:tcPr>
            <w:tcW w:w="34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7"/>
              </w:rPr>
              <w:t>Number of shares as of</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p>
        </w:tc>
        <w:tc>
          <w:tcPr>
            <w:tcW w:w="3600" w:type="dxa"/>
            <w:vAlign w:val="bottom"/>
            <w:gridSpan w:val="4"/>
          </w:tcPr>
          <w:p>
            <w:pPr>
              <w:jc w:val="right"/>
              <w:ind w:right="1380"/>
              <w:spacing w:after="0"/>
              <w:rPr>
                <w:sz w:val="20"/>
                <w:szCs w:val="20"/>
                <w:color w:val="auto"/>
              </w:rPr>
            </w:pPr>
            <w:r>
              <w:rPr>
                <w:rFonts w:ascii="Arial" w:cs="Arial" w:eastAsia="Arial" w:hAnsi="Arial"/>
                <w:sz w:val="18"/>
                <w:szCs w:val="18"/>
                <w:b w:val="1"/>
                <w:bCs w:val="1"/>
                <w:color w:val="auto"/>
              </w:rPr>
              <w:t>June 30, 2023</w:t>
            </w:r>
          </w:p>
        </w:tc>
        <w:tc>
          <w:tcPr>
            <w:tcW w:w="34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December 31, 2022</w:t>
            </w:r>
          </w:p>
        </w:tc>
        <w:tc>
          <w:tcPr>
            <w:tcW w:w="0" w:type="dxa"/>
            <w:vAlign w:val="bottom"/>
          </w:tcPr>
          <w:p>
            <w:pPr>
              <w:spacing w:after="0"/>
              <w:rPr>
                <w:sz w:val="1"/>
                <w:szCs w:val="1"/>
                <w:color w:val="auto"/>
              </w:rPr>
            </w:pPr>
          </w:p>
        </w:tc>
      </w:tr>
      <w:tr>
        <w:trPr>
          <w:trHeight w:val="223"/>
        </w:trPr>
        <w:tc>
          <w:tcPr>
            <w:tcW w:w="4160" w:type="dxa"/>
            <w:vAlign w:val="bottom"/>
            <w:vMerge w:val="restart"/>
          </w:tcPr>
          <w:p>
            <w:pPr>
              <w:spacing w:after="0"/>
              <w:rPr>
                <w:sz w:val="20"/>
                <w:szCs w:val="20"/>
                <w:color w:val="auto"/>
              </w:rPr>
            </w:pPr>
            <w:r>
              <w:rPr>
                <w:rFonts w:ascii="Arial" w:cs="Arial" w:eastAsia="Arial" w:hAnsi="Arial"/>
                <w:sz w:val="18"/>
                <w:szCs w:val="18"/>
                <w:b w:val="1"/>
                <w:bCs w:val="1"/>
                <w:color w:val="auto"/>
              </w:rPr>
              <w:t>Range of exercise prices:</w:t>
            </w:r>
          </w:p>
        </w:tc>
        <w:tc>
          <w:tcPr>
            <w:tcW w:w="15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Outstanding</w:t>
            </w:r>
          </w:p>
        </w:tc>
        <w:tc>
          <w:tcPr>
            <w:tcW w:w="220" w:type="dxa"/>
            <w:vAlign w:val="bottom"/>
            <w:tcBorders>
              <w:top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Exercisable</w:t>
            </w:r>
          </w:p>
        </w:tc>
        <w:tc>
          <w:tcPr>
            <w:tcW w:w="24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Outstanding</w:t>
            </w:r>
          </w:p>
        </w:tc>
        <w:tc>
          <w:tcPr>
            <w:tcW w:w="22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Exercisable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60" w:type="dxa"/>
            <w:vAlign w:val="bottom"/>
            <w:vMerge w:val="continue"/>
          </w:tcPr>
          <w:p>
            <w:pPr>
              <w:spacing w:after="0"/>
              <w:rPr>
                <w:sz w:val="18"/>
                <w:szCs w:val="18"/>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780" w:type="dxa"/>
            <w:vAlign w:val="bottom"/>
            <w:gridSpan w:val="2"/>
          </w:tcPr>
          <w:p>
            <w:pPr>
              <w:jc w:val="right"/>
              <w:ind w:right="1030"/>
              <w:spacing w:after="0"/>
              <w:rPr>
                <w:sz w:val="20"/>
                <w:szCs w:val="20"/>
                <w:color w:val="auto"/>
              </w:rPr>
            </w:pPr>
            <w:r>
              <w:rPr>
                <w:rFonts w:ascii="Arial" w:cs="Arial" w:eastAsia="Arial" w:hAnsi="Arial"/>
                <w:sz w:val="16"/>
                <w:szCs w:val="16"/>
                <w:b w:val="1"/>
                <w:bCs w:val="1"/>
                <w:color w:val="auto"/>
                <w:w w:val="74"/>
              </w:rPr>
              <w:t>thousands)</w:t>
            </w:r>
          </w:p>
        </w:tc>
        <w:tc>
          <w:tcPr>
            <w:tcW w:w="240" w:type="dxa"/>
            <w:vAlign w:val="bottom"/>
          </w:tcPr>
          <w:p>
            <w:pPr>
              <w:spacing w:after="0"/>
              <w:rPr>
                <w:sz w:val="18"/>
                <w:szCs w:val="18"/>
                <w:color w:val="auto"/>
              </w:rPr>
            </w:pPr>
          </w:p>
        </w:tc>
        <w:tc>
          <w:tcPr>
            <w:tcW w:w="34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(In thousands)</w:t>
            </w:r>
          </w:p>
        </w:tc>
        <w:tc>
          <w:tcPr>
            <w:tcW w:w="0" w:type="dxa"/>
            <w:vAlign w:val="bottom"/>
          </w:tcPr>
          <w:p>
            <w:pPr>
              <w:spacing w:after="0"/>
              <w:rPr>
                <w:sz w:val="1"/>
                <w:szCs w:val="1"/>
                <w:color w:val="auto"/>
              </w:rPr>
            </w:pPr>
          </w:p>
        </w:tc>
      </w:tr>
      <w:tr>
        <w:trPr>
          <w:trHeight w:val="216"/>
        </w:trPr>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$2.00 - $2.99</w:t>
            </w: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1,440</w:t>
            </w:r>
          </w:p>
        </w:tc>
        <w:tc>
          <w:tcPr>
            <w:tcW w:w="22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1,105</w:t>
            </w: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1,445</w:t>
            </w:r>
          </w:p>
        </w:tc>
        <w:tc>
          <w:tcPr>
            <w:tcW w:w="1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$3.00 - $3.99</w:t>
            </w:r>
          </w:p>
        </w:tc>
        <w:tc>
          <w:tcPr>
            <w:tcW w:w="1580" w:type="dxa"/>
            <w:vAlign w:val="bottom"/>
          </w:tcPr>
          <w:p>
            <w:pPr>
              <w:jc w:val="right"/>
              <w:spacing w:after="0"/>
              <w:rPr>
                <w:sz w:val="20"/>
                <w:szCs w:val="20"/>
                <w:color w:val="auto"/>
              </w:rPr>
            </w:pPr>
            <w:r>
              <w:rPr>
                <w:rFonts w:ascii="Arial" w:cs="Arial" w:eastAsia="Arial" w:hAnsi="Arial"/>
                <w:sz w:val="18"/>
                <w:szCs w:val="18"/>
                <w:color w:val="auto"/>
              </w:rPr>
              <w:t>2,543</w:t>
            </w:r>
          </w:p>
        </w:tc>
        <w:tc>
          <w:tcPr>
            <w:tcW w:w="22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2,253</w:t>
            </w:r>
          </w:p>
        </w:tc>
        <w:tc>
          <w:tcPr>
            <w:tcW w:w="1580" w:type="dxa"/>
            <w:vAlign w:val="bottom"/>
          </w:tcPr>
          <w:p>
            <w:pPr>
              <w:jc w:val="right"/>
              <w:spacing w:after="0"/>
              <w:rPr>
                <w:sz w:val="20"/>
                <w:szCs w:val="20"/>
                <w:color w:val="auto"/>
              </w:rPr>
            </w:pPr>
            <w:r>
              <w:rPr>
                <w:rFonts w:ascii="Arial" w:cs="Arial" w:eastAsia="Arial" w:hAnsi="Arial"/>
                <w:sz w:val="18"/>
                <w:szCs w:val="18"/>
                <w:color w:val="auto"/>
              </w:rPr>
              <w:t>3,785</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3,495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$4.00 - $4.99</w:t>
            </w: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2,669</w:t>
            </w:r>
          </w:p>
        </w:tc>
        <w:tc>
          <w:tcPr>
            <w:tcW w:w="22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1,732</w:t>
            </w: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2,739</w:t>
            </w:r>
          </w:p>
        </w:tc>
        <w:tc>
          <w:tcPr>
            <w:tcW w:w="1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1,802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$5.00 - $5.99</w:t>
            </w:r>
          </w:p>
        </w:tc>
        <w:tc>
          <w:tcPr>
            <w:tcW w:w="18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$6.00 - $6.99</w:t>
            </w:r>
          </w:p>
        </w:tc>
        <w:tc>
          <w:tcPr>
            <w:tcW w:w="180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740</w:t>
            </w:r>
          </w:p>
        </w:tc>
        <w:tc>
          <w:tcPr>
            <w:tcW w:w="1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$7.00 - $7.99</w:t>
            </w:r>
          </w:p>
        </w:tc>
        <w:tc>
          <w:tcPr>
            <w:tcW w:w="18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748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$10.00 - $10.99</w:t>
            </w: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1,710</w:t>
            </w:r>
          </w:p>
        </w:tc>
        <w:tc>
          <w:tcPr>
            <w:tcW w:w="220" w:type="dxa"/>
            <w:vAlign w:val="bottom"/>
            <w:shd w:val="clear" w:color="auto" w:fill="EEEEEE"/>
          </w:tcPr>
          <w:p>
            <w:pPr>
              <w:spacing w:after="0"/>
              <w:rPr>
                <w:sz w:val="19"/>
                <w:szCs w:val="19"/>
                <w:color w:val="auto"/>
              </w:rPr>
            </w:pPr>
          </w:p>
        </w:tc>
        <w:tc>
          <w:tcPr>
            <w:tcW w:w="1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585</w:t>
            </w: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1,710</w:t>
            </w:r>
          </w:p>
        </w:tc>
        <w:tc>
          <w:tcPr>
            <w:tcW w:w="1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shd w:val="clear" w:color="auto" w:fill="EEEEEE"/>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Total shares</w:t>
            </w:r>
          </w:p>
        </w:tc>
        <w:tc>
          <w:tcPr>
            <w:tcW w:w="1580" w:type="dxa"/>
            <w:vAlign w:val="bottom"/>
          </w:tcPr>
          <w:p>
            <w:pPr>
              <w:jc w:val="right"/>
              <w:spacing w:after="0"/>
              <w:rPr>
                <w:sz w:val="20"/>
                <w:szCs w:val="20"/>
                <w:color w:val="auto"/>
              </w:rPr>
            </w:pPr>
            <w:r>
              <w:rPr>
                <w:rFonts w:ascii="Arial" w:cs="Arial" w:eastAsia="Arial" w:hAnsi="Arial"/>
                <w:sz w:val="18"/>
                <w:szCs w:val="18"/>
                <w:color w:val="auto"/>
              </w:rPr>
              <w:t>8,362</w:t>
            </w:r>
          </w:p>
        </w:tc>
        <w:tc>
          <w:tcPr>
            <w:tcW w:w="220" w:type="dxa"/>
            <w:vAlign w:val="bottom"/>
          </w:tcPr>
          <w:p>
            <w:pPr>
              <w:spacing w:after="0"/>
              <w:rPr>
                <w:sz w:val="19"/>
                <w:szCs w:val="19"/>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5,675</w:t>
            </w:r>
          </w:p>
        </w:tc>
        <w:tc>
          <w:tcPr>
            <w:tcW w:w="1580" w:type="dxa"/>
            <w:vAlign w:val="bottom"/>
          </w:tcPr>
          <w:p>
            <w:pPr>
              <w:jc w:val="right"/>
              <w:spacing w:after="0"/>
              <w:rPr>
                <w:sz w:val="20"/>
                <w:szCs w:val="20"/>
                <w:color w:val="auto"/>
              </w:rPr>
            </w:pPr>
            <w:r>
              <w:rPr>
                <w:rFonts w:ascii="Arial" w:cs="Arial" w:eastAsia="Arial" w:hAnsi="Arial"/>
                <w:sz w:val="18"/>
                <w:szCs w:val="18"/>
                <w:color w:val="auto"/>
              </w:rPr>
              <w:t>11,167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7,770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8"/>
          <w:szCs w:val="18"/>
          <w:color w:val="auto"/>
        </w:rPr>
        <w:t>At June 30, 2023 the aggregate intrinsic value of options outstanding and exercisable was $55.1 million and $41.8 million, respectively. There were 2.8 million options exercised for the six months ended June 30, 2023 compared to 2.9 million for the comparable period in 2022. The total intrinsic value of options exercised was $13.3 million and $12.2 million for the six-month periods ended June 30, 2023 and 2022. There were 2,661,000 shares available for future stock option grants under existing plans as of June 30, 2023.</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Company Stock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 below describes the purchase of our common stock for the six months ended June 30,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4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Six Months Ended</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160" w:type="dxa"/>
            <w:vAlign w:val="bottom"/>
          </w:tcPr>
          <w:p>
            <w:pPr>
              <w:spacing w:after="0"/>
              <w:rPr>
                <w:sz w:val="20"/>
                <w:szCs w:val="20"/>
                <w:color w:val="auto"/>
              </w:rPr>
            </w:pPr>
          </w:p>
        </w:tc>
        <w:tc>
          <w:tcPr>
            <w:tcW w:w="3600" w:type="dxa"/>
            <w:vAlign w:val="bottom"/>
            <w:gridSpan w:val="6"/>
          </w:tcPr>
          <w:p>
            <w:pPr>
              <w:ind w:left="1160"/>
              <w:spacing w:after="0"/>
              <w:rPr>
                <w:sz w:val="20"/>
                <w:szCs w:val="20"/>
                <w:color w:val="auto"/>
              </w:rPr>
            </w:pPr>
            <w:r>
              <w:rPr>
                <w:rFonts w:ascii="Arial" w:cs="Arial" w:eastAsia="Arial" w:hAnsi="Arial"/>
                <w:sz w:val="18"/>
                <w:szCs w:val="18"/>
                <w:b w:val="1"/>
                <w:bCs w:val="1"/>
                <w:color w:val="auto"/>
              </w:rPr>
              <w:t>June 30, 2023</w:t>
            </w:r>
          </w:p>
        </w:tc>
        <w:tc>
          <w:tcPr>
            <w:tcW w:w="3480" w:type="dxa"/>
            <w:vAlign w:val="bottom"/>
            <w:gridSpan w:val="5"/>
          </w:tcPr>
          <w:p>
            <w:pPr>
              <w:ind w:left="1160"/>
              <w:spacing w:after="0"/>
              <w:rPr>
                <w:sz w:val="20"/>
                <w:szCs w:val="20"/>
                <w:color w:val="auto"/>
              </w:rPr>
            </w:pPr>
            <w:r>
              <w:rPr>
                <w:rFonts w:ascii="Arial" w:cs="Arial" w:eastAsia="Arial" w:hAnsi="Arial"/>
                <w:sz w:val="18"/>
                <w:szCs w:val="18"/>
                <w:b w:val="1"/>
                <w:bCs w:val="1"/>
                <w:color w:val="auto"/>
              </w:rPr>
              <w:t>June 30, 2022</w:t>
            </w:r>
          </w:p>
        </w:tc>
      </w:tr>
      <w:tr>
        <w:trPr>
          <w:trHeight w:val="223"/>
        </w:trPr>
        <w:tc>
          <w:tcPr>
            <w:tcW w:w="4160" w:type="dxa"/>
            <w:vAlign w:val="bottom"/>
          </w:tcPr>
          <w:p>
            <w:pPr>
              <w:spacing w:after="0"/>
              <w:rPr>
                <w:sz w:val="19"/>
                <w:szCs w:val="19"/>
                <w:color w:val="auto"/>
              </w:rPr>
            </w:pPr>
          </w:p>
        </w:tc>
        <w:tc>
          <w:tcPr>
            <w:tcW w:w="1680" w:type="dxa"/>
            <w:vAlign w:val="bottom"/>
            <w:tcBorders>
              <w:top w:val="single" w:sz="8" w:color="auto"/>
            </w:tcBorders>
            <w:gridSpan w:val="2"/>
          </w:tcPr>
          <w:p>
            <w:pPr>
              <w:ind w:left="54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Avg. Price</w:t>
            </w:r>
          </w:p>
        </w:tc>
        <w:tc>
          <w:tcPr>
            <w:tcW w:w="240" w:type="dxa"/>
            <w:vAlign w:val="bottom"/>
          </w:tcPr>
          <w:p>
            <w:pPr>
              <w:spacing w:after="0"/>
              <w:rPr>
                <w:sz w:val="19"/>
                <w:szCs w:val="19"/>
                <w:color w:val="auto"/>
              </w:rPr>
            </w:pPr>
          </w:p>
        </w:tc>
        <w:tc>
          <w:tcPr>
            <w:tcW w:w="158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Avg. Price</w:t>
            </w:r>
          </w:p>
        </w:tc>
        <w:tc>
          <w:tcPr>
            <w:tcW w:w="100" w:type="dxa"/>
            <w:vAlign w:val="bottom"/>
          </w:tcPr>
          <w:p>
            <w:pPr>
              <w:spacing w:after="0"/>
              <w:rPr>
                <w:sz w:val="19"/>
                <w:szCs w:val="19"/>
                <w:color w:val="auto"/>
              </w:rPr>
            </w:pPr>
          </w:p>
        </w:tc>
      </w:tr>
      <w:tr>
        <w:trPr>
          <w:trHeight w:val="210"/>
        </w:trPr>
        <w:tc>
          <w:tcPr>
            <w:tcW w:w="41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Open market purchases</w:t>
            </w:r>
          </w:p>
        </w:tc>
        <w:tc>
          <w:tcPr>
            <w:tcW w:w="1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564,202</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EEEEEE"/>
          </w:tcPr>
          <w:p>
            <w:pPr>
              <w:ind w:left="920"/>
              <w:spacing w:after="0"/>
              <w:rPr>
                <w:sz w:val="20"/>
                <w:szCs w:val="20"/>
                <w:color w:val="auto"/>
              </w:rPr>
            </w:pPr>
            <w:r>
              <w:rPr>
                <w:rFonts w:ascii="Arial" w:cs="Arial" w:eastAsia="Arial" w:hAnsi="Arial"/>
                <w:sz w:val="18"/>
                <w:szCs w:val="18"/>
                <w:color w:val="auto"/>
                <w:w w:val="84"/>
              </w:rPr>
              <w:t>10.36</w:t>
            </w:r>
          </w:p>
        </w:tc>
        <w:tc>
          <w:tcPr>
            <w:tcW w:w="24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1,938,637</w:t>
            </w:r>
          </w:p>
        </w:tc>
        <w:tc>
          <w:tcPr>
            <w:tcW w:w="2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w w:val="98"/>
              </w:rPr>
              <w:t>Shares redeemed upon net exercise of stock options</w:t>
            </w:r>
          </w:p>
        </w:tc>
        <w:tc>
          <w:tcPr>
            <w:tcW w:w="1580" w:type="dxa"/>
            <w:vAlign w:val="bottom"/>
          </w:tcPr>
          <w:p>
            <w:pPr>
              <w:jc w:val="right"/>
              <w:spacing w:after="0"/>
              <w:rPr>
                <w:sz w:val="20"/>
                <w:szCs w:val="20"/>
                <w:color w:val="auto"/>
              </w:rPr>
            </w:pPr>
            <w:r>
              <w:rPr>
                <w:rFonts w:ascii="Arial" w:cs="Arial" w:eastAsia="Arial" w:hAnsi="Arial"/>
                <w:sz w:val="18"/>
                <w:szCs w:val="18"/>
                <w:color w:val="auto"/>
              </w:rPr>
              <w:t>1,220,044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ind w:left="920"/>
              <w:spacing w:after="0"/>
              <w:rPr>
                <w:sz w:val="20"/>
                <w:szCs w:val="20"/>
                <w:color w:val="auto"/>
              </w:rPr>
            </w:pPr>
            <w:r>
              <w:rPr>
                <w:rFonts w:ascii="Arial" w:cs="Arial" w:eastAsia="Arial" w:hAnsi="Arial"/>
                <w:sz w:val="18"/>
                <w:szCs w:val="18"/>
                <w:color w:val="auto"/>
              </w:rPr>
              <w:t>10.34</w:t>
            </w:r>
          </w:p>
        </w:tc>
        <w:tc>
          <w:tcPr>
            <w:tcW w:w="1580" w:type="dxa"/>
            <w:vAlign w:val="bottom"/>
          </w:tcPr>
          <w:p>
            <w:pPr>
              <w:jc w:val="right"/>
              <w:spacing w:after="0"/>
              <w:rPr>
                <w:sz w:val="20"/>
                <w:szCs w:val="20"/>
                <w:color w:val="auto"/>
              </w:rPr>
            </w:pPr>
            <w:r>
              <w:rPr>
                <w:rFonts w:ascii="Arial" w:cs="Arial" w:eastAsia="Arial" w:hAnsi="Arial"/>
                <w:sz w:val="18"/>
                <w:szCs w:val="18"/>
                <w:color w:val="auto"/>
              </w:rPr>
              <w:t>893,153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Total stock purchases</w:t>
            </w: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1,784,246</w:t>
            </w: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EEEEEE"/>
          </w:tcPr>
          <w:p>
            <w:pPr>
              <w:ind w:left="920"/>
              <w:spacing w:after="0"/>
              <w:rPr>
                <w:sz w:val="20"/>
                <w:szCs w:val="20"/>
                <w:color w:val="auto"/>
              </w:rPr>
            </w:pPr>
            <w:r>
              <w:rPr>
                <w:rFonts w:ascii="Arial" w:cs="Arial" w:eastAsia="Arial" w:hAnsi="Arial"/>
                <w:sz w:val="18"/>
                <w:szCs w:val="18"/>
                <w:color w:val="auto"/>
              </w:rPr>
              <w:t>10.35</w:t>
            </w: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2,831,790</w:t>
            </w:r>
          </w:p>
        </w:tc>
        <w:tc>
          <w:tcPr>
            <w:tcW w:w="460" w:type="dxa"/>
            <w:vAlign w:val="bottom"/>
            <w:gridSpan w:val="2"/>
            <w:shd w:val="clear" w:color="auto" w:fill="EEEEEE"/>
          </w:tcPr>
          <w:p>
            <w:pPr>
              <w:jc w:val="right"/>
              <w:ind w:right="87"/>
              <w:spacing w:after="0"/>
              <w:rPr>
                <w:sz w:val="20"/>
                <w:szCs w:val="20"/>
                <w:color w:val="auto"/>
              </w:rPr>
            </w:pPr>
            <w:r>
              <w:rPr>
                <w:rFonts w:ascii="Arial" w:cs="Arial" w:eastAsia="Arial" w:hAnsi="Arial"/>
                <w:sz w:val="18"/>
                <w:szCs w:val="18"/>
                <w:color w:val="auto"/>
              </w:rPr>
              <w:t>$</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EEEEEE"/>
          </w:tcPr>
          <w:p>
            <w:pPr>
              <w:spacing w:after="0"/>
              <w:rPr>
                <w:sz w:val="20"/>
                <w:szCs w:val="20"/>
                <w:color w:val="auto"/>
              </w:rPr>
            </w:pPr>
          </w:p>
        </w:tc>
      </w:tr>
      <w:tr>
        <w:trPr>
          <w:trHeight w:val="20"/>
        </w:trPr>
        <w:tc>
          <w:tcPr>
            <w:tcW w:w="4160" w:type="dxa"/>
            <w:vAlign w:val="bottom"/>
            <w:tcBorders>
              <w:top w:val="single" w:sz="8" w:color="EEEEEE"/>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firstLine="180"/>
        <w:spacing w:after="0" w:line="277" w:lineRule="auto"/>
        <w:rPr>
          <w:sz w:val="20"/>
          <w:szCs w:val="20"/>
          <w:color w:val="auto"/>
        </w:rPr>
      </w:pPr>
      <w:r>
        <w:rPr>
          <w:rFonts w:ascii="Arial" w:cs="Arial" w:eastAsia="Arial" w:hAnsi="Arial"/>
          <w:sz w:val="18"/>
          <w:szCs w:val="18"/>
          <w:color w:val="auto"/>
        </w:rPr>
        <w:t>Some items in the prior year financial statements were reclassified to conform to the current presentation. Reclassifications had no effect on net income or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180"/>
        <w:spacing w:after="0" w:line="296" w:lineRule="auto"/>
        <w:rPr>
          <w:sz w:val="20"/>
          <w:szCs w:val="20"/>
          <w:color w:val="auto"/>
        </w:rPr>
      </w:pPr>
      <w:r>
        <w:rPr>
          <w:rFonts w:ascii="Arial" w:cs="Arial" w:eastAsia="Arial" w:hAnsi="Arial"/>
          <w:sz w:val="16"/>
          <w:szCs w:val="16"/>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June 30, 2023,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Contingent Liabilities</w:t>
      </w:r>
    </w:p>
    <w:p>
      <w:pPr>
        <w:spacing w:after="0" w:line="229" w:lineRule="exact"/>
        <w:rPr>
          <w:sz w:val="20"/>
          <w:szCs w:val="20"/>
          <w:color w:val="auto"/>
        </w:rPr>
      </w:pPr>
    </w:p>
    <w:p>
      <w:pPr>
        <w:jc w:val="both"/>
        <w:ind w:firstLine="180"/>
        <w:spacing w:after="0" w:line="263"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29" w:lineRule="exact"/>
        <w:rPr>
          <w:sz w:val="20"/>
          <w:szCs w:val="20"/>
          <w:color w:val="auto"/>
        </w:rPr>
      </w:pPr>
    </w:p>
    <w:p>
      <w:pPr>
        <w:jc w:val="both"/>
        <w:ind w:firstLine="180"/>
        <w:spacing w:after="0" w:line="254" w:lineRule="auto"/>
        <w:rPr>
          <w:sz w:val="20"/>
          <w:szCs w:val="20"/>
          <w:color w:val="auto"/>
        </w:rPr>
      </w:pPr>
      <w:r>
        <w:rPr>
          <w:rFonts w:ascii="Arial" w:cs="Arial" w:eastAsia="Arial" w:hAnsi="Arial"/>
          <w:sz w:val="18"/>
          <w:szCs w:val="18"/>
          <w:color w:val="auto"/>
        </w:rPr>
        <w:t>In March 2022, the Financial Accounting Standards Board (“FASB”) issued Accounting Standards Update ("ASU") 2022-02, known as the Financial Instruments – Credit Losses (Topic 326), Troubled Debt Restructurings and Vintage Disclosures. ASU 2022-02 eliminates the accounting guidance for TDRs in ASC 310-40 on troubled debt restructurings for entities that have adopted the CECL model introduced by ASU 2016-13, Current Expected Credit Loss. ASU 2022-02 also requires that public business entities disclose current-period gross charge offs by year of origination for financing receivables and net investments in leases within the scope of Subtopic 326-20, Financial Instruments – Credit Losses – Measured at Amortized Cost. This guidance is effective for fiscal years beginning after December 15, 2022, and the adoption of this guidance did not have a material impact on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Finance Receivables</w:t>
      </w:r>
    </w:p>
    <w:p>
      <w:pPr>
        <w:spacing w:after="0" w:line="225" w:lineRule="exact"/>
        <w:rPr>
          <w:sz w:val="20"/>
          <w:szCs w:val="20"/>
          <w:color w:val="auto"/>
        </w:rPr>
      </w:pPr>
    </w:p>
    <w:p>
      <w:pPr>
        <w:jc w:val="both"/>
        <w:ind w:firstLine="180"/>
        <w:spacing w:after="0" w:line="273"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78" w:lineRule="exact"/>
        <w:rPr>
          <w:sz w:val="20"/>
          <w:szCs w:val="20"/>
          <w:color w:val="auto"/>
        </w:rPr>
      </w:pPr>
    </w:p>
    <w:p>
      <w:pPr>
        <w:jc w:val="both"/>
        <w:ind w:firstLine="180"/>
        <w:spacing w:after="0" w:line="308" w:lineRule="auto"/>
        <w:rPr>
          <w:sz w:val="20"/>
          <w:szCs w:val="20"/>
          <w:color w:val="auto"/>
        </w:rPr>
      </w:pPr>
      <w:r>
        <w:rPr>
          <w:rFonts w:ascii="Arial" w:cs="Arial" w:eastAsia="Arial" w:hAnsi="Arial"/>
          <w:sz w:val="17"/>
          <w:szCs w:val="17"/>
          <w:color w:val="auto"/>
        </w:rPr>
        <w:t>In January 2018 the Company adopted the fair value method of accounting for finance receivables acquired after 2017. Finance receivables measured at fair value are recorded separately on the Company’s Balance Sheet and are excluded from all tables in this footnote.</w:t>
      </w:r>
    </w:p>
    <w:p>
      <w:pPr>
        <w:spacing w:after="0" w:line="146" w:lineRule="exact"/>
        <w:rPr>
          <w:sz w:val="20"/>
          <w:szCs w:val="20"/>
          <w:color w:val="auto"/>
        </w:rPr>
      </w:pPr>
    </w:p>
    <w:p>
      <w:pPr>
        <w:jc w:val="both"/>
        <w:ind w:firstLine="180"/>
        <w:spacing w:after="0" w:line="271" w:lineRule="auto"/>
        <w:rPr>
          <w:sz w:val="20"/>
          <w:szCs w:val="20"/>
          <w:color w:val="auto"/>
        </w:rPr>
      </w:pPr>
      <w:r>
        <w:rPr>
          <w:rFonts w:ascii="Arial" w:cs="Arial" w:eastAsia="Arial" w:hAnsi="Arial"/>
          <w:sz w:val="17"/>
          <w:szCs w:val="17"/>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Automobile finance receivables, net of unearned interest was $52.1 million and $92.3 million as of June 30, 2023 and December 31, 2022, respectively. The following table summarizes the delinquency status of finance receivables as of June 30, 2023 and December 31,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09"/>
        </w:trPr>
        <w:tc>
          <w:tcPr>
            <w:tcW w:w="2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800" w:type="dxa"/>
            <w:vAlign w:val="bottom"/>
            <w:gridSpan w:val="3"/>
          </w:tcPr>
          <w:p>
            <w:pPr>
              <w:jc w:val="right"/>
              <w:ind w:right="105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8"/>
                <w:szCs w:val="18"/>
                <w:color w:val="auto"/>
              </w:rPr>
            </w:pPr>
          </w:p>
        </w:tc>
      </w:tr>
      <w:tr>
        <w:trPr>
          <w:trHeight w:val="216"/>
        </w:trPr>
        <w:tc>
          <w:tcPr>
            <w:tcW w:w="7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Deliquency Status</w:t>
            </w: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76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37,553</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65,764</w:t>
            </w:r>
          </w:p>
        </w:tc>
        <w:tc>
          <w:tcPr>
            <w:tcW w:w="100" w:type="dxa"/>
            <w:vAlign w:val="bottom"/>
          </w:tcPr>
          <w:p>
            <w:pPr>
              <w:spacing w:after="0"/>
              <w:rPr>
                <w:sz w:val="18"/>
                <w:szCs w:val="18"/>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31</w:t>
            </w:r>
          </w:p>
        </w:tc>
        <w:tc>
          <w:tcPr>
            <w:tcW w:w="754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9,100</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16,796</w:t>
            </w:r>
          </w:p>
        </w:tc>
        <w:tc>
          <w:tcPr>
            <w:tcW w:w="100" w:type="dxa"/>
            <w:vAlign w:val="bottom"/>
            <w:shd w:val="clear" w:color="auto" w:fill="EEEEEE"/>
          </w:tcPr>
          <w:p>
            <w:pPr>
              <w:spacing w:after="0"/>
              <w:rPr>
                <w:sz w:val="18"/>
                <w:szCs w:val="18"/>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61</w:t>
            </w:r>
          </w:p>
        </w:tc>
        <w:tc>
          <w:tcPr>
            <w:tcW w:w="7540" w:type="dxa"/>
            <w:vAlign w:val="bottom"/>
          </w:tcPr>
          <w:p>
            <w:pPr>
              <w:ind w:left="20"/>
              <w:spacing w:after="0"/>
              <w:rPr>
                <w:sz w:val="20"/>
                <w:szCs w:val="20"/>
                <w:color w:val="auto"/>
              </w:rPr>
            </w:pPr>
            <w:r>
              <w:rPr>
                <w:rFonts w:ascii="Arial" w:cs="Arial" w:eastAsia="Arial" w:hAnsi="Arial"/>
                <w:sz w:val="18"/>
                <w:szCs w:val="18"/>
                <w:color w:val="auto"/>
              </w:rPr>
              <w:t>- 90 days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4,339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7,756</w:t>
            </w:r>
          </w:p>
        </w:tc>
        <w:tc>
          <w:tcPr>
            <w:tcW w:w="100" w:type="dxa"/>
            <w:vAlign w:val="bottom"/>
          </w:tcPr>
          <w:p>
            <w:pPr>
              <w:spacing w:after="0"/>
              <w:rPr>
                <w:sz w:val="18"/>
                <w:szCs w:val="18"/>
                <w:color w:val="auto"/>
              </w:rPr>
            </w:pPr>
          </w:p>
        </w:tc>
      </w:tr>
      <w:tr>
        <w:trPr>
          <w:trHeight w:val="230"/>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91</w:t>
            </w:r>
          </w:p>
        </w:tc>
        <w:tc>
          <w:tcPr>
            <w:tcW w:w="754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280" w:type="dxa"/>
            <w:vAlign w:val="bottom"/>
            <w:tcBorders>
              <w:bottom w:val="single" w:sz="8" w:color="auto"/>
            </w:tcBorders>
            <w:shd w:val="clear" w:color="auto" w:fill="EEEEEE"/>
          </w:tcPr>
          <w:p>
            <w:pPr>
              <w:spacing w:after="0"/>
              <w:rPr>
                <w:sz w:val="19"/>
                <w:szCs w:val="19"/>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1,088</w:t>
            </w:r>
          </w:p>
        </w:tc>
        <w:tc>
          <w:tcPr>
            <w:tcW w:w="22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14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1,988</w:t>
            </w:r>
          </w:p>
        </w:tc>
        <w:tc>
          <w:tcPr>
            <w:tcW w:w="100" w:type="dxa"/>
            <w:vAlign w:val="bottom"/>
            <w:shd w:val="clear" w:color="auto" w:fill="EEEEEE"/>
          </w:tcPr>
          <w:p>
            <w:pPr>
              <w:spacing w:after="0"/>
              <w:rPr>
                <w:sz w:val="19"/>
                <w:szCs w:val="19"/>
                <w:color w:val="auto"/>
              </w:rPr>
            </w:pPr>
          </w:p>
        </w:tc>
      </w:tr>
      <w:tr>
        <w:trPr>
          <w:trHeight w:val="223"/>
        </w:trPr>
        <w:tc>
          <w:tcPr>
            <w:tcW w:w="22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52,080</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92,304</w:t>
            </w:r>
          </w:p>
        </w:tc>
        <w:tc>
          <w:tcPr>
            <w:tcW w:w="10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Finance receivables totaling $1.1 million and $2.0 million at June 30, 2023 and December 31, 2022, respectively, including all receivables greater than 90 days delinquent, have been placed on non-accrual status as a result of their delinquency status.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 – Finance Receivables</w:t>
      </w:r>
    </w:p>
    <w:p>
      <w:pPr>
        <w:spacing w:after="0" w:line="229" w:lineRule="exact"/>
        <w:rPr>
          <w:sz w:val="20"/>
          <w:szCs w:val="20"/>
          <w:color w:val="auto"/>
        </w:rPr>
      </w:pPr>
    </w:p>
    <w:p>
      <w:pPr>
        <w:jc w:val="both"/>
        <w:ind w:firstLine="180"/>
        <w:spacing w:after="0" w:line="277" w:lineRule="auto"/>
        <w:rPr>
          <w:sz w:val="20"/>
          <w:szCs w:val="20"/>
          <w:color w:val="auto"/>
        </w:rPr>
      </w:pPr>
      <w:r>
        <w:rPr>
          <w:rFonts w:ascii="Arial" w:cs="Arial" w:eastAsia="Arial" w:hAnsi="Arial"/>
          <w:sz w:val="18"/>
          <w:szCs w:val="18"/>
          <w:color w:val="auto"/>
        </w:rPr>
        <w:t>The allowance for credit losses is a valuation account that is deducted from the amortized cost basis of finance receivables to present the net amount expected to be collected. Charge offs are deducted from the allowance when management believes that collectability is unlikely.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8"/>
          <w:szCs w:val="18"/>
          <w:color w:val="auto"/>
        </w:rPr>
        <w:t>Management estimates the allowance using relevant available information, from internal and external sources, relating to past events, current conditions and, reasonable and supportable forecasts. We believe our historical credit loss experience provides the best basis for the estimation of expected credit losses. Consequently, we use historical loss experience for older receivables, aggregated into vintage pools based on their calendar quarter of origination, to forecast expected losses for less seasoned quarterly vintage pools.</w:t>
      </w:r>
    </w:p>
    <w:p>
      <w:pPr>
        <w:spacing w:after="0" w:line="187" w:lineRule="exact"/>
        <w:rPr>
          <w:sz w:val="20"/>
          <w:szCs w:val="20"/>
          <w:color w:val="auto"/>
        </w:rPr>
      </w:pPr>
    </w:p>
    <w:p>
      <w:pPr>
        <w:jc w:val="both"/>
        <w:ind w:firstLine="180"/>
        <w:spacing w:after="0" w:line="257" w:lineRule="auto"/>
        <w:rPr>
          <w:sz w:val="20"/>
          <w:szCs w:val="20"/>
          <w:color w:val="auto"/>
        </w:rPr>
      </w:pPr>
      <w:r>
        <w:rPr>
          <w:rFonts w:ascii="Arial" w:cs="Arial" w:eastAsia="Arial" w:hAnsi="Arial"/>
          <w:sz w:val="18"/>
          <w:szCs w:val="18"/>
          <w:color w:val="auto"/>
        </w:rPr>
        <w:t>We measure the weighted average monthly incremental change in cumulative net losses for the vintage pools in the relevant historical period. For the pools in the relevant historical period, we consider each pool’s performance from its inception through the end of the current period. We then apply the results of the historical analysis to less seasoned vintage pools beginning with each vintage pool’s most recent actual cumulative net loss experience and extrapolating from that point based on the historical data. We believe the pattern and magnitude of losses on older vintages allows us to establish a reasonable and supportable forecast of less seasoned vintages.</w:t>
      </w:r>
    </w:p>
    <w:p>
      <w:pPr>
        <w:spacing w:after="0" w:line="188" w:lineRule="exact"/>
        <w:rPr>
          <w:sz w:val="20"/>
          <w:szCs w:val="20"/>
          <w:color w:val="auto"/>
        </w:rPr>
      </w:pPr>
    </w:p>
    <w:p>
      <w:pPr>
        <w:jc w:val="both"/>
        <w:ind w:firstLine="180"/>
        <w:spacing w:after="0" w:line="301" w:lineRule="auto"/>
        <w:rPr>
          <w:sz w:val="20"/>
          <w:szCs w:val="20"/>
          <w:color w:val="auto"/>
        </w:rPr>
      </w:pPr>
      <w:r>
        <w:rPr>
          <w:rFonts w:ascii="Arial" w:cs="Arial" w:eastAsia="Arial" w:hAnsi="Arial"/>
          <w:sz w:val="16"/>
          <w:szCs w:val="16"/>
          <w:color w:val="auto"/>
        </w:rPr>
        <w:t>Our contract purchase guidelines are designed to produce a homogenous portfolio. For key credit characteristics of individual contracts such as obligor credit history, job stability, residence stability and ability to pay, there is relatively little variation from the average for the portfolio. Similarly, for key structural characteristics such as loan-to-value, length of contract, monthly payment and amount financed, there is relatively little variation from the average for the portfolio. Consequently, we do not believe there are significant differences in risk characteristics between various segments of our portfolio.</w:t>
      </w:r>
    </w:p>
    <w:p>
      <w:pPr>
        <w:spacing w:after="0" w:line="157" w:lineRule="exact"/>
        <w:rPr>
          <w:sz w:val="20"/>
          <w:szCs w:val="20"/>
          <w:color w:val="auto"/>
        </w:rPr>
      </w:pPr>
    </w:p>
    <w:p>
      <w:pPr>
        <w:jc w:val="both"/>
        <w:ind w:firstLine="180"/>
        <w:spacing w:after="0" w:line="286" w:lineRule="auto"/>
        <w:rPr>
          <w:sz w:val="20"/>
          <w:szCs w:val="20"/>
          <w:color w:val="auto"/>
        </w:rPr>
      </w:pPr>
      <w:r>
        <w:rPr>
          <w:rFonts w:ascii="Arial" w:cs="Arial" w:eastAsia="Arial" w:hAnsi="Arial"/>
          <w:sz w:val="17"/>
          <w:szCs w:val="17"/>
          <w:color w:val="auto"/>
        </w:rPr>
        <w:t>Our methodology incorporates historical pools that are sufficiently seasoned to capture the magnitude and trends of losses within those vintage pools. Furthermore, the historical period encompasses a substantial volume of receivables over periods that include fluctuations in the competitive landscape, the Company’s rates of growth, size of our managed portfolio and fluctuations in economic growth and unemployment.</w:t>
      </w:r>
    </w:p>
    <w:p>
      <w:pPr>
        <w:spacing w:after="0" w:line="165"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8"/>
          <w:szCs w:val="18"/>
          <w:color w:val="auto"/>
        </w:rPr>
        <w:t>In consideration of the depth and breadth of the historical period, and the homogeneity of our portfolio, we generally do not adjust historical loss information for differences in risk characteristics such as credit or structural composition of segments of the portfolio or for changes in environmental conditions such as changes in unemployment rates, collateral values or other factors. However, we have considered how certain qualitative factors may affect future credit losses and have incorporated our judgement of the effect of such factors into our estimates.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presents the amortized cost basis of our finance receivables by annual vintage as of June 30, 2023 and December 31, 2022.</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3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800" w:type="dxa"/>
            <w:vAlign w:val="bottom"/>
            <w:gridSpan w:val="3"/>
          </w:tcPr>
          <w:p>
            <w:pPr>
              <w:jc w:val="right"/>
              <w:ind w:right="105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080" w:type="dxa"/>
            <w:vAlign w:val="bottom"/>
            <w:tcBorders>
              <w:bottom w:val="single" w:sz="8" w:color="EEEEEE"/>
            </w:tcBorders>
            <w:shd w:val="clear" w:color="auto" w:fill="EEEEEE"/>
          </w:tcPr>
          <w:p>
            <w:pPr>
              <w:spacing w:after="0"/>
              <w:rPr>
                <w:sz w:val="17"/>
                <w:szCs w:val="17"/>
                <w:color w:val="auto"/>
              </w:rPr>
            </w:pPr>
          </w:p>
        </w:tc>
        <w:tc>
          <w:tcPr>
            <w:tcW w:w="1500" w:type="dxa"/>
            <w:vAlign w:val="bottom"/>
            <w:tcBorders>
              <w:bottom w:val="single" w:sz="8" w:color="auto"/>
            </w:tcBorders>
            <w:shd w:val="clear" w:color="auto" w:fill="EEEEEE"/>
          </w:tcPr>
          <w:p>
            <w:pPr>
              <w:spacing w:after="0" w:line="176" w:lineRule="exact"/>
              <w:rPr>
                <w:sz w:val="20"/>
                <w:szCs w:val="20"/>
                <w:color w:val="auto"/>
              </w:rPr>
            </w:pPr>
            <w:r>
              <w:rPr>
                <w:rFonts w:ascii="Arial" w:cs="Arial" w:eastAsia="Arial" w:hAnsi="Arial"/>
                <w:sz w:val="18"/>
                <w:szCs w:val="18"/>
                <w:color w:val="auto"/>
                <w:w w:val="90"/>
              </w:rPr>
              <w:t>Annual Vintage Pool</w:t>
            </w:r>
          </w:p>
        </w:tc>
        <w:tc>
          <w:tcPr>
            <w:tcW w:w="3460" w:type="dxa"/>
            <w:vAlign w:val="bottom"/>
            <w:tcBorders>
              <w:bottom w:val="single" w:sz="8" w:color="EEEEEE"/>
            </w:tcBorders>
            <w:gridSpan w:val="2"/>
            <w:shd w:val="clear" w:color="auto" w:fill="EEEEEE"/>
          </w:tcPr>
          <w:p>
            <w:pPr>
              <w:spacing w:after="0"/>
              <w:rPr>
                <w:sz w:val="17"/>
                <w:szCs w:val="17"/>
                <w:color w:val="auto"/>
              </w:rPr>
            </w:pPr>
          </w:p>
        </w:tc>
        <w:tc>
          <w:tcPr>
            <w:tcW w:w="130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140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2014 and prior</w:t>
            </w:r>
          </w:p>
        </w:tc>
        <w:tc>
          <w:tcPr>
            <w:tcW w:w="4960" w:type="dxa"/>
            <w:vAlign w:val="bottom"/>
            <w:gridSpan w:val="3"/>
          </w:tcPr>
          <w:p>
            <w:pPr>
              <w:jc w:val="right"/>
              <w:ind w:right="12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876</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2015</w:t>
            </w:r>
          </w:p>
        </w:tc>
        <w:tc>
          <w:tcPr>
            <w:tcW w:w="1500" w:type="dxa"/>
            <w:vAlign w:val="bottom"/>
            <w:shd w:val="clear" w:color="auto" w:fill="EEEEEE"/>
          </w:tcPr>
          <w:p>
            <w:pPr>
              <w:spacing w:after="0"/>
              <w:rPr>
                <w:sz w:val="18"/>
                <w:szCs w:val="18"/>
                <w:color w:val="auto"/>
              </w:rPr>
            </w:pPr>
          </w:p>
        </w:tc>
        <w:tc>
          <w:tcPr>
            <w:tcW w:w="3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4,019</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8,627</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2016</w:t>
            </w:r>
          </w:p>
        </w:tc>
        <w:tc>
          <w:tcPr>
            <w:tcW w:w="1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15,609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28,632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2017</w:t>
            </w:r>
          </w:p>
        </w:tc>
        <w:tc>
          <w:tcPr>
            <w:tcW w:w="1500" w:type="dxa"/>
            <w:vAlign w:val="bottom"/>
            <w:shd w:val="clear" w:color="auto" w:fill="EEEEEE"/>
          </w:tcPr>
          <w:p>
            <w:pPr>
              <w:spacing w:after="0"/>
              <w:rPr>
                <w:sz w:val="19"/>
                <w:szCs w:val="19"/>
                <w:color w:val="auto"/>
              </w:rPr>
            </w:pPr>
          </w:p>
        </w:tc>
        <w:tc>
          <w:tcPr>
            <w:tcW w:w="3180" w:type="dxa"/>
            <w:vAlign w:val="bottom"/>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spacing w:after="0"/>
              <w:rPr>
                <w:sz w:val="19"/>
                <w:szCs w:val="19"/>
                <w:color w:val="auto"/>
              </w:rPr>
            </w:pP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31,576</w:t>
            </w:r>
          </w:p>
        </w:tc>
        <w:tc>
          <w:tcPr>
            <w:tcW w:w="22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14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53,180</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52,080</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680" w:type="dxa"/>
            <w:vAlign w:val="bottom"/>
            <w:gridSpan w:val="2"/>
            <w:vMerge w:val="restart"/>
          </w:tcPr>
          <w:p>
            <w:pPr>
              <w:jc w:val="right"/>
              <w:ind w:right="2040"/>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2"/>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180"/>
        <w:spacing w:after="0" w:line="277" w:lineRule="auto"/>
        <w:rPr>
          <w:sz w:val="20"/>
          <w:szCs w:val="20"/>
          <w:color w:val="auto"/>
        </w:rPr>
      </w:pPr>
      <w:r>
        <w:rPr>
          <w:rFonts w:ascii="Arial" w:cs="Arial" w:eastAsia="Arial" w:hAnsi="Arial"/>
          <w:sz w:val="18"/>
          <w:szCs w:val="18"/>
          <w:color w:val="auto"/>
        </w:rPr>
        <w:t>The following table presents a summary of the activity for the allowance for finance credit losses for the three-month periods ended June 30, 2023 and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Six Months Ended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June 30,</w:t>
            </w:r>
          </w:p>
        </w:tc>
        <w:tc>
          <w:tcPr>
            <w:tcW w:w="5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327"/>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2022</w:t>
            </w:r>
          </w:p>
        </w:tc>
        <w:tc>
          <w:tcPr>
            <w:tcW w:w="100" w:type="dxa"/>
            <w:vAlign w:val="bottom"/>
          </w:tcPr>
          <w:p>
            <w:pPr>
              <w:spacing w:after="0"/>
              <w:rPr>
                <w:sz w:val="19"/>
                <w:szCs w:val="19"/>
                <w:color w:val="auto"/>
              </w:rPr>
            </w:pPr>
          </w:p>
        </w:tc>
      </w:tr>
      <w:tr>
        <w:trPr>
          <w:trHeight w:val="209"/>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240" w:type="dxa"/>
            <w:vAlign w:val="bottom"/>
            <w:gridSpan w:val="3"/>
          </w:tcPr>
          <w:p>
            <w:pPr>
              <w:jc w:val="right"/>
              <w:ind w:right="490"/>
              <w:spacing w:after="0"/>
              <w:rPr>
                <w:sz w:val="20"/>
                <w:szCs w:val="20"/>
                <w:color w:val="auto"/>
              </w:rPr>
            </w:pPr>
            <w:r>
              <w:rPr>
                <w:rFonts w:ascii="Arial" w:cs="Arial" w:eastAsia="Arial" w:hAnsi="Arial"/>
                <w:sz w:val="16"/>
                <w:szCs w:val="16"/>
                <w:b w:val="1"/>
                <w:bCs w:val="1"/>
                <w:color w:val="auto"/>
                <w:w w:val="74"/>
              </w:rPr>
              <w:t>thousands)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820" w:type="dxa"/>
            <w:vAlign w:val="bottom"/>
            <w:gridSpan w:val="2"/>
          </w:tcPr>
          <w:p>
            <w:pPr>
              <w:jc w:val="right"/>
              <w:ind w:right="87"/>
              <w:spacing w:after="0"/>
              <w:rPr>
                <w:sz w:val="20"/>
                <w:szCs w:val="20"/>
                <w:color w:val="auto"/>
              </w:rPr>
            </w:pPr>
            <w:r>
              <w:rPr>
                <w:rFonts w:ascii="Arial" w:cs="Arial" w:eastAsia="Arial" w:hAnsi="Arial"/>
                <w:sz w:val="16"/>
                <w:szCs w:val="16"/>
                <w:b w:val="1"/>
                <w:bCs w:val="1"/>
                <w:color w:val="auto"/>
                <w:w w:val="74"/>
              </w:rPr>
              <w:t>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1340" w:type="dxa"/>
            <w:vAlign w:val="bottom"/>
            <w:gridSpan w:val="2"/>
            <w:shd w:val="clear" w:color="auto" w:fill="EEEEEE"/>
          </w:tcPr>
          <w:p>
            <w:pPr>
              <w:jc w:val="right"/>
              <w:ind w:right="83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w w:val="98"/>
              </w:rPr>
              <w:t>14,728</w:t>
            </w:r>
          </w:p>
        </w:tc>
        <w:tc>
          <w:tcPr>
            <w:tcW w:w="1100" w:type="dxa"/>
            <w:vAlign w:val="bottom"/>
            <w:gridSpan w:val="2"/>
            <w:shd w:val="clear" w:color="auto" w:fill="EEEEEE"/>
          </w:tcPr>
          <w:p>
            <w:pPr>
              <w:jc w:val="right"/>
              <w:ind w:right="8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8"/>
              </w:rPr>
              <w:t>45,001</w:t>
            </w:r>
          </w:p>
        </w:tc>
        <w:tc>
          <w:tcPr>
            <w:tcW w:w="960" w:type="dxa"/>
            <w:vAlign w:val="bottom"/>
            <w:shd w:val="clear" w:color="auto" w:fill="EEEEEE"/>
          </w:tcPr>
          <w:p>
            <w:pPr>
              <w:jc w:val="right"/>
              <w:ind w:right="801"/>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21,753</w:t>
            </w: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jc w:val="right"/>
              <w:ind w:right="4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56,206</w:t>
            </w:r>
          </w:p>
        </w:tc>
        <w:tc>
          <w:tcPr>
            <w:tcW w:w="100" w:type="dxa"/>
            <w:vAlign w:val="bottom"/>
            <w:shd w:val="clear" w:color="auto" w:fill="EEEEEE"/>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w w:val="98"/>
              </w:rPr>
              <w:t>Provision for credit losses on finance receivables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8"/>
                <w:szCs w:val="18"/>
                <w:color w:val="auto"/>
              </w:rPr>
              <w:t>(9,700)</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(8,000)</w:t>
            </w:r>
          </w:p>
        </w:tc>
        <w:tc>
          <w:tcPr>
            <w:tcW w:w="960" w:type="dxa"/>
            <w:vAlign w:val="bottom"/>
          </w:tcPr>
          <w:p>
            <w:pPr>
              <w:spacing w:after="0"/>
              <w:rPr>
                <w:sz w:val="18"/>
                <w:szCs w:val="18"/>
                <w:color w:val="auto"/>
              </w:rPr>
            </w:pPr>
          </w:p>
        </w:tc>
        <w:tc>
          <w:tcPr>
            <w:tcW w:w="840" w:type="dxa"/>
            <w:vAlign w:val="bottom"/>
            <w:gridSpan w:val="2"/>
          </w:tcPr>
          <w:p>
            <w:pPr>
              <w:jc w:val="right"/>
              <w:ind w:right="101"/>
              <w:spacing w:after="0"/>
              <w:rPr>
                <w:sz w:val="20"/>
                <w:szCs w:val="20"/>
                <w:color w:val="auto"/>
              </w:rPr>
            </w:pPr>
            <w:r>
              <w:rPr>
                <w:rFonts w:ascii="Arial" w:cs="Arial" w:eastAsia="Arial" w:hAnsi="Arial"/>
                <w:sz w:val="18"/>
                <w:szCs w:val="18"/>
                <w:color w:val="auto"/>
                <w:w w:val="95"/>
              </w:rPr>
              <w:t>(18,700)</w:t>
            </w:r>
          </w:p>
        </w:tc>
        <w:tc>
          <w:tcPr>
            <w:tcW w:w="6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(17,400)</w:t>
            </w:r>
          </w:p>
        </w:tc>
      </w:tr>
      <w:tr>
        <w:trPr>
          <w:trHeight w:val="216"/>
        </w:trPr>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Charge-offs</w:t>
            </w: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
              <w:spacing w:after="0"/>
              <w:rPr>
                <w:sz w:val="20"/>
                <w:szCs w:val="20"/>
                <w:color w:val="auto"/>
              </w:rPr>
            </w:pPr>
            <w:r>
              <w:rPr>
                <w:rFonts w:ascii="Arial" w:cs="Arial" w:eastAsia="Arial" w:hAnsi="Arial"/>
                <w:sz w:val="18"/>
                <w:szCs w:val="18"/>
                <w:color w:val="auto"/>
              </w:rPr>
              <w:t>(1,897)</w:t>
            </w:r>
          </w:p>
        </w:tc>
        <w:tc>
          <w:tcPr>
            <w:tcW w:w="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(4,446)</w:t>
            </w:r>
          </w:p>
        </w:tc>
        <w:tc>
          <w:tcPr>
            <w:tcW w:w="9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(4,914)</w:t>
            </w: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(9,805)</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Recoveries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3,117</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7,582</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6,671</w:t>
            </w:r>
          </w:p>
        </w:tc>
        <w:tc>
          <w:tcPr>
            <w:tcW w:w="100" w:type="dxa"/>
            <w:vAlign w:val="bottom"/>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840" w:type="dxa"/>
            <w:vAlign w:val="bottom"/>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320" w:type="dxa"/>
            <w:vAlign w:val="bottom"/>
            <w:shd w:val="clear" w:color="auto" w:fill="EEEEEE"/>
          </w:tcPr>
          <w:p>
            <w:pPr>
              <w:spacing w:after="0"/>
              <w:rPr>
                <w:sz w:val="20"/>
                <w:szCs w:val="20"/>
                <w:color w:val="auto"/>
              </w:rPr>
            </w:pPr>
          </w:p>
        </w:tc>
        <w:tc>
          <w:tcPr>
            <w:tcW w:w="1020" w:type="dxa"/>
            <w:vAlign w:val="bottom"/>
            <w:shd w:val="clear" w:color="auto" w:fill="EEEEEE"/>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5,721</w:t>
            </w:r>
          </w:p>
        </w:tc>
        <w:tc>
          <w:tcPr>
            <w:tcW w:w="1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020" w:type="dxa"/>
            <w:vAlign w:val="bottom"/>
            <w:shd w:val="clear" w:color="auto" w:fill="EEEEEE"/>
          </w:tcPr>
          <w:p>
            <w:pPr>
              <w:jc w:val="right"/>
              <w:ind w:right="8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8"/>
              </w:rPr>
              <w:t>35,672</w:t>
            </w:r>
          </w:p>
        </w:tc>
        <w:tc>
          <w:tcPr>
            <w:tcW w:w="960" w:type="dxa"/>
            <w:vAlign w:val="bottom"/>
            <w:shd w:val="clear" w:color="auto" w:fill="EEEEEE"/>
          </w:tcPr>
          <w:p>
            <w:pPr>
              <w:jc w:val="right"/>
              <w:ind w:right="801"/>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5,721</w:t>
            </w:r>
          </w:p>
        </w:tc>
        <w:tc>
          <w:tcPr>
            <w:tcW w:w="220" w:type="dxa"/>
            <w:vAlign w:val="bottom"/>
            <w:shd w:val="clear" w:color="auto" w:fill="EEEEEE"/>
          </w:tcPr>
          <w:p>
            <w:pPr>
              <w:spacing w:after="0"/>
              <w:rPr>
                <w:sz w:val="20"/>
                <w:szCs w:val="20"/>
                <w:color w:val="auto"/>
              </w:rPr>
            </w:pPr>
          </w:p>
        </w:tc>
        <w:tc>
          <w:tcPr>
            <w:tcW w:w="600" w:type="dxa"/>
            <w:vAlign w:val="bottom"/>
            <w:shd w:val="clear" w:color="auto" w:fill="EEEEEE"/>
          </w:tcPr>
          <w:p>
            <w:pPr>
              <w:jc w:val="right"/>
              <w:ind w:right="4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35,672</w:t>
            </w:r>
          </w:p>
        </w:tc>
        <w:tc>
          <w:tcPr>
            <w:tcW w:w="100" w:type="dxa"/>
            <w:vAlign w:val="bottom"/>
            <w:shd w:val="clear" w:color="auto" w:fill="EEEEEE"/>
          </w:tcPr>
          <w:p>
            <w:pPr>
              <w:spacing w:after="0"/>
              <w:rPr>
                <w:sz w:val="20"/>
                <w:szCs w:val="20"/>
                <w:color w:val="auto"/>
              </w:rPr>
            </w:pPr>
          </w:p>
        </w:tc>
      </w:tr>
      <w:tr>
        <w:trPr>
          <w:trHeight w:val="20"/>
        </w:trPr>
        <w:tc>
          <w:tcPr>
            <w:tcW w:w="384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presents the gross charge-offs by year of origination of our finance receivables for the three-month and six-month ended June 30,</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gridSpan w:val="3"/>
          </w:tcPr>
          <w:p>
            <w:pPr>
              <w:spacing w:after="0"/>
              <w:rPr>
                <w:sz w:val="20"/>
                <w:szCs w:val="20"/>
                <w:color w:val="auto"/>
              </w:rPr>
            </w:pPr>
            <w:r>
              <w:rPr>
                <w:rFonts w:ascii="Arial" w:cs="Arial" w:eastAsia="Arial" w:hAnsi="Arial"/>
                <w:sz w:val="18"/>
                <w:szCs w:val="18"/>
                <w:color w:val="auto"/>
              </w:rPr>
              <w:t>2023 and 2022:</w:t>
            </w: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40" w:type="dxa"/>
            <w:vAlign w:val="bottom"/>
            <w:gridSpan w:val="5"/>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June 30,</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327"/>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80" w:type="dxa"/>
            <w:vAlign w:val="bottom"/>
            <w:gridSpan w:val="3"/>
            <w:vMerge w:val="restart"/>
          </w:tcPr>
          <w:p>
            <w:pPr>
              <w:ind w:left="1280"/>
              <w:spacing w:after="0"/>
              <w:rPr>
                <w:sz w:val="20"/>
                <w:szCs w:val="20"/>
                <w:color w:val="auto"/>
              </w:rPr>
            </w:pPr>
            <w:r>
              <w:rPr>
                <w:rFonts w:ascii="Arial" w:cs="Arial" w:eastAsia="Arial" w:hAnsi="Arial"/>
                <w:sz w:val="18"/>
                <w:szCs w:val="18"/>
                <w:color w:val="auto"/>
              </w:rPr>
              <w:t>Annual Vintage Pool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18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rPr>
              <w:t>(In</w:t>
            </w:r>
          </w:p>
        </w:tc>
        <w:tc>
          <w:tcPr>
            <w:tcW w:w="1280" w:type="dxa"/>
            <w:vAlign w:val="bottom"/>
            <w:gridSpan w:val="3"/>
          </w:tcPr>
          <w:p>
            <w:pPr>
              <w:jc w:val="right"/>
              <w:ind w:right="530"/>
              <w:spacing w:after="0" w:line="169" w:lineRule="exact"/>
              <w:rPr>
                <w:sz w:val="20"/>
                <w:szCs w:val="20"/>
                <w:color w:val="auto"/>
              </w:rPr>
            </w:pPr>
            <w:r>
              <w:rPr>
                <w:rFonts w:ascii="Arial" w:cs="Arial" w:eastAsia="Arial" w:hAnsi="Arial"/>
                <w:sz w:val="16"/>
                <w:szCs w:val="16"/>
                <w:b w:val="1"/>
                <w:bCs w:val="1"/>
                <w:color w:val="auto"/>
                <w:w w:val="74"/>
              </w:rPr>
              <w:t>thousands)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rPr>
              <w:t>(In</w:t>
            </w:r>
          </w:p>
        </w:tc>
        <w:tc>
          <w:tcPr>
            <w:tcW w:w="820" w:type="dxa"/>
            <w:vAlign w:val="bottom"/>
            <w:gridSpan w:val="2"/>
          </w:tcPr>
          <w:p>
            <w:pPr>
              <w:jc w:val="right"/>
              <w:ind w:right="87"/>
              <w:spacing w:after="0" w:line="169" w:lineRule="exact"/>
              <w:rPr>
                <w:sz w:val="20"/>
                <w:szCs w:val="20"/>
                <w:color w:val="auto"/>
              </w:rPr>
            </w:pPr>
            <w:r>
              <w:rPr>
                <w:rFonts w:ascii="Arial" w:cs="Arial" w:eastAsia="Arial" w:hAnsi="Arial"/>
                <w:sz w:val="16"/>
                <w:szCs w:val="16"/>
                <w:b w:val="1"/>
                <w:bCs w:val="1"/>
                <w:color w:val="auto"/>
                <w:w w:val="74"/>
              </w:rPr>
              <w:t>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tcBorders>
              <w:right w:val="single" w:sz="8" w:color="EEEEEE"/>
            </w:tcBorders>
            <w:gridSpan w:val="3"/>
            <w:shd w:val="clear" w:color="auto" w:fill="EEEEEE"/>
          </w:tcPr>
          <w:p>
            <w:pPr>
              <w:spacing w:after="0"/>
              <w:rPr>
                <w:sz w:val="20"/>
                <w:szCs w:val="20"/>
                <w:color w:val="auto"/>
              </w:rPr>
            </w:pPr>
            <w:r>
              <w:rPr>
                <w:rFonts w:ascii="Arial" w:cs="Arial" w:eastAsia="Arial" w:hAnsi="Arial"/>
                <w:sz w:val="18"/>
                <w:szCs w:val="18"/>
                <w:color w:val="auto"/>
              </w:rPr>
              <w:t>2014 and prior</w:t>
            </w:r>
          </w:p>
        </w:tc>
        <w:tc>
          <w:tcPr>
            <w:tcW w:w="1040" w:type="dxa"/>
            <w:vAlign w:val="bottom"/>
            <w:shd w:val="clear" w:color="auto" w:fill="EEEEEE"/>
          </w:tcPr>
          <w:p>
            <w:pPr>
              <w:jc w:val="right"/>
              <w:ind w:right="878"/>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67</w:t>
            </w:r>
          </w:p>
        </w:tc>
        <w:tc>
          <w:tcPr>
            <w:tcW w:w="1140" w:type="dxa"/>
            <w:vAlign w:val="bottom"/>
            <w:gridSpan w:val="2"/>
            <w:shd w:val="clear" w:color="auto" w:fill="EEEEEE"/>
          </w:tcPr>
          <w:p>
            <w:pPr>
              <w:jc w:val="right"/>
              <w:ind w:right="87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243</w:t>
            </w:r>
          </w:p>
        </w:tc>
        <w:tc>
          <w:tcPr>
            <w:tcW w:w="340" w:type="dxa"/>
            <w:vAlign w:val="bottom"/>
            <w:shd w:val="clear" w:color="auto" w:fill="EEEEEE"/>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jc w:val="right"/>
              <w:ind w:right="4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2015</w:t>
            </w:r>
          </w:p>
        </w:tc>
        <w:tc>
          <w:tcPr>
            <w:tcW w:w="1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gridSpan w:val="2"/>
          </w:tcPr>
          <w:p>
            <w:pPr>
              <w:jc w:val="right"/>
              <w:ind w:right="61"/>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653</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741</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EEEEEE"/>
          </w:tcPr>
          <w:p>
            <w:pPr>
              <w:spacing w:after="0"/>
              <w:rPr>
                <w:sz w:val="20"/>
                <w:szCs w:val="20"/>
                <w:color w:val="auto"/>
              </w:rPr>
            </w:pPr>
            <w:r>
              <w:rPr>
                <w:rFonts w:ascii="Arial" w:cs="Arial" w:eastAsia="Arial" w:hAnsi="Arial"/>
                <w:sz w:val="18"/>
                <w:szCs w:val="18"/>
                <w:color w:val="auto"/>
              </w:rPr>
              <w:t>2016</w:t>
            </w:r>
          </w:p>
        </w:tc>
        <w:tc>
          <w:tcPr>
            <w:tcW w:w="1500" w:type="dxa"/>
            <w:vAlign w:val="bottom"/>
            <w:shd w:val="clear" w:color="auto" w:fill="EEEEEE"/>
          </w:tcPr>
          <w:p>
            <w:pPr>
              <w:spacing w:after="0"/>
              <w:rPr>
                <w:sz w:val="18"/>
                <w:szCs w:val="18"/>
                <w:color w:val="auto"/>
              </w:rPr>
            </w:pPr>
          </w:p>
        </w:tc>
        <w:tc>
          <w:tcPr>
            <w:tcW w:w="1400" w:type="dxa"/>
            <w:vAlign w:val="bottom"/>
            <w:tcBorders>
              <w:right w:val="single" w:sz="8" w:color="EEEEEE"/>
            </w:tcBorders>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713</w:t>
            </w:r>
          </w:p>
        </w:tc>
        <w:tc>
          <w:tcPr>
            <w:tcW w:w="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1,514</w:t>
            </w: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2,034</w:t>
            </w: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3,539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2017</w:t>
            </w:r>
          </w:p>
        </w:tc>
        <w:tc>
          <w:tcPr>
            <w:tcW w:w="1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2,131</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2,732</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Borders>
              <w:right w:val="single" w:sz="8" w:color="EEEEEE"/>
            </w:tcBorders>
            <w:gridSpan w:val="3"/>
            <w:shd w:val="clear" w:color="auto" w:fill="EEEEEE"/>
          </w:tcPr>
          <w:p>
            <w:pPr>
              <w:spacing w:after="0"/>
              <w:rPr>
                <w:sz w:val="20"/>
                <w:szCs w:val="20"/>
                <w:color w:val="auto"/>
              </w:rPr>
            </w:pPr>
            <w:r>
              <w:rPr>
                <w:rFonts w:ascii="Arial" w:cs="Arial" w:eastAsia="Arial" w:hAnsi="Arial"/>
                <w:sz w:val="18"/>
                <w:szCs w:val="18"/>
                <w:color w:val="auto"/>
              </w:rPr>
              <w:t>Applied against repos in inventory (net)</w:t>
            </w:r>
          </w:p>
        </w:tc>
        <w:tc>
          <w:tcPr>
            <w:tcW w:w="1040" w:type="dxa"/>
            <w:vAlign w:val="bottom"/>
            <w:shd w:val="clear" w:color="auto" w:fill="EEEEEE"/>
          </w:tcPr>
          <w:p>
            <w:pPr>
              <w:spacing w:after="0"/>
              <w:rPr>
                <w:sz w:val="19"/>
                <w:szCs w:val="19"/>
                <w:color w:val="auto"/>
              </w:rPr>
            </w:pPr>
          </w:p>
        </w:tc>
        <w:tc>
          <w:tcPr>
            <w:tcW w:w="660" w:type="dxa"/>
            <w:vAlign w:val="bottom"/>
            <w:gridSpan w:val="2"/>
            <w:shd w:val="clear" w:color="auto" w:fill="EEEEEE"/>
          </w:tcPr>
          <w:p>
            <w:pPr>
              <w:jc w:val="right"/>
              <w:ind w:right="1"/>
              <w:spacing w:after="0"/>
              <w:rPr>
                <w:sz w:val="20"/>
                <w:szCs w:val="20"/>
                <w:color w:val="auto"/>
              </w:rPr>
            </w:pPr>
            <w:r>
              <w:rPr>
                <w:rFonts w:ascii="Arial" w:cs="Arial" w:eastAsia="Arial" w:hAnsi="Arial"/>
                <w:sz w:val="18"/>
                <w:szCs w:val="18"/>
                <w:color w:val="auto"/>
              </w:rPr>
              <w:t>(410)</w:t>
            </w:r>
          </w:p>
        </w:tc>
        <w:tc>
          <w:tcPr>
            <w:tcW w:w="8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(95)</w:t>
            </w:r>
          </w:p>
        </w:tc>
        <w:tc>
          <w:tcPr>
            <w:tcW w:w="34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(801)</w:t>
            </w:r>
          </w:p>
        </w:tc>
        <w:tc>
          <w:tcPr>
            <w:tcW w:w="6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
        </w:trPr>
        <w:tc>
          <w:tcPr>
            <w:tcW w:w="1280" w:type="dxa"/>
            <w:vAlign w:val="bottom"/>
            <w:shd w:val="clear" w:color="auto" w:fill="EEEEEE"/>
          </w:tcPr>
          <w:p>
            <w:pPr>
              <w:spacing w:after="0" w:line="20" w:lineRule="exact"/>
              <w:rPr>
                <w:sz w:val="1"/>
                <w:szCs w:val="1"/>
                <w:color w:val="auto"/>
              </w:rPr>
            </w:pPr>
          </w:p>
        </w:tc>
        <w:tc>
          <w:tcPr>
            <w:tcW w:w="1500" w:type="dxa"/>
            <w:vAlign w:val="bottom"/>
            <w:shd w:val="clear" w:color="auto" w:fill="EEEEEE"/>
          </w:tcPr>
          <w:p>
            <w:pPr>
              <w:spacing w:after="0" w:line="20" w:lineRule="exact"/>
              <w:rPr>
                <w:sz w:val="1"/>
                <w:szCs w:val="1"/>
                <w:color w:val="auto"/>
              </w:rPr>
            </w:pPr>
          </w:p>
        </w:tc>
        <w:tc>
          <w:tcPr>
            <w:tcW w:w="1400" w:type="dxa"/>
            <w:vAlign w:val="bottom"/>
            <w:tcBorders>
              <w:right w:val="single" w:sz="8" w:color="EEEEEE"/>
            </w:tcBorders>
            <w:shd w:val="clear" w:color="auto" w:fill="EEEEEE"/>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40" w:type="dxa"/>
            <w:vAlign w:val="bottom"/>
          </w:tcPr>
          <w:p>
            <w:pPr>
              <w:jc w:val="right"/>
              <w:ind w:right="878"/>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1,897</w:t>
            </w:r>
          </w:p>
        </w:tc>
        <w:tc>
          <w:tcPr>
            <w:tcW w:w="140" w:type="dxa"/>
            <w:vAlign w:val="bottom"/>
          </w:tcPr>
          <w:p>
            <w:pPr>
              <w:spacing w:after="0"/>
              <w:rPr>
                <w:sz w:val="20"/>
                <w:szCs w:val="20"/>
                <w:color w:val="auto"/>
              </w:rPr>
            </w:pPr>
          </w:p>
        </w:tc>
        <w:tc>
          <w:tcPr>
            <w:tcW w:w="114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4,446</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4,914</w:t>
            </w:r>
          </w:p>
        </w:tc>
        <w:tc>
          <w:tcPr>
            <w:tcW w:w="220" w:type="dxa"/>
            <w:vAlign w:val="bottom"/>
          </w:tcPr>
          <w:p>
            <w:pPr>
              <w:spacing w:after="0"/>
              <w:rPr>
                <w:sz w:val="20"/>
                <w:szCs w:val="20"/>
                <w:color w:val="auto"/>
              </w:rPr>
            </w:pPr>
          </w:p>
        </w:tc>
        <w:tc>
          <w:tcPr>
            <w:tcW w:w="600" w:type="dxa"/>
            <w:vAlign w:val="bottom"/>
          </w:tcPr>
          <w:p>
            <w:pPr>
              <w:jc w:val="right"/>
              <w:ind w:right="44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9,805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80"/>
        <w:spacing w:after="0" w:line="263"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125730</wp:posOffset>
            </wp:positionV>
            <wp:extent cx="21431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p>
      <w:pPr>
        <w:spacing w:after="0" w:line="207" w:lineRule="exact"/>
        <w:rPr>
          <w:sz w:val="20"/>
          <w:szCs w:val="20"/>
          <w:color w:val="auto"/>
        </w:rPr>
      </w:pPr>
    </w:p>
    <w:p>
      <w:pPr>
        <w:jc w:val="center"/>
        <w:ind w:left="7980"/>
        <w:spacing w:after="0"/>
        <w:rPr>
          <w:sz w:val="20"/>
          <w:szCs w:val="20"/>
          <w:color w:val="auto"/>
        </w:rPr>
      </w:pPr>
      <w:r>
        <w:rPr>
          <w:rFonts w:ascii="Arial" w:cs="Arial" w:eastAsia="Arial" w:hAnsi="Arial"/>
          <w:sz w:val="15"/>
          <w:szCs w:val="15"/>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39370</wp:posOffset>
            </wp:positionV>
            <wp:extent cx="10033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42" w:lineRule="exact"/>
        <w:rPr>
          <w:sz w:val="20"/>
          <w:szCs w:val="20"/>
          <w:color w:val="auto"/>
        </w:rPr>
      </w:pPr>
    </w:p>
    <w:p>
      <w:pPr>
        <w:jc w:val="center"/>
        <w:ind w:left="7980"/>
        <w:spacing w:after="0"/>
        <w:rPr>
          <w:sz w:val="20"/>
          <w:szCs w:val="20"/>
          <w:color w:val="auto"/>
        </w:rPr>
      </w:pPr>
      <w:r>
        <w:rPr>
          <w:rFonts w:ascii="Arial" w:cs="Arial" w:eastAsia="Arial" w:hAnsi="Arial"/>
          <w:sz w:val="18"/>
          <w:szCs w:val="18"/>
          <w:b w:val="1"/>
          <w:bCs w:val="1"/>
          <w:color w:val="auto"/>
        </w:rPr>
        <w:t>2023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380"/>
        <w:spacing w:after="0"/>
        <w:rPr>
          <w:sz w:val="20"/>
          <w:szCs w:val="20"/>
          <w:color w:val="auto"/>
        </w:rPr>
      </w:pPr>
      <w:r>
        <w:rPr>
          <w:rFonts w:ascii="Arial" w:cs="Arial" w:eastAsia="Arial" w:hAnsi="Arial"/>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39370</wp:posOffset>
            </wp:positionV>
            <wp:extent cx="10033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42"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2022</w:t>
      </w:r>
    </w:p>
    <w:p>
      <w:pPr>
        <w:spacing w:after="0" w:line="43" w:lineRule="exact"/>
        <w:rPr>
          <w:sz w:val="20"/>
          <w:szCs w:val="20"/>
          <w:color w:val="auto"/>
        </w:rPr>
      </w:pPr>
    </w:p>
    <w:p>
      <w:pPr>
        <w:sectPr>
          <w:pgSz w:w="11900" w:h="16838" w:orient="portrait"/>
          <w:cols w:equalWidth="0" w:num="2">
            <w:col w:w="9100" w:space="720"/>
            <w:col w:w="142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5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45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80" w:type="dxa"/>
            <w:vAlign w:val="bottom"/>
            <w:gridSpan w:val="3"/>
          </w:tcPr>
          <w:p>
            <w:pPr>
              <w:jc w:val="right"/>
              <w:ind w:right="267"/>
              <w:spacing w:after="0" w:line="189" w:lineRule="exact"/>
              <w:rPr>
                <w:sz w:val="20"/>
                <w:szCs w:val="20"/>
                <w:color w:val="auto"/>
              </w:rPr>
            </w:pPr>
            <w:r>
              <w:rPr>
                <w:rFonts w:ascii="Arial" w:cs="Arial" w:eastAsia="Arial" w:hAnsi="Arial"/>
                <w:sz w:val="18"/>
                <w:szCs w:val="18"/>
                <w:b w:val="1"/>
                <w:bCs w:val="1"/>
                <w:color w:val="auto"/>
              </w:rPr>
              <w:t>(In thousands)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Gross balance of repossessions in inventory</w:t>
            </w:r>
          </w:p>
        </w:tc>
        <w:tc>
          <w:tcPr>
            <w:tcW w:w="3780" w:type="dxa"/>
            <w:vAlign w:val="bottom"/>
            <w:gridSpan w:val="2"/>
            <w:shd w:val="clear" w:color="auto" w:fill="EEEEEE"/>
          </w:tcPr>
          <w:p>
            <w:pPr>
              <w:jc w:val="right"/>
              <w:ind w:right="447"/>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1,003</w:t>
            </w:r>
          </w:p>
        </w:tc>
        <w:tc>
          <w:tcPr>
            <w:tcW w:w="22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62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EEEEEE"/>
          </w:tcPr>
          <w:p>
            <w:pPr>
              <w:spacing w:after="0"/>
              <w:rPr>
                <w:sz w:val="18"/>
                <w:szCs w:val="18"/>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Allowance for losses on repossessed inventory</w:t>
            </w:r>
          </w:p>
        </w:tc>
        <w:tc>
          <w:tcPr>
            <w:tcW w:w="3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(655)</w:t>
            </w:r>
          </w:p>
        </w:tc>
        <w:tc>
          <w:tcPr>
            <w:tcW w:w="7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(1,323)</w:t>
            </w:r>
          </w:p>
        </w:tc>
      </w:tr>
      <w:tr>
        <w:trPr>
          <w:trHeight w:val="263"/>
        </w:trPr>
        <w:tc>
          <w:tcPr>
            <w:tcW w:w="45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repossessed inventory included in other assets</w:t>
            </w:r>
          </w:p>
        </w:tc>
        <w:tc>
          <w:tcPr>
            <w:tcW w:w="3180" w:type="dxa"/>
            <w:vAlign w:val="bottom"/>
            <w:tcBorders>
              <w:top w:val="single" w:sz="8" w:color="EEEEEE"/>
              <w:bottom w:val="single" w:sz="8" w:color="EEEEEE"/>
            </w:tcBorders>
            <w:shd w:val="clear" w:color="auto" w:fill="EEEEEE"/>
          </w:tcPr>
          <w:p>
            <w:pPr>
              <w:spacing w:after="0"/>
              <w:rPr>
                <w:sz w:val="22"/>
                <w:szCs w:val="22"/>
                <w:color w:val="auto"/>
              </w:rPr>
            </w:pPr>
          </w:p>
        </w:tc>
        <w:tc>
          <w:tcPr>
            <w:tcW w:w="600" w:type="dxa"/>
            <w:vAlign w:val="bottom"/>
            <w:tcBorders>
              <w:top w:val="single" w:sz="8" w:color="auto"/>
              <w:bottom w:val="single" w:sz="8" w:color="auto"/>
            </w:tcBorders>
            <w:shd w:val="clear" w:color="auto" w:fill="EEEEEE"/>
          </w:tcPr>
          <w:p>
            <w:pPr>
              <w:jc w:val="right"/>
              <w:ind w:right="44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Borders>
              <w:top w:val="single" w:sz="8" w:color="EEEEEE"/>
              <w:bottom w:val="single" w:sz="8" w:color="EEEEEE"/>
            </w:tcBorders>
            <w:shd w:val="clear" w:color="auto" w:fill="EEEEEE"/>
          </w:tcPr>
          <w:p>
            <w:pPr>
              <w:spacing w:after="0"/>
              <w:rPr>
                <w:sz w:val="22"/>
                <w:szCs w:val="22"/>
                <w:color w:val="auto"/>
              </w:rPr>
            </w:pPr>
          </w:p>
        </w:tc>
        <w:tc>
          <w:tcPr>
            <w:tcW w:w="780" w:type="dxa"/>
            <w:vAlign w:val="bottom"/>
            <w:tcBorders>
              <w:top w:val="single" w:sz="8" w:color="auto"/>
              <w:bottom w:val="single" w:sz="8" w:color="auto"/>
            </w:tcBorders>
            <w:shd w:val="clear" w:color="auto" w:fill="EEEEEE"/>
          </w:tcPr>
          <w:p>
            <w:pPr>
              <w:jc w:val="right"/>
              <w:ind w:right="6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top w:val="single" w:sz="8" w:color="EEEEEE"/>
              <w:bottom w:val="single" w:sz="8" w:color="EEEEEE"/>
            </w:tcBorders>
            <w:shd w:val="clear" w:color="auto" w:fill="EEEEEE"/>
          </w:tcPr>
          <w:p>
            <w:pPr>
              <w:spacing w:after="0"/>
              <w:rPr>
                <w:sz w:val="22"/>
                <w:szCs w:val="22"/>
                <w:color w:val="auto"/>
              </w:rPr>
            </w:pPr>
          </w:p>
        </w:tc>
      </w:tr>
      <w:tr>
        <w:trPr>
          <w:trHeight w:val="844"/>
        </w:trPr>
        <w:tc>
          <w:tcPr>
            <w:tcW w:w="45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jc w:val="right"/>
              <w:ind w:right="1950"/>
              <w:spacing w:after="0"/>
              <w:rPr>
                <w:sz w:val="20"/>
                <w:szCs w:val="20"/>
                <w:color w:val="auto"/>
              </w:rPr>
            </w:pPr>
            <w:r>
              <w:rPr>
                <w:rFonts w:ascii="Arial" w:cs="Arial" w:eastAsia="Arial" w:hAnsi="Arial"/>
                <w:sz w:val="18"/>
                <w:szCs w:val="18"/>
                <w:color w:val="auto"/>
              </w:rPr>
              <w:t>16</w:t>
            </w:r>
          </w:p>
        </w:tc>
        <w:tc>
          <w:tcPr>
            <w:tcW w:w="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Securitization Trust Debt</w:t>
      </w:r>
    </w:p>
    <w:p>
      <w:pPr>
        <w:spacing w:after="0" w:line="225" w:lineRule="exact"/>
        <w:rPr>
          <w:sz w:val="20"/>
          <w:szCs w:val="20"/>
          <w:color w:val="auto"/>
        </w:rPr>
      </w:pPr>
    </w:p>
    <w:p>
      <w:pPr>
        <w:jc w:val="both"/>
        <w:ind w:firstLine="180"/>
        <w:spacing w:after="0" w:line="263" w:lineRule="auto"/>
        <w:rPr>
          <w:sz w:val="20"/>
          <w:szCs w:val="20"/>
          <w:color w:val="auto"/>
        </w:rPr>
      </w:pPr>
      <w:r>
        <w:rPr>
          <w:rFonts w:ascii="Arial" w:cs="Arial" w:eastAsia="Arial" w:hAnsi="Arial"/>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Receivables</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Outstanding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Principal at</w:t>
            </w:r>
          </w:p>
        </w:tc>
        <w:tc>
          <w:tcPr>
            <w:tcW w:w="1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Contractual Debt</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b w:val="1"/>
                <w:bCs w:val="1"/>
                <w:color w:val="auto"/>
              </w:rPr>
              <w:t>Final Scheduled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Pledged at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Principal at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Interest Rate at</w:t>
            </w:r>
          </w:p>
        </w:tc>
        <w:tc>
          <w:tcPr>
            <w:tcW w:w="0" w:type="dxa"/>
            <w:vAlign w:val="bottom"/>
          </w:tcPr>
          <w:p>
            <w:pPr>
              <w:spacing w:after="0"/>
              <w:rPr>
                <w:sz w:val="1"/>
                <w:szCs w:val="1"/>
                <w:color w:val="auto"/>
              </w:rPr>
            </w:pPr>
          </w:p>
        </w:tc>
      </w:tr>
      <w:tr>
        <w:trPr>
          <w:trHeight w:val="234"/>
        </w:trPr>
        <w:tc>
          <w:tcPr>
            <w:tcW w:w="158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Series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Payment Date (1)</w:t>
            </w:r>
          </w:p>
        </w:tc>
        <w:tc>
          <w:tcPr>
            <w:tcW w:w="120" w:type="dxa"/>
            <w:vAlign w:val="bottom"/>
          </w:tcPr>
          <w:p>
            <w:pPr>
              <w:spacing w:after="0"/>
              <w:rPr>
                <w:sz w:val="20"/>
                <w:szCs w:val="20"/>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June 30, 2023 (2)</w:t>
            </w:r>
          </w:p>
        </w:tc>
        <w:tc>
          <w:tcPr>
            <w:tcW w:w="220" w:type="dxa"/>
            <w:vAlign w:val="bottom"/>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Initial Principal</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June 30, 2023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June 30, 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w w:val="81"/>
              </w:rPr>
              <w:t>(Dollars in thousands)</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CPS 2018-A</w:t>
            </w:r>
          </w:p>
        </w:tc>
        <w:tc>
          <w:tcPr>
            <w:tcW w:w="120" w:type="dxa"/>
            <w:vAlign w:val="bottom"/>
            <w:shd w:val="clear" w:color="auto" w:fill="EEEEEE"/>
          </w:tcPr>
          <w:p>
            <w:pPr>
              <w:spacing w:after="0"/>
              <w:rPr>
                <w:sz w:val="18"/>
                <w:szCs w:val="18"/>
                <w:color w:val="auto"/>
              </w:rPr>
            </w:pP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March 2025</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190,000</w:t>
            </w:r>
          </w:p>
        </w:tc>
        <w:tc>
          <w:tcPr>
            <w:tcW w:w="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12,939</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CPS 2018-B</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December 2024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201,823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17,077</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CPS 2018-C</w:t>
            </w:r>
          </w:p>
        </w:tc>
        <w:tc>
          <w:tcPr>
            <w:tcW w:w="120" w:type="dxa"/>
            <w:vAlign w:val="bottom"/>
            <w:shd w:val="clear" w:color="auto" w:fill="EEEEEE"/>
          </w:tcPr>
          <w:p>
            <w:pPr>
              <w:spacing w:after="0"/>
              <w:rPr>
                <w:sz w:val="18"/>
                <w:szCs w:val="18"/>
                <w:color w:val="auto"/>
              </w:rPr>
            </w:pP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September 2025</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230,275</w:t>
            </w:r>
          </w:p>
        </w:tc>
        <w:tc>
          <w:tcPr>
            <w:tcW w:w="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20,222</w:t>
            </w:r>
          </w:p>
        </w:tc>
        <w:tc>
          <w:tcPr>
            <w:tcW w:w="1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CPS 2018-D</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June 2025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20,498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233,730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25,563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CPS 2019-A</w:t>
            </w:r>
          </w:p>
        </w:tc>
        <w:tc>
          <w:tcPr>
            <w:tcW w:w="120" w:type="dxa"/>
            <w:vAlign w:val="bottom"/>
            <w:shd w:val="clear" w:color="auto" w:fill="EEEEEE"/>
          </w:tcPr>
          <w:p>
            <w:pPr>
              <w:spacing w:after="0"/>
              <w:rPr>
                <w:sz w:val="18"/>
                <w:szCs w:val="18"/>
                <w:color w:val="auto"/>
              </w:rPr>
            </w:pP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March 2026</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26,513</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254,400</w:t>
            </w:r>
          </w:p>
        </w:tc>
        <w:tc>
          <w:tcPr>
            <w:tcW w:w="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21,680</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32,898</w:t>
            </w:r>
          </w:p>
        </w:tc>
        <w:tc>
          <w:tcPr>
            <w:tcW w:w="1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CPS 2019-B</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June 2026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28,679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228,275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24,730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33,897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CPS 2019-C</w:t>
            </w:r>
          </w:p>
        </w:tc>
        <w:tc>
          <w:tcPr>
            <w:tcW w:w="120" w:type="dxa"/>
            <w:vAlign w:val="bottom"/>
            <w:shd w:val="clear" w:color="auto" w:fill="EEEEEE"/>
          </w:tcPr>
          <w:p>
            <w:pPr>
              <w:spacing w:after="0"/>
              <w:rPr>
                <w:sz w:val="18"/>
                <w:szCs w:val="18"/>
                <w:color w:val="auto"/>
              </w:rPr>
            </w:pP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September 2026</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34,151</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243,513</w:t>
            </w:r>
          </w:p>
        </w:tc>
        <w:tc>
          <w:tcPr>
            <w:tcW w:w="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30,129</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41,515</w:t>
            </w:r>
          </w:p>
        </w:tc>
        <w:tc>
          <w:tcPr>
            <w:tcW w:w="1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CPS 2019-D</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December 2026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45,068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274,313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39,936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53,625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CPS 2020-A</w:t>
            </w:r>
          </w:p>
        </w:tc>
        <w:tc>
          <w:tcPr>
            <w:tcW w:w="120" w:type="dxa"/>
            <w:vAlign w:val="bottom"/>
            <w:shd w:val="clear" w:color="auto" w:fill="EEEEEE"/>
          </w:tcPr>
          <w:p>
            <w:pPr>
              <w:spacing w:after="0"/>
              <w:rPr>
                <w:sz w:val="18"/>
                <w:szCs w:val="18"/>
                <w:color w:val="auto"/>
              </w:rPr>
            </w:pP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March 2027</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42,267</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260,000</w:t>
            </w:r>
          </w:p>
        </w:tc>
        <w:tc>
          <w:tcPr>
            <w:tcW w:w="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38,057</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52,705</w:t>
            </w:r>
          </w:p>
        </w:tc>
        <w:tc>
          <w:tcPr>
            <w:tcW w:w="1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CPS 2020-B</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June 2027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48,747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202,343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31,860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41,736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CPS 2020-C</w:t>
            </w:r>
          </w:p>
        </w:tc>
        <w:tc>
          <w:tcPr>
            <w:tcW w:w="120" w:type="dxa"/>
            <w:vAlign w:val="bottom"/>
            <w:shd w:val="clear" w:color="auto" w:fill="EEEEEE"/>
          </w:tcPr>
          <w:p>
            <w:pPr>
              <w:spacing w:after="0"/>
              <w:rPr>
                <w:sz w:val="18"/>
                <w:szCs w:val="18"/>
                <w:color w:val="auto"/>
              </w:rPr>
            </w:pP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November 2027</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66,427</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252,200</w:t>
            </w:r>
          </w:p>
        </w:tc>
        <w:tc>
          <w:tcPr>
            <w:tcW w:w="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56,227</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72,894</w:t>
            </w:r>
          </w:p>
        </w:tc>
        <w:tc>
          <w:tcPr>
            <w:tcW w:w="1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CPS 2021-A</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March 2028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70,683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230,545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51,064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72,076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CPS 2021-B</w:t>
            </w:r>
          </w:p>
        </w:tc>
        <w:tc>
          <w:tcPr>
            <w:tcW w:w="120" w:type="dxa"/>
            <w:vAlign w:val="bottom"/>
            <w:shd w:val="clear" w:color="auto" w:fill="EEEEEE"/>
          </w:tcPr>
          <w:p>
            <w:pPr>
              <w:spacing w:after="0"/>
              <w:rPr>
                <w:sz w:val="18"/>
                <w:szCs w:val="18"/>
                <w:color w:val="auto"/>
              </w:rPr>
            </w:pP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June 2028</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89,355</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240,000</w:t>
            </w:r>
          </w:p>
        </w:tc>
        <w:tc>
          <w:tcPr>
            <w:tcW w:w="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76,336</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101,206</w:t>
            </w:r>
          </w:p>
        </w:tc>
        <w:tc>
          <w:tcPr>
            <w:tcW w:w="1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CPS 2021-C</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September 2028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131,240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291,000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113,606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147,593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CPS 2021-D</w:t>
            </w:r>
          </w:p>
        </w:tc>
        <w:tc>
          <w:tcPr>
            <w:tcW w:w="120" w:type="dxa"/>
            <w:vAlign w:val="bottom"/>
            <w:shd w:val="clear" w:color="auto" w:fill="EEEEEE"/>
          </w:tcPr>
          <w:p>
            <w:pPr>
              <w:spacing w:after="0"/>
              <w:rPr>
                <w:sz w:val="18"/>
                <w:szCs w:val="18"/>
                <w:color w:val="auto"/>
              </w:rPr>
            </w:pP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December 2028</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178,689</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349,202</w:t>
            </w:r>
          </w:p>
        </w:tc>
        <w:tc>
          <w:tcPr>
            <w:tcW w:w="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162,778</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209,277</w:t>
            </w:r>
          </w:p>
        </w:tc>
        <w:tc>
          <w:tcPr>
            <w:tcW w:w="1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CPS 2022-A</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April 2029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196,998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316,800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176,857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222,613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CPS 2022-B</w:t>
            </w:r>
          </w:p>
        </w:tc>
        <w:tc>
          <w:tcPr>
            <w:tcW w:w="120" w:type="dxa"/>
            <w:vAlign w:val="bottom"/>
            <w:shd w:val="clear" w:color="auto" w:fill="EEEEEE"/>
          </w:tcPr>
          <w:p>
            <w:pPr>
              <w:spacing w:after="0"/>
              <w:rPr>
                <w:sz w:val="18"/>
                <w:szCs w:val="18"/>
                <w:color w:val="auto"/>
              </w:rPr>
            </w:pP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October 2029</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295,399</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395,600</w:t>
            </w:r>
          </w:p>
        </w:tc>
        <w:tc>
          <w:tcPr>
            <w:tcW w:w="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266,669</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325,907</w:t>
            </w:r>
          </w:p>
        </w:tc>
        <w:tc>
          <w:tcPr>
            <w:tcW w:w="1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CPS 2022-C</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April 2030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332,262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391,600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285,595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346,714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CPS 2022-D</w:t>
            </w:r>
          </w:p>
        </w:tc>
        <w:tc>
          <w:tcPr>
            <w:tcW w:w="120" w:type="dxa"/>
            <w:vAlign w:val="bottom"/>
            <w:shd w:val="clear" w:color="auto" w:fill="EEEEEE"/>
          </w:tcPr>
          <w:p>
            <w:pPr>
              <w:spacing w:after="0"/>
              <w:rPr>
                <w:sz w:val="18"/>
                <w:szCs w:val="18"/>
                <w:color w:val="auto"/>
              </w:rPr>
            </w:pP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June 2030</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278,221</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307,018</w:t>
            </w:r>
          </w:p>
        </w:tc>
        <w:tc>
          <w:tcPr>
            <w:tcW w:w="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250,805</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292,461</w:t>
            </w:r>
          </w:p>
        </w:tc>
        <w:tc>
          <w:tcPr>
            <w:tcW w:w="1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0"/>
                <w:szCs w:val="20"/>
                <w:color w:val="auto"/>
              </w:rPr>
            </w:pPr>
            <w:r>
              <w:rPr>
                <w:rFonts w:ascii="Arial" w:cs="Arial" w:eastAsia="Arial" w:hAnsi="Arial"/>
                <w:sz w:val="18"/>
                <w:szCs w:val="18"/>
                <w:color w:val="auto"/>
              </w:rPr>
              <w:t>CPS 2023-A</w:t>
            </w:r>
          </w:p>
        </w:tc>
        <w:tc>
          <w:tcPr>
            <w:tcW w:w="1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August 2030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196,998</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324,768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281,081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580" w:type="dxa"/>
            <w:vAlign w:val="bottom"/>
            <w:shd w:val="clear" w:color="auto" w:fill="EEEEEE"/>
          </w:tcPr>
          <w:p>
            <w:pPr>
              <w:spacing w:after="0"/>
              <w:rPr>
                <w:sz w:val="20"/>
                <w:szCs w:val="20"/>
                <w:color w:val="auto"/>
              </w:rPr>
            </w:pPr>
            <w:r>
              <w:rPr>
                <w:rFonts w:ascii="Arial" w:cs="Arial" w:eastAsia="Arial" w:hAnsi="Arial"/>
                <w:sz w:val="18"/>
                <w:szCs w:val="18"/>
                <w:color w:val="auto"/>
              </w:rPr>
              <w:t>CPS 2023-B</w:t>
            </w:r>
          </w:p>
        </w:tc>
        <w:tc>
          <w:tcPr>
            <w:tcW w:w="120" w:type="dxa"/>
            <w:vAlign w:val="bottom"/>
            <w:shd w:val="clear" w:color="auto" w:fill="EEEEEE"/>
          </w:tcPr>
          <w:p>
            <w:pPr>
              <w:spacing w:after="0"/>
              <w:rPr>
                <w:sz w:val="19"/>
                <w:szCs w:val="19"/>
                <w:color w:val="auto"/>
              </w:rPr>
            </w:pP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November 2030</w:t>
            </w:r>
          </w:p>
        </w:tc>
        <w:tc>
          <w:tcPr>
            <w:tcW w:w="1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295,399</w:t>
            </w:r>
          </w:p>
        </w:tc>
        <w:tc>
          <w:tcPr>
            <w:tcW w:w="2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332,885</w:t>
            </w:r>
          </w:p>
        </w:tc>
        <w:tc>
          <w:tcPr>
            <w:tcW w:w="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316,192</w:t>
            </w:r>
          </w:p>
        </w:tc>
        <w:tc>
          <w:tcPr>
            <w:tcW w:w="2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2,377,595</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5,750,290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2,239,614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2,122,919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Arial" w:cs="Arial" w:eastAsia="Arial" w:hAnsi="Arial"/>
                <w:sz w:val="18"/>
                <w:szCs w:val="18"/>
                <w:color w:val="auto"/>
                <w:w w:val="91"/>
              </w:rPr>
              <w:t>_________________</w:t>
            </w: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73" w:lineRule="auto"/>
        <w:tabs>
          <w:tab w:leader="none" w:pos="34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$409.3 million in 2023, $747.0 million in 2024, $463.2 million in 2025, $288.1 million in 2026, $193.9 million in 2027, $102.9 million in 2028, and $20.7 million in 2029.</w:t>
      </w:r>
    </w:p>
    <w:p>
      <w:pPr>
        <w:spacing w:after="0" w:line="176" w:lineRule="exact"/>
        <w:rPr>
          <w:rFonts w:ascii="Arial" w:cs="Arial" w:eastAsia="Arial" w:hAnsi="Arial"/>
          <w:sz w:val="17"/>
          <w:szCs w:val="17"/>
          <w:i w:val="1"/>
          <w:iCs w:val="1"/>
          <w:color w:val="auto"/>
        </w:rPr>
      </w:pP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Unaudited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180"/>
        <w:spacing w:after="0" w:line="263" w:lineRule="auto"/>
        <w:rPr>
          <w:sz w:val="20"/>
          <w:szCs w:val="20"/>
          <w:color w:val="auto"/>
        </w:rPr>
      </w:pPr>
      <w:r>
        <w:rPr>
          <w:rFonts w:ascii="Arial" w:cs="Arial" w:eastAsia="Arial" w:hAnsi="Arial"/>
          <w:sz w:val="18"/>
          <w:szCs w:val="18"/>
          <w:color w:val="auto"/>
        </w:rPr>
        <w:t>Debt issuance costs of $14.5 million and $14.2 million as of June 30, 2023 and December 31, 2022, respectively, have been excluded from the table above. These debt issuance costs are presented as a direct deduction to the carrying amount of the Securitization trust debt on our Consolidated Balance Sheets.</w:t>
      </w:r>
    </w:p>
    <w:p>
      <w:pPr>
        <w:spacing w:after="0" w:line="184" w:lineRule="exact"/>
        <w:rPr>
          <w:sz w:val="20"/>
          <w:szCs w:val="20"/>
          <w:color w:val="auto"/>
        </w:rPr>
      </w:pPr>
    </w:p>
    <w:p>
      <w:pPr>
        <w:jc w:val="both"/>
        <w:ind w:firstLine="180"/>
        <w:spacing w:after="0" w:line="277" w:lineRule="auto"/>
        <w:rPr>
          <w:sz w:val="20"/>
          <w:szCs w:val="20"/>
          <w:color w:val="auto"/>
        </w:rPr>
      </w:pPr>
      <w:r>
        <w:rPr>
          <w:rFonts w:ascii="Arial" w:cs="Arial" w:eastAsia="Arial" w:hAnsi="Arial"/>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70" w:lineRule="exact"/>
        <w:rPr>
          <w:sz w:val="20"/>
          <w:szCs w:val="20"/>
          <w:color w:val="auto"/>
        </w:rPr>
      </w:pPr>
    </w:p>
    <w:p>
      <w:pPr>
        <w:jc w:val="both"/>
        <w:ind w:firstLine="180"/>
        <w:spacing w:after="0" w:line="286" w:lineRule="auto"/>
        <w:rPr>
          <w:sz w:val="20"/>
          <w:szCs w:val="20"/>
          <w:color w:val="auto"/>
        </w:rPr>
      </w:pPr>
      <w:r>
        <w:rPr>
          <w:rFonts w:ascii="Arial" w:cs="Arial" w:eastAsia="Arial" w:hAnsi="Arial"/>
          <w:sz w:val="17"/>
          <w:szCs w:val="17"/>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As of June 30, 2023, we were in compliance with all such covenants.</w:t>
      </w:r>
    </w:p>
    <w:p>
      <w:pPr>
        <w:spacing w:after="0" w:line="165" w:lineRule="exact"/>
        <w:rPr>
          <w:sz w:val="20"/>
          <w:szCs w:val="20"/>
          <w:color w:val="auto"/>
        </w:rPr>
      </w:pPr>
    </w:p>
    <w:p>
      <w:pPr>
        <w:jc w:val="both"/>
        <w:ind w:firstLine="180"/>
        <w:spacing w:after="0" w:line="272" w:lineRule="auto"/>
        <w:rPr>
          <w:sz w:val="20"/>
          <w:szCs w:val="20"/>
          <w:color w:val="auto"/>
        </w:rPr>
      </w:pPr>
      <w:r>
        <w:rPr>
          <w:rFonts w:ascii="Arial" w:cs="Arial" w:eastAsia="Arial" w:hAnsi="Arial"/>
          <w:sz w:val="17"/>
          <w:szCs w:val="17"/>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June 30, 2023, restricted cash under the various agreements totaled approximately $148.1 million.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77" w:lineRule="exact"/>
        <w:rPr>
          <w:sz w:val="20"/>
          <w:szCs w:val="20"/>
          <w:color w:val="auto"/>
        </w:rPr>
      </w:pPr>
    </w:p>
    <w:p>
      <w:pPr>
        <w:jc w:val="both"/>
        <w:ind w:firstLine="180"/>
        <w:spacing w:after="0" w:line="275" w:lineRule="auto"/>
        <w:rPr>
          <w:sz w:val="20"/>
          <w:szCs w:val="20"/>
          <w:color w:val="auto"/>
        </w:rPr>
      </w:pPr>
      <w:r>
        <w:rPr>
          <w:rFonts w:ascii="Arial" w:cs="Arial" w:eastAsia="Arial" w:hAnsi="Arial"/>
          <w:sz w:val="17"/>
          <w:szCs w:val="17"/>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terms and amounts of our other debt outstanding at June 30, 2023 and December 31, 2022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0" w:type="dxa"/>
            <w:vAlign w:val="bottom"/>
            <w:gridSpan w:val="5"/>
          </w:tcPr>
          <w:p>
            <w:pPr>
              <w:ind w:left="400"/>
              <w:spacing w:after="0"/>
              <w:rPr>
                <w:sz w:val="20"/>
                <w:szCs w:val="20"/>
                <w:color w:val="auto"/>
              </w:rPr>
            </w:pPr>
            <w:r>
              <w:rPr>
                <w:rFonts w:ascii="Arial" w:cs="Arial" w:eastAsia="Arial" w:hAnsi="Arial"/>
                <w:sz w:val="18"/>
                <w:szCs w:val="18"/>
                <w:b w:val="1"/>
                <w:bCs w:val="1"/>
                <w:color w:val="auto"/>
              </w:rPr>
              <w:t>Amount Outstanding at</w:t>
            </w: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40" w:type="dxa"/>
            <w:vAlign w:val="bottom"/>
            <w:vMerge w:val="restart"/>
          </w:tcPr>
          <w:p>
            <w:pPr>
              <w:ind w:left="720"/>
              <w:spacing w:after="0"/>
              <w:rPr>
                <w:sz w:val="20"/>
                <w:szCs w:val="20"/>
                <w:color w:val="auto"/>
              </w:rPr>
            </w:pPr>
            <w:r>
              <w:rPr>
                <w:rFonts w:ascii="Arial" w:cs="Arial" w:eastAsia="Arial" w:hAnsi="Arial"/>
                <w:sz w:val="18"/>
                <w:szCs w:val="18"/>
                <w:color w:val="auto"/>
              </w:rPr>
              <w:t>Description</w:t>
            </w:r>
          </w:p>
        </w:tc>
        <w:tc>
          <w:tcPr>
            <w:tcW w:w="140" w:type="dxa"/>
            <w:vAlign w:val="bottom"/>
          </w:tcPr>
          <w:p>
            <w:pPr>
              <w:spacing w:after="0"/>
              <w:rPr>
                <w:sz w:val="19"/>
                <w:szCs w:val="19"/>
                <w:color w:val="auto"/>
              </w:rPr>
            </w:pPr>
          </w:p>
        </w:tc>
        <w:tc>
          <w:tcPr>
            <w:tcW w:w="2680" w:type="dxa"/>
            <w:vAlign w:val="bottom"/>
            <w:vMerge w:val="restart"/>
          </w:tcPr>
          <w:p>
            <w:pPr>
              <w:jc w:val="center"/>
              <w:spacing w:after="0"/>
              <w:rPr>
                <w:sz w:val="20"/>
                <w:szCs w:val="20"/>
                <w:color w:val="auto"/>
              </w:rPr>
            </w:pPr>
            <w:r>
              <w:rPr>
                <w:rFonts w:ascii="Arial" w:cs="Arial" w:eastAsia="Arial" w:hAnsi="Arial"/>
                <w:sz w:val="18"/>
                <w:szCs w:val="18"/>
                <w:color w:val="auto"/>
                <w:w w:val="89"/>
              </w:rPr>
              <w:t>Interest Rate</w:t>
            </w:r>
          </w:p>
        </w:tc>
        <w:tc>
          <w:tcPr>
            <w:tcW w:w="120" w:type="dxa"/>
            <w:vAlign w:val="bottom"/>
          </w:tcPr>
          <w:p>
            <w:pPr>
              <w:spacing w:after="0"/>
              <w:rPr>
                <w:sz w:val="19"/>
                <w:szCs w:val="19"/>
                <w:color w:val="auto"/>
              </w:rPr>
            </w:pPr>
          </w:p>
        </w:tc>
        <w:tc>
          <w:tcPr>
            <w:tcW w:w="2680" w:type="dxa"/>
            <w:vAlign w:val="bottom"/>
            <w:vMerge w:val="restart"/>
          </w:tcPr>
          <w:p>
            <w:pPr>
              <w:jc w:val="center"/>
              <w:spacing w:after="0"/>
              <w:rPr>
                <w:sz w:val="20"/>
                <w:szCs w:val="20"/>
                <w:color w:val="auto"/>
              </w:rPr>
            </w:pPr>
            <w:r>
              <w:rPr>
                <w:rFonts w:ascii="Arial" w:cs="Arial" w:eastAsia="Arial" w:hAnsi="Arial"/>
                <w:sz w:val="18"/>
                <w:szCs w:val="18"/>
                <w:color w:val="auto"/>
                <w:w w:val="99"/>
              </w:rPr>
              <w:t>Maturity</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700" w:type="dxa"/>
            <w:vAlign w:val="bottom"/>
            <w:gridSpan w:val="3"/>
          </w:tcPr>
          <w:p>
            <w:pPr>
              <w:jc w:val="right"/>
              <w:ind w:right="930"/>
              <w:spacing w:after="0"/>
              <w:rPr>
                <w:sz w:val="20"/>
                <w:szCs w:val="20"/>
                <w:color w:val="auto"/>
              </w:rPr>
            </w:pPr>
            <w:r>
              <w:rPr>
                <w:rFonts w:ascii="Arial" w:cs="Arial" w:eastAsia="Arial" w:hAnsi="Arial"/>
                <w:sz w:val="17"/>
                <w:szCs w:val="17"/>
                <w:b w:val="1"/>
                <w:bCs w:val="1"/>
                <w:color w:val="auto"/>
                <w:w w:val="71"/>
              </w:rPr>
              <w:t>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26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68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3.00% over one month Libor</w:t>
            </w:r>
          </w:p>
        </w:tc>
        <w:tc>
          <w:tcPr>
            <w:tcW w:w="120" w:type="dxa"/>
            <w:vAlign w:val="bottom"/>
            <w:shd w:val="clear" w:color="auto" w:fill="EEEEEE"/>
          </w:tcPr>
          <w:p>
            <w:pPr>
              <w:spacing w:after="0"/>
              <w:rPr>
                <w:sz w:val="17"/>
                <w:szCs w:val="17"/>
                <w:color w:val="auto"/>
              </w:rPr>
            </w:pPr>
          </w:p>
        </w:tc>
        <w:tc>
          <w:tcPr>
            <w:tcW w:w="26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(Minimum 3.75%) 8.38% and 7.48%</w:t>
            </w:r>
          </w:p>
        </w:tc>
        <w:tc>
          <w:tcPr>
            <w:tcW w:w="120" w:type="dxa"/>
            <w:vAlign w:val="bottom"/>
            <w:shd w:val="clear" w:color="auto" w:fill="EEEEEE"/>
          </w:tcPr>
          <w:p>
            <w:pPr>
              <w:spacing w:after="0"/>
              <w:rPr>
                <w:sz w:val="18"/>
                <w:szCs w:val="18"/>
                <w:color w:val="auto"/>
              </w:rPr>
            </w:pPr>
          </w:p>
        </w:tc>
        <w:tc>
          <w:tcPr>
            <w:tcW w:w="26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at June 30, 2023 and December 31,</w:t>
            </w:r>
          </w:p>
        </w:tc>
        <w:tc>
          <w:tcPr>
            <w:tcW w:w="120" w:type="dxa"/>
            <w:vAlign w:val="bottom"/>
            <w:shd w:val="clear" w:color="auto" w:fill="EEEEEE"/>
          </w:tcPr>
          <w:p>
            <w:pPr>
              <w:spacing w:after="0"/>
              <w:rPr>
                <w:sz w:val="18"/>
                <w:szCs w:val="18"/>
                <w:color w:val="auto"/>
              </w:rPr>
            </w:pPr>
          </w:p>
        </w:tc>
        <w:tc>
          <w:tcPr>
            <w:tcW w:w="26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40" w:type="dxa"/>
            <w:vAlign w:val="bottom"/>
            <w:shd w:val="clear" w:color="auto" w:fill="EEEEEE"/>
          </w:tcPr>
          <w:p>
            <w:pPr>
              <w:spacing w:after="0"/>
              <w:rPr>
                <w:sz w:val="20"/>
                <w:szCs w:val="20"/>
                <w:color w:val="auto"/>
              </w:rPr>
            </w:pPr>
          </w:p>
        </w:tc>
        <w:tc>
          <w:tcPr>
            <w:tcW w:w="2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2022, respectively</w:t>
            </w:r>
          </w:p>
        </w:tc>
        <w:tc>
          <w:tcPr>
            <w:tcW w:w="120" w:type="dxa"/>
            <w:vAlign w:val="bottom"/>
            <w:shd w:val="clear" w:color="auto" w:fill="EEEEEE"/>
          </w:tcPr>
          <w:p>
            <w:pPr>
              <w:spacing w:after="0"/>
              <w:rPr>
                <w:sz w:val="20"/>
                <w:szCs w:val="20"/>
                <w:color w:val="auto"/>
              </w:rPr>
            </w:pPr>
          </w:p>
        </w:tc>
        <w:tc>
          <w:tcPr>
            <w:tcW w:w="2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July 2024</w:t>
            </w:r>
          </w:p>
        </w:tc>
        <w:tc>
          <w:tcPr>
            <w:tcW w:w="3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144,949</w:t>
            </w:r>
          </w:p>
        </w:tc>
        <w:tc>
          <w:tcPr>
            <w:tcW w:w="3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150,293</w:t>
            </w: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68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4.15% over a commercial paper rate</w:t>
            </w:r>
          </w:p>
        </w:tc>
        <w:tc>
          <w:tcPr>
            <w:tcW w:w="120" w:type="dxa"/>
            <w:vAlign w:val="bottom"/>
            <w:shd w:val="clear" w:color="auto" w:fill="EEEEEE"/>
          </w:tcPr>
          <w:p>
            <w:pPr>
              <w:spacing w:after="0"/>
              <w:rPr>
                <w:sz w:val="17"/>
                <w:szCs w:val="17"/>
                <w:color w:val="auto"/>
              </w:rPr>
            </w:pPr>
          </w:p>
        </w:tc>
        <w:tc>
          <w:tcPr>
            <w:tcW w:w="26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(Minimum 5.15%) 9.41% and 8.60%</w:t>
            </w:r>
          </w:p>
        </w:tc>
        <w:tc>
          <w:tcPr>
            <w:tcW w:w="120" w:type="dxa"/>
            <w:vAlign w:val="bottom"/>
            <w:shd w:val="clear" w:color="auto" w:fill="EEEEEE"/>
          </w:tcPr>
          <w:p>
            <w:pPr>
              <w:spacing w:after="0"/>
              <w:rPr>
                <w:sz w:val="18"/>
                <w:szCs w:val="18"/>
                <w:color w:val="auto"/>
              </w:rPr>
            </w:pPr>
          </w:p>
        </w:tc>
        <w:tc>
          <w:tcPr>
            <w:tcW w:w="26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at June 30, 2023, and December 31,</w:t>
            </w:r>
          </w:p>
        </w:tc>
        <w:tc>
          <w:tcPr>
            <w:tcW w:w="120" w:type="dxa"/>
            <w:vAlign w:val="bottom"/>
            <w:shd w:val="clear" w:color="auto" w:fill="EEEEEE"/>
          </w:tcPr>
          <w:p>
            <w:pPr>
              <w:spacing w:after="0"/>
              <w:rPr>
                <w:sz w:val="18"/>
                <w:szCs w:val="18"/>
                <w:color w:val="auto"/>
              </w:rPr>
            </w:pPr>
          </w:p>
        </w:tc>
        <w:tc>
          <w:tcPr>
            <w:tcW w:w="26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2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2022, respectively</w:t>
            </w:r>
          </w:p>
        </w:tc>
        <w:tc>
          <w:tcPr>
            <w:tcW w:w="120" w:type="dxa"/>
            <w:vAlign w:val="bottom"/>
            <w:shd w:val="clear" w:color="auto" w:fill="EEEEEE"/>
          </w:tcPr>
          <w:p>
            <w:pPr>
              <w:spacing w:after="0"/>
              <w:rPr>
                <w:sz w:val="20"/>
                <w:szCs w:val="20"/>
                <w:color w:val="auto"/>
              </w:rPr>
            </w:pPr>
          </w:p>
        </w:tc>
        <w:tc>
          <w:tcPr>
            <w:tcW w:w="2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January 2024</w:t>
            </w:r>
          </w:p>
        </w:tc>
        <w:tc>
          <w:tcPr>
            <w:tcW w:w="1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101,898</w:t>
            </w:r>
          </w:p>
        </w:tc>
        <w:tc>
          <w:tcPr>
            <w:tcW w:w="2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137,585</w:t>
            </w: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82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90"/>
              </w:rPr>
              <w:t>7.86%</w:t>
            </w:r>
          </w:p>
        </w:tc>
        <w:tc>
          <w:tcPr>
            <w:tcW w:w="120" w:type="dxa"/>
            <w:vAlign w:val="bottom"/>
            <w:shd w:val="clear" w:color="auto" w:fill="EEEEEE"/>
          </w:tcPr>
          <w:p>
            <w:pPr>
              <w:spacing w:after="0"/>
              <w:rPr>
                <w:sz w:val="18"/>
                <w:szCs w:val="18"/>
                <w:color w:val="auto"/>
              </w:rPr>
            </w:pPr>
          </w:p>
        </w:tc>
        <w:tc>
          <w:tcPr>
            <w:tcW w:w="2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5"/>
              </w:rPr>
              <w:t>June 2026</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6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68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2"/>
              </w:rPr>
              <w:t>Weighted average maturity of April</w:t>
            </w:r>
          </w:p>
        </w:tc>
        <w:tc>
          <w:tcPr>
            <w:tcW w:w="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Weighted average rate of 7.98% and</w:t>
            </w:r>
          </w:p>
        </w:tc>
        <w:tc>
          <w:tcPr>
            <w:tcW w:w="120" w:type="dxa"/>
            <w:vAlign w:val="bottom"/>
            <w:shd w:val="clear" w:color="auto" w:fill="EEEEEE"/>
          </w:tcPr>
          <w:p>
            <w:pPr>
              <w:spacing w:after="0"/>
              <w:rPr>
                <w:sz w:val="18"/>
                <w:szCs w:val="18"/>
                <w:color w:val="auto"/>
              </w:rPr>
            </w:pPr>
          </w:p>
        </w:tc>
        <w:tc>
          <w:tcPr>
            <w:tcW w:w="2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2025 and October 2024 at June 30,</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7.82% at June 30, 2023 and</w:t>
            </w:r>
          </w:p>
        </w:tc>
        <w:tc>
          <w:tcPr>
            <w:tcW w:w="120" w:type="dxa"/>
            <w:vAlign w:val="bottom"/>
            <w:shd w:val="clear" w:color="auto" w:fill="EEEEEE"/>
          </w:tcPr>
          <w:p>
            <w:pPr>
              <w:spacing w:after="0"/>
              <w:rPr>
                <w:sz w:val="18"/>
                <w:szCs w:val="18"/>
                <w:color w:val="auto"/>
              </w:rPr>
            </w:pPr>
          </w:p>
        </w:tc>
        <w:tc>
          <w:tcPr>
            <w:tcW w:w="2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2023 and December 31, 2022,</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240" w:type="dxa"/>
            <w:vAlign w:val="bottom"/>
            <w:shd w:val="clear" w:color="auto" w:fill="EEEEEE"/>
          </w:tcPr>
          <w:p>
            <w:pPr>
              <w:spacing w:after="0"/>
              <w:rPr>
                <w:sz w:val="20"/>
                <w:szCs w:val="20"/>
                <w:color w:val="auto"/>
              </w:rPr>
            </w:pPr>
            <w:r>
              <w:rPr>
                <w:rFonts w:ascii="Arial" w:cs="Arial" w:eastAsia="Arial" w:hAnsi="Arial"/>
                <w:sz w:val="18"/>
                <w:szCs w:val="18"/>
                <w:color w:val="auto"/>
                <w:w w:val="90"/>
              </w:rPr>
              <w:t>Subordinated renewable notes</w:t>
            </w:r>
          </w:p>
        </w:tc>
        <w:tc>
          <w:tcPr>
            <w:tcW w:w="140" w:type="dxa"/>
            <w:vAlign w:val="bottom"/>
            <w:shd w:val="clear" w:color="auto" w:fill="EEEEEE"/>
          </w:tcPr>
          <w:p>
            <w:pPr>
              <w:spacing w:after="0"/>
              <w:rPr>
                <w:sz w:val="21"/>
                <w:szCs w:val="21"/>
                <w:color w:val="auto"/>
              </w:rPr>
            </w:pPr>
          </w:p>
        </w:tc>
        <w:tc>
          <w:tcPr>
            <w:tcW w:w="2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December 31, 2022, respectively</w:t>
            </w:r>
          </w:p>
        </w:tc>
        <w:tc>
          <w:tcPr>
            <w:tcW w:w="120" w:type="dxa"/>
            <w:vAlign w:val="bottom"/>
            <w:shd w:val="clear" w:color="auto" w:fill="EEEEEE"/>
          </w:tcPr>
          <w:p>
            <w:pPr>
              <w:spacing w:after="0"/>
              <w:rPr>
                <w:sz w:val="21"/>
                <w:szCs w:val="21"/>
                <w:color w:val="auto"/>
              </w:rPr>
            </w:pPr>
          </w:p>
        </w:tc>
        <w:tc>
          <w:tcPr>
            <w:tcW w:w="2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2"/>
              </w:rPr>
              <w:t>respectively</w:t>
            </w:r>
          </w:p>
        </w:tc>
        <w:tc>
          <w:tcPr>
            <w:tcW w:w="120" w:type="dxa"/>
            <w:vAlign w:val="bottom"/>
            <w:shd w:val="clear" w:color="auto" w:fill="EEEEEE"/>
          </w:tcPr>
          <w:p>
            <w:pPr>
              <w:spacing w:after="0"/>
              <w:rPr>
                <w:sz w:val="21"/>
                <w:szCs w:val="21"/>
                <w:color w:val="auto"/>
              </w:rPr>
            </w:pPr>
          </w:p>
        </w:tc>
        <w:tc>
          <w:tcPr>
            <w:tcW w:w="260" w:type="dxa"/>
            <w:vAlign w:val="bottom"/>
            <w:tcBorders>
              <w:bottom w:val="single" w:sz="8" w:color="auto"/>
            </w:tcBorders>
            <w:shd w:val="clear" w:color="auto" w:fill="EEEEEE"/>
          </w:tcPr>
          <w:p>
            <w:pPr>
              <w:spacing w:after="0"/>
              <w:rPr>
                <w:sz w:val="21"/>
                <w:szCs w:val="21"/>
                <w:color w:val="auto"/>
              </w:rPr>
            </w:pPr>
          </w:p>
        </w:tc>
        <w:tc>
          <w:tcPr>
            <w:tcW w:w="12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21,204</w:t>
            </w:r>
          </w:p>
        </w:tc>
        <w:tc>
          <w:tcPr>
            <w:tcW w:w="220" w:type="dxa"/>
            <w:vAlign w:val="bottom"/>
            <w:shd w:val="clear" w:color="auto" w:fill="EEEEEE"/>
          </w:tcPr>
          <w:p>
            <w:pPr>
              <w:spacing w:after="0"/>
              <w:rPr>
                <w:sz w:val="21"/>
                <w:szCs w:val="21"/>
                <w:color w:val="auto"/>
              </w:rPr>
            </w:pPr>
          </w:p>
        </w:tc>
        <w:tc>
          <w:tcPr>
            <w:tcW w:w="160" w:type="dxa"/>
            <w:vAlign w:val="bottom"/>
            <w:tcBorders>
              <w:bottom w:val="single" w:sz="8" w:color="auto"/>
            </w:tcBorders>
            <w:shd w:val="clear" w:color="auto" w:fill="EEEEEE"/>
          </w:tcPr>
          <w:p>
            <w:pPr>
              <w:spacing w:after="0"/>
              <w:rPr>
                <w:sz w:val="21"/>
                <w:szCs w:val="21"/>
                <w:color w:val="auto"/>
              </w:rPr>
            </w:pPr>
          </w:p>
        </w:tc>
        <w:tc>
          <w:tcPr>
            <w:tcW w:w="13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25,263</w:t>
            </w:r>
          </w:p>
        </w:tc>
        <w:tc>
          <w:tcPr>
            <w:tcW w:w="10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4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26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2680" w:type="dxa"/>
            <w:vAlign w:val="bottom"/>
            <w:shd w:val="clear" w:color="auto" w:fill="EEEEEE"/>
          </w:tcPr>
          <w:p>
            <w:pPr>
              <w:spacing w:after="0"/>
              <w:rPr>
                <w:sz w:val="21"/>
                <w:szCs w:val="21"/>
                <w:color w:val="auto"/>
              </w:rPr>
            </w:pPr>
          </w:p>
        </w:tc>
        <w:tc>
          <w:tcPr>
            <w:tcW w:w="3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318,051</w:t>
            </w:r>
          </w:p>
        </w:tc>
        <w:tc>
          <w:tcPr>
            <w:tcW w:w="3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363,141</w:t>
            </w:r>
          </w:p>
        </w:tc>
        <w:tc>
          <w:tcPr>
            <w:tcW w:w="10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6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6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8"/>
          <w:szCs w:val="18"/>
          <w:color w:val="auto"/>
        </w:rPr>
        <w:t>On February 2, 2022, we renewed our two-year revolving credit agreement with Ares Agent Services, L.P. There was $144.9 million outstanding under this facility at June 30, 2023. On June 28, 2022, we increased the capacity of its credit agreement with Ares Agent Services, L.P. from $100 million to $200 million. The revolving period for this facility was extended to January 2024 followed by an amortization period through January 2028 for any receivables pledged at the end of the revolving period.</w:t>
      </w:r>
    </w:p>
    <w:p>
      <w:pPr>
        <w:spacing w:after="0" w:line="187" w:lineRule="exact"/>
        <w:rPr>
          <w:sz w:val="20"/>
          <w:szCs w:val="20"/>
          <w:color w:val="auto"/>
        </w:rPr>
      </w:pPr>
    </w:p>
    <w:p>
      <w:pPr>
        <w:jc w:val="both"/>
        <w:ind w:firstLine="180"/>
        <w:spacing w:after="0" w:line="263" w:lineRule="auto"/>
        <w:rPr>
          <w:sz w:val="20"/>
          <w:szCs w:val="20"/>
          <w:color w:val="auto"/>
        </w:rPr>
      </w:pPr>
      <w:r>
        <w:rPr>
          <w:rFonts w:ascii="Arial" w:cs="Arial" w:eastAsia="Arial" w:hAnsi="Arial"/>
          <w:sz w:val="18"/>
          <w:szCs w:val="18"/>
          <w:color w:val="auto"/>
        </w:rPr>
        <w:t>On July 15, 2022, we renewed our two-year revolving credit agreement with Citibank, N.A., and doubled the capacity from $100 million to $200 million. There was $101.9 million outstanding under this facility at June 30, 2023. The revolving period for this facility was extended to July 2024 followed by an amortization period through July 2025 for any receivables pledged at the end of the revolving period.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180"/>
        <w:spacing w:after="0" w:line="279" w:lineRule="auto"/>
        <w:rPr>
          <w:sz w:val="20"/>
          <w:szCs w:val="20"/>
          <w:color w:val="auto"/>
        </w:rPr>
      </w:pPr>
      <w:r>
        <w:rPr>
          <w:rFonts w:ascii="Arial" w:cs="Arial" w:eastAsia="Arial" w:hAnsi="Arial"/>
          <w:sz w:val="17"/>
          <w:szCs w:val="17"/>
          <w:color w:val="auto"/>
        </w:rPr>
        <w:t>Unamortized debt issuance costs of $251,000 and $377,000 as of June 30, 2023 and December 31, 2022, respectively, have been excluded from the amount reported above for residual interest financing. Similarly, unamortized debt issuance costs of $1.6 million and $2.6 million as of June 30, 2023 and December 31, 2022, respectively, have been excluded from the Warehouse lines of credit amounts in the table above. These debt issuance costs are presented as a direct deduction to the carrying amount of the debt on our Unaudited Condensed Consolidated Balance Sheets.</w:t>
      </w:r>
    </w:p>
    <w:p>
      <w:pPr>
        <w:spacing w:after="0" w:line="171"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Interest Income and Interest Expense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the components of interest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19"/>
                <w:szCs w:val="19"/>
                <w:color w:val="auto"/>
              </w:rPr>
            </w:pPr>
          </w:p>
        </w:tc>
        <w:tc>
          <w:tcPr>
            <w:tcW w:w="280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1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June 30,</w:t>
            </w:r>
          </w:p>
        </w:tc>
        <w:tc>
          <w:tcPr>
            <w:tcW w:w="5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1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2022</w:t>
            </w:r>
          </w:p>
        </w:tc>
        <w:tc>
          <w:tcPr>
            <w:tcW w:w="100" w:type="dxa"/>
            <w:vAlign w:val="bottom"/>
          </w:tcPr>
          <w:p>
            <w:pPr>
              <w:spacing w:after="0"/>
              <w:rPr>
                <w:sz w:val="19"/>
                <w:szCs w:val="19"/>
                <w:color w:val="auto"/>
              </w:rPr>
            </w:pPr>
          </w:p>
        </w:tc>
      </w:tr>
      <w:tr>
        <w:trPr>
          <w:trHeight w:val="210"/>
        </w:trPr>
        <w:tc>
          <w:tcPr>
            <w:tcW w:w="4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220" w:type="dxa"/>
            <w:vAlign w:val="bottom"/>
            <w:gridSpan w:val="2"/>
          </w:tcPr>
          <w:p>
            <w:pPr>
              <w:jc w:val="right"/>
              <w:ind w:right="490"/>
              <w:spacing w:after="0"/>
              <w:rPr>
                <w:sz w:val="20"/>
                <w:szCs w:val="20"/>
                <w:color w:val="auto"/>
              </w:rPr>
            </w:pPr>
            <w:r>
              <w:rPr>
                <w:rFonts w:ascii="Arial" w:cs="Arial" w:eastAsia="Arial" w:hAnsi="Arial"/>
                <w:sz w:val="16"/>
                <w:szCs w:val="16"/>
                <w:b w:val="1"/>
                <w:bCs w:val="1"/>
                <w:color w:val="auto"/>
                <w:w w:val="71"/>
              </w:rPr>
              <w:t>thousands)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74"/>
              </w:rPr>
              <w:t>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Interest on finance receivables</w:t>
            </w:r>
          </w:p>
        </w:tc>
        <w:tc>
          <w:tcPr>
            <w:tcW w:w="1000" w:type="dxa"/>
            <w:vAlign w:val="bottom"/>
            <w:shd w:val="clear" w:color="auto" w:fill="EEEEEE"/>
          </w:tcPr>
          <w:p>
            <w:pPr>
              <w:jc w:val="right"/>
              <w:ind w:right="838"/>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4,378</w:t>
            </w:r>
          </w:p>
        </w:tc>
        <w:tc>
          <w:tcPr>
            <w:tcW w:w="1220" w:type="dxa"/>
            <w:vAlign w:val="bottom"/>
            <w:gridSpan w:val="2"/>
            <w:shd w:val="clear" w:color="auto" w:fill="EEEEEE"/>
          </w:tcPr>
          <w:p>
            <w:pPr>
              <w:jc w:val="right"/>
              <w:ind w:right="8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9,832</w:t>
            </w:r>
          </w:p>
        </w:tc>
        <w:tc>
          <w:tcPr>
            <w:tcW w:w="340" w:type="dxa"/>
            <w:vAlign w:val="bottom"/>
            <w:shd w:val="clear" w:color="auto" w:fill="EEEEEE"/>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9,040</w:t>
            </w:r>
          </w:p>
        </w:tc>
        <w:tc>
          <w:tcPr>
            <w:tcW w:w="82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21,146</w:t>
            </w:r>
          </w:p>
        </w:tc>
        <w:tc>
          <w:tcPr>
            <w:tcW w:w="100" w:type="dxa"/>
            <w:vAlign w:val="bottom"/>
            <w:shd w:val="clear" w:color="auto" w:fill="EEEEEE"/>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Interest on finance receivables at fair value</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76,735</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65,730</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150,793</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124,470</w:t>
            </w:r>
          </w:p>
        </w:tc>
        <w:tc>
          <w:tcPr>
            <w:tcW w:w="100" w:type="dxa"/>
            <w:vAlign w:val="bottom"/>
          </w:tcPr>
          <w:p>
            <w:pPr>
              <w:spacing w:after="0"/>
              <w:rPr>
                <w:sz w:val="18"/>
                <w:szCs w:val="18"/>
                <w:color w:val="auto"/>
              </w:rPr>
            </w:pPr>
          </w:p>
        </w:tc>
      </w:tr>
      <w:tr>
        <w:trPr>
          <w:trHeight w:val="216"/>
        </w:trPr>
        <w:tc>
          <w:tcPr>
            <w:tcW w:w="418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Other interest income</w:t>
            </w:r>
          </w:p>
        </w:tc>
        <w:tc>
          <w:tcPr>
            <w:tcW w:w="1000" w:type="dxa"/>
            <w:vAlign w:val="bottom"/>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1,524</w:t>
            </w: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108</w:t>
            </w: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2,866</w:t>
            </w: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EEEEEE"/>
          </w:tcPr>
          <w:p>
            <w:pPr>
              <w:spacing w:after="0"/>
              <w:rPr>
                <w:sz w:val="18"/>
                <w:szCs w:val="18"/>
                <w:color w:val="auto"/>
              </w:rPr>
            </w:pPr>
          </w:p>
        </w:tc>
      </w:tr>
      <w:tr>
        <w:trPr>
          <w:trHeight w:val="20"/>
        </w:trPr>
        <w:tc>
          <w:tcPr>
            <w:tcW w:w="4180" w:type="dxa"/>
            <w:vAlign w:val="bottom"/>
            <w:tcBorders>
              <w:right w:val="single" w:sz="8" w:color="EEEEEE"/>
            </w:tcBorders>
            <w:shd w:val="clear" w:color="auto" w:fill="EEEEEE"/>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Borders>
              <w:right w:val="single" w:sz="8" w:color="EEEEEE"/>
            </w:tcBorders>
            <w:shd w:val="clear" w:color="auto" w:fill="000000"/>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r>
      <w:tr>
        <w:trPr>
          <w:trHeight w:val="237"/>
        </w:trPr>
        <w:tc>
          <w:tcPr>
            <w:tcW w:w="4180" w:type="dxa"/>
            <w:vAlign w:val="bottom"/>
          </w:tcPr>
          <w:p>
            <w:pPr>
              <w:spacing w:after="0"/>
              <w:rPr>
                <w:sz w:val="20"/>
                <w:szCs w:val="20"/>
                <w:color w:val="auto"/>
              </w:rPr>
            </w:pPr>
            <w:r>
              <w:rPr>
                <w:rFonts w:ascii="Arial" w:cs="Arial" w:eastAsia="Arial" w:hAnsi="Arial"/>
                <w:sz w:val="18"/>
                <w:szCs w:val="18"/>
                <w:color w:val="auto"/>
              </w:rPr>
              <w:t>Interest income</w:t>
            </w:r>
          </w:p>
        </w:tc>
        <w:tc>
          <w:tcPr>
            <w:tcW w:w="1000" w:type="dxa"/>
            <w:vAlign w:val="bottom"/>
          </w:tcPr>
          <w:p>
            <w:pPr>
              <w:jc w:val="right"/>
              <w:ind w:right="838"/>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82,637</w:t>
            </w:r>
          </w:p>
        </w:tc>
        <w:tc>
          <w:tcPr>
            <w:tcW w:w="122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75,670</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162,699</w:t>
            </w:r>
          </w:p>
        </w:tc>
        <w:tc>
          <w:tcPr>
            <w:tcW w:w="8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145,730</w:t>
            </w:r>
          </w:p>
        </w:tc>
        <w:tc>
          <w:tcPr>
            <w:tcW w:w="100" w:type="dxa"/>
            <w:vAlign w:val="bottom"/>
          </w:tcPr>
          <w:p>
            <w:pPr>
              <w:spacing w:after="0"/>
              <w:rPr>
                <w:sz w:val="20"/>
                <w:szCs w:val="20"/>
                <w:color w:val="auto"/>
              </w:rPr>
            </w:pPr>
          </w:p>
        </w:tc>
      </w:tr>
      <w:tr>
        <w:trPr>
          <w:trHeight w:val="20"/>
        </w:trPr>
        <w:tc>
          <w:tcPr>
            <w:tcW w:w="4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the components of interest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2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ind w:left="340"/>
              <w:spacing w:after="0"/>
              <w:rPr>
                <w:sz w:val="20"/>
                <w:szCs w:val="20"/>
                <w:color w:val="auto"/>
              </w:rPr>
            </w:pPr>
            <w:r>
              <w:rPr>
                <w:rFonts w:ascii="Arial" w:cs="Arial" w:eastAsia="Arial" w:hAnsi="Arial"/>
                <w:sz w:val="18"/>
                <w:szCs w:val="18"/>
                <w:b w:val="1"/>
                <w:bCs w:val="1"/>
                <w:color w:val="auto"/>
              </w:rPr>
              <w:t>June 30,</w:t>
            </w:r>
          </w:p>
        </w:tc>
        <w:tc>
          <w:tcPr>
            <w:tcW w:w="5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2022</w:t>
            </w:r>
          </w:p>
        </w:tc>
        <w:tc>
          <w:tcPr>
            <w:tcW w:w="100" w:type="dxa"/>
            <w:vAlign w:val="bottom"/>
          </w:tcPr>
          <w:p>
            <w:pPr>
              <w:spacing w:after="0"/>
              <w:rPr>
                <w:sz w:val="18"/>
                <w:szCs w:val="18"/>
                <w:color w:val="auto"/>
              </w:rPr>
            </w:pPr>
          </w:p>
        </w:tc>
      </w:tr>
      <w:tr>
        <w:trPr>
          <w:trHeight w:val="210"/>
        </w:trPr>
        <w:tc>
          <w:tcPr>
            <w:tcW w:w="3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240" w:type="dxa"/>
            <w:vAlign w:val="bottom"/>
            <w:gridSpan w:val="3"/>
          </w:tcPr>
          <w:p>
            <w:pPr>
              <w:jc w:val="right"/>
              <w:ind w:right="490"/>
              <w:spacing w:after="0"/>
              <w:rPr>
                <w:sz w:val="20"/>
                <w:szCs w:val="20"/>
                <w:color w:val="auto"/>
              </w:rPr>
            </w:pPr>
            <w:r>
              <w:rPr>
                <w:rFonts w:ascii="Arial" w:cs="Arial" w:eastAsia="Arial" w:hAnsi="Arial"/>
                <w:sz w:val="16"/>
                <w:szCs w:val="16"/>
                <w:b w:val="1"/>
                <w:bCs w:val="1"/>
                <w:color w:val="auto"/>
                <w:w w:val="74"/>
              </w:rPr>
              <w:t>thousands)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74"/>
              </w:rPr>
              <w:t>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8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000" w:type="dxa"/>
            <w:vAlign w:val="bottom"/>
            <w:gridSpan w:val="2"/>
            <w:shd w:val="clear" w:color="auto" w:fill="EEEEEE"/>
          </w:tcPr>
          <w:p>
            <w:pPr>
              <w:jc w:val="right"/>
              <w:ind w:right="83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w w:val="98"/>
              </w:rPr>
              <w:t>29,171</w:t>
            </w:r>
          </w:p>
        </w:tc>
        <w:tc>
          <w:tcPr>
            <w:tcW w:w="1140" w:type="dxa"/>
            <w:vAlign w:val="bottom"/>
            <w:gridSpan w:val="2"/>
            <w:shd w:val="clear" w:color="auto" w:fill="EEEEEE"/>
          </w:tcPr>
          <w:p>
            <w:pPr>
              <w:jc w:val="right"/>
              <w:ind w:right="8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8"/>
              </w:rPr>
              <w:t>15,745</w:t>
            </w:r>
          </w:p>
        </w:tc>
        <w:tc>
          <w:tcPr>
            <w:tcW w:w="340" w:type="dxa"/>
            <w:vAlign w:val="bottom"/>
            <w:shd w:val="clear" w:color="auto" w:fill="EEEEEE"/>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55,524</w:t>
            </w:r>
          </w:p>
        </w:tc>
        <w:tc>
          <w:tcPr>
            <w:tcW w:w="82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29,273</w:t>
            </w:r>
          </w:p>
        </w:tc>
        <w:tc>
          <w:tcPr>
            <w:tcW w:w="100" w:type="dxa"/>
            <w:vAlign w:val="bottom"/>
            <w:shd w:val="clear" w:color="auto" w:fill="EEEEEE"/>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rPr>
              <w:t>5,008</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1,386</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9,856</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18"/>
                <w:szCs w:val="18"/>
                <w:color w:val="auto"/>
              </w:rPr>
            </w:pPr>
          </w:p>
        </w:tc>
      </w:tr>
      <w:tr>
        <w:trPr>
          <w:trHeight w:val="216"/>
        </w:trPr>
        <w:tc>
          <w:tcPr>
            <w:tcW w:w="318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9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1,050</w:t>
            </w: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2,100</w:t>
            </w: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2,144</w:t>
            </w:r>
          </w:p>
        </w:tc>
        <w:tc>
          <w:tcPr>
            <w:tcW w:w="100" w:type="dxa"/>
            <w:vAlign w:val="bottom"/>
            <w:shd w:val="clear" w:color="auto" w:fill="EEEEEE"/>
          </w:tcPr>
          <w:p>
            <w:pPr>
              <w:spacing w:after="0"/>
              <w:rPr>
                <w:sz w:val="18"/>
                <w:szCs w:val="18"/>
                <w:color w:val="auto"/>
              </w:rPr>
            </w:pPr>
          </w:p>
        </w:tc>
      </w:tr>
      <w:tr>
        <w:trPr>
          <w:trHeight w:val="229"/>
        </w:trPr>
        <w:tc>
          <w:tcPr>
            <w:tcW w:w="318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590</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985</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19"/>
                <w:szCs w:val="19"/>
                <w:color w:val="auto"/>
              </w:rPr>
            </w:pPr>
          </w:p>
        </w:tc>
      </w:tr>
      <w:tr>
        <w:trPr>
          <w:trHeight w:val="20"/>
        </w:trPr>
        <w:tc>
          <w:tcPr>
            <w:tcW w:w="3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18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980" w:type="dxa"/>
            <w:vAlign w:val="bottom"/>
            <w:shd w:val="clear" w:color="auto" w:fill="EEEEEE"/>
          </w:tcPr>
          <w:p>
            <w:pPr>
              <w:spacing w:after="0"/>
              <w:rPr>
                <w:sz w:val="20"/>
                <w:szCs w:val="20"/>
                <w:color w:val="auto"/>
              </w:rPr>
            </w:pPr>
          </w:p>
        </w:tc>
        <w:tc>
          <w:tcPr>
            <w:tcW w:w="1020" w:type="dxa"/>
            <w:vAlign w:val="bottom"/>
            <w:shd w:val="clear" w:color="auto" w:fill="EEEEEE"/>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35,706</w:t>
            </w: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20" w:type="dxa"/>
            <w:vAlign w:val="bottom"/>
            <w:shd w:val="clear" w:color="auto" w:fill="EEEEEE"/>
          </w:tcPr>
          <w:p>
            <w:pPr>
              <w:jc w:val="right"/>
              <w:ind w:right="8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8"/>
              </w:rPr>
              <w:t>18,771</w:t>
            </w:r>
          </w:p>
        </w:tc>
        <w:tc>
          <w:tcPr>
            <w:tcW w:w="340" w:type="dxa"/>
            <w:vAlign w:val="bottom"/>
            <w:shd w:val="clear" w:color="auto" w:fill="EEEEEE"/>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68,465</w:t>
            </w:r>
          </w:p>
        </w:tc>
        <w:tc>
          <w:tcPr>
            <w:tcW w:w="82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35,171</w:t>
            </w:r>
          </w:p>
        </w:tc>
        <w:tc>
          <w:tcPr>
            <w:tcW w:w="100" w:type="dxa"/>
            <w:vAlign w:val="bottom"/>
            <w:shd w:val="clear" w:color="auto" w:fill="EEEEEE"/>
          </w:tcPr>
          <w:p>
            <w:pPr>
              <w:spacing w:after="0"/>
              <w:rPr>
                <w:sz w:val="20"/>
                <w:szCs w:val="20"/>
                <w:color w:val="auto"/>
              </w:rPr>
            </w:pPr>
          </w:p>
        </w:tc>
      </w:tr>
      <w:tr>
        <w:trPr>
          <w:trHeight w:val="20"/>
        </w:trPr>
        <w:tc>
          <w:tcPr>
            <w:tcW w:w="318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845"/>
        </w:trPr>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89"/>
              </w:rPr>
              <w:t>20</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180"/>
        <w:spacing w:after="0" w:line="263" w:lineRule="auto"/>
        <w:rPr>
          <w:sz w:val="20"/>
          <w:szCs w:val="20"/>
          <w:color w:val="auto"/>
        </w:rPr>
      </w:pPr>
      <w:r>
        <w:rPr>
          <w:rFonts w:ascii="Arial" w:cs="Arial" w:eastAsia="Arial" w:hAnsi="Arial"/>
          <w:sz w:val="18"/>
          <w:szCs w:val="18"/>
          <w:color w:val="auto"/>
        </w:rPr>
        <w:t>Earnings per share for the three-month and six-month periods ended June 30, 2023 and 2022 were calculated using the weighted average number of shares outstanding for the related period. The following table reconciles the number of shares used in the computations of basic and diluted earnings per share for the three-month and six-month periods ended June 30, 2023 and 2022:</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0" w:hanging="179"/>
        <w:spacing w:after="0" w:line="308" w:lineRule="auto"/>
        <w:rPr>
          <w:sz w:val="20"/>
          <w:szCs w:val="20"/>
          <w:color w:val="auto"/>
        </w:rPr>
      </w:pPr>
      <w:r>
        <w:rPr>
          <w:rFonts w:ascii="Arial" w:cs="Arial" w:eastAsia="Arial" w:hAnsi="Arial"/>
          <w:sz w:val="17"/>
          <w:szCs w:val="17"/>
          <w:color w:val="auto"/>
        </w:rPr>
        <w:t>Weighted average number of common shares outstanding during the period used to compute basic earnings per share</w:t>
      </w:r>
    </w:p>
    <w:p>
      <w:pPr>
        <w:spacing w:after="0" w:line="146" w:lineRule="exact"/>
        <w:rPr>
          <w:sz w:val="20"/>
          <w:szCs w:val="20"/>
          <w:color w:val="auto"/>
        </w:rPr>
      </w:pPr>
    </w:p>
    <w:p>
      <w:pPr>
        <w:ind w:left="180" w:right="120" w:hanging="179"/>
        <w:spacing w:after="0" w:line="277" w:lineRule="auto"/>
        <w:rPr>
          <w:sz w:val="20"/>
          <w:szCs w:val="20"/>
          <w:color w:val="auto"/>
        </w:rPr>
      </w:pPr>
      <w:r>
        <w:rPr>
          <w:rFonts w:ascii="Arial" w:cs="Arial" w:eastAsia="Arial" w:hAnsi="Arial"/>
          <w:sz w:val="18"/>
          <w:szCs w:val="18"/>
          <w:color w:val="auto"/>
        </w:rPr>
        <w:t>Incremental common shares attributable to exercise of outstanding options and warrants</w:t>
      </w:r>
    </w:p>
    <w:p>
      <w:pPr>
        <w:spacing w:after="0" w:line="197" w:lineRule="exact"/>
        <w:rPr>
          <w:sz w:val="20"/>
          <w:szCs w:val="20"/>
          <w:color w:val="auto"/>
        </w:rPr>
      </w:pPr>
    </w:p>
    <w:p>
      <w:pPr>
        <w:ind w:left="180" w:right="440" w:hanging="179"/>
        <w:spacing w:after="0" w:line="277" w:lineRule="auto"/>
        <w:rPr>
          <w:sz w:val="20"/>
          <w:szCs w:val="20"/>
          <w:color w:val="auto"/>
        </w:rPr>
      </w:pPr>
      <w:r>
        <w:rPr>
          <w:rFonts w:ascii="Arial" w:cs="Arial" w:eastAsia="Arial" w:hAnsi="Arial"/>
          <w:sz w:val="18"/>
          <w:szCs w:val="18"/>
          <w:color w:val="auto"/>
        </w:rPr>
        <w:t>Weighted average number of common shares used to compute diluted earnings per share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800" w:type="dxa"/>
            <w:vAlign w:val="bottom"/>
            <w:gridSpan w:val="6"/>
          </w:tcPr>
          <w:p>
            <w:pPr>
              <w:jc w:val="center"/>
              <w:ind w:right="3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0"/>
              </w:rPr>
              <w:t>Six Months Ended</w:t>
            </w:r>
          </w:p>
        </w:tc>
      </w:tr>
      <w:tr>
        <w:trPr>
          <w:trHeight w:val="229"/>
        </w:trPr>
        <w:tc>
          <w:tcPr>
            <w:tcW w:w="120" w:type="dxa"/>
            <w:vAlign w:val="bottom"/>
          </w:tcPr>
          <w:p>
            <w:pPr>
              <w:spacing w:after="0"/>
              <w:rPr>
                <w:sz w:val="19"/>
                <w:szCs w:val="19"/>
                <w:color w:val="auto"/>
              </w:rPr>
            </w:pPr>
          </w:p>
        </w:tc>
        <w:tc>
          <w:tcPr>
            <w:tcW w:w="1920" w:type="dxa"/>
            <w:vAlign w:val="bottom"/>
            <w:gridSpan w:val="5"/>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4"/>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Pr>
          <w:p>
            <w:pPr>
              <w:spacing w:after="0"/>
              <w:rPr>
                <w:sz w:val="19"/>
                <w:szCs w:val="19"/>
                <w:color w:val="auto"/>
              </w:rPr>
            </w:pPr>
          </w:p>
        </w:tc>
      </w:tr>
      <w:tr>
        <w:trPr>
          <w:trHeight w:val="234"/>
        </w:trPr>
        <w:tc>
          <w:tcPr>
            <w:tcW w:w="134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36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2022</w:t>
            </w:r>
          </w:p>
        </w:tc>
      </w:tr>
      <w:tr>
        <w:trPr>
          <w:trHeight w:val="228"/>
        </w:trPr>
        <w:tc>
          <w:tcPr>
            <w:tcW w:w="12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700" w:type="dxa"/>
            <w:vAlign w:val="bottom"/>
            <w:gridSpan w:val="4"/>
          </w:tcPr>
          <w:p>
            <w:pPr>
              <w:spacing w:after="0"/>
              <w:rPr>
                <w:sz w:val="20"/>
                <w:szCs w:val="20"/>
                <w:color w:val="auto"/>
              </w:rPr>
            </w:pPr>
            <w:r>
              <w:rPr>
                <w:rFonts w:ascii="Arial" w:cs="Arial" w:eastAsia="Arial" w:hAnsi="Arial"/>
                <w:sz w:val="18"/>
                <w:szCs w:val="18"/>
                <w:b w:val="1"/>
                <w:bCs w:val="1"/>
                <w:color w:val="auto"/>
                <w:w w:val="70"/>
              </w:rPr>
              <w:t>thousands)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680" w:type="dxa"/>
            <w:vAlign w:val="bottom"/>
            <w:gridSpan w:val="3"/>
          </w:tcPr>
          <w:p>
            <w:pPr>
              <w:spacing w:after="0"/>
              <w:rPr>
                <w:sz w:val="20"/>
                <w:szCs w:val="20"/>
                <w:color w:val="auto"/>
              </w:rPr>
            </w:pPr>
            <w:r>
              <w:rPr>
                <w:rFonts w:ascii="Arial" w:cs="Arial" w:eastAsia="Arial" w:hAnsi="Arial"/>
                <w:sz w:val="17"/>
                <w:szCs w:val="17"/>
                <w:b w:val="1"/>
                <w:bCs w:val="1"/>
                <w:color w:val="auto"/>
                <w:w w:val="71"/>
              </w:rPr>
              <w:t>thousands)</w:t>
            </w:r>
          </w:p>
        </w:tc>
        <w:tc>
          <w:tcPr>
            <w:tcW w:w="900" w:type="dxa"/>
            <w:vAlign w:val="bottom"/>
          </w:tcPr>
          <w:p>
            <w:pPr>
              <w:spacing w:after="0"/>
              <w:rPr>
                <w:sz w:val="19"/>
                <w:szCs w:val="19"/>
                <w:color w:val="auto"/>
              </w:rPr>
            </w:pPr>
          </w:p>
        </w:tc>
      </w:tr>
      <w:tr>
        <w:trPr>
          <w:trHeight w:val="630"/>
        </w:trPr>
        <w:tc>
          <w:tcPr>
            <w:tcW w:w="1360" w:type="dxa"/>
            <w:vAlign w:val="bottom"/>
            <w:gridSpan w:val="3"/>
          </w:tcPr>
          <w:p>
            <w:pPr>
              <w:jc w:val="right"/>
              <w:spacing w:after="0"/>
              <w:rPr>
                <w:sz w:val="20"/>
                <w:szCs w:val="20"/>
                <w:color w:val="auto"/>
              </w:rPr>
            </w:pPr>
            <w:r>
              <w:rPr>
                <w:rFonts w:ascii="Arial" w:cs="Arial" w:eastAsia="Arial" w:hAnsi="Arial"/>
                <w:sz w:val="18"/>
                <w:szCs w:val="18"/>
                <w:color w:val="auto"/>
              </w:rPr>
              <w:t>20,866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21,370</w:t>
            </w:r>
          </w:p>
        </w:tc>
        <w:tc>
          <w:tcPr>
            <w:tcW w:w="1800" w:type="dxa"/>
            <w:vAlign w:val="bottom"/>
            <w:gridSpan w:val="4"/>
          </w:tcPr>
          <w:p>
            <w:pPr>
              <w:jc w:val="right"/>
              <w:ind w:right="136"/>
              <w:spacing w:after="0"/>
              <w:rPr>
                <w:sz w:val="20"/>
                <w:szCs w:val="20"/>
                <w:color w:val="auto"/>
              </w:rPr>
            </w:pPr>
            <w:r>
              <w:rPr>
                <w:rFonts w:ascii="Arial" w:cs="Arial" w:eastAsia="Arial" w:hAnsi="Arial"/>
                <w:sz w:val="18"/>
                <w:szCs w:val="18"/>
                <w:color w:val="auto"/>
              </w:rPr>
              <w:t>20,643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21,296</w:t>
            </w:r>
          </w:p>
        </w:tc>
      </w:tr>
      <w:tr>
        <w:trPr>
          <w:trHeight w:val="661"/>
        </w:trPr>
        <w:tc>
          <w:tcPr>
            <w:tcW w:w="120" w:type="dxa"/>
            <w:vAlign w:val="bottom"/>
          </w:tcPr>
          <w:p>
            <w:pPr>
              <w:spacing w:after="0"/>
              <w:rPr>
                <w:sz w:val="24"/>
                <w:szCs w:val="2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4,507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6,317</w:t>
            </w:r>
          </w:p>
        </w:tc>
        <w:tc>
          <w:tcPr>
            <w:tcW w:w="340" w:type="dxa"/>
            <w:vAlign w:val="bottom"/>
            <w:gridSpan w:val="2"/>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6,647</w:t>
            </w:r>
          </w:p>
        </w:tc>
      </w:tr>
      <w:tr>
        <w:trPr>
          <w:trHeight w:val="655"/>
        </w:trPr>
        <w:tc>
          <w:tcPr>
            <w:tcW w:w="1360" w:type="dxa"/>
            <w:vAlign w:val="bottom"/>
            <w:gridSpan w:val="3"/>
          </w:tcPr>
          <w:p>
            <w:pPr>
              <w:jc w:val="right"/>
              <w:spacing w:after="0"/>
              <w:rPr>
                <w:sz w:val="20"/>
                <w:szCs w:val="20"/>
                <w:color w:val="auto"/>
              </w:rPr>
            </w:pPr>
            <w:r>
              <w:rPr>
                <w:rFonts w:ascii="Arial" w:cs="Arial" w:eastAsia="Arial" w:hAnsi="Arial"/>
                <w:sz w:val="18"/>
                <w:szCs w:val="18"/>
                <w:color w:val="auto"/>
              </w:rPr>
              <w:t>25,373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27,687</w:t>
            </w:r>
          </w:p>
        </w:tc>
        <w:tc>
          <w:tcPr>
            <w:tcW w:w="1800" w:type="dxa"/>
            <w:vAlign w:val="bottom"/>
            <w:gridSpan w:val="4"/>
          </w:tcPr>
          <w:p>
            <w:pPr>
              <w:jc w:val="right"/>
              <w:ind w:right="136"/>
              <w:spacing w:after="0"/>
              <w:rPr>
                <w:sz w:val="20"/>
                <w:szCs w:val="20"/>
                <w:color w:val="auto"/>
              </w:rPr>
            </w:pPr>
            <w:r>
              <w:rPr>
                <w:rFonts w:ascii="Arial" w:cs="Arial" w:eastAsia="Arial" w:hAnsi="Arial"/>
                <w:sz w:val="18"/>
                <w:szCs w:val="18"/>
                <w:color w:val="auto"/>
              </w:rPr>
              <w:t>25,384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27,943</w:t>
            </w:r>
          </w:p>
        </w:tc>
      </w:tr>
      <w:tr>
        <w:trPr>
          <w:trHeight w:val="20"/>
        </w:trPr>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-1148080</wp:posOffset>
            </wp:positionV>
            <wp:extent cx="71323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-736600</wp:posOffset>
            </wp:positionV>
            <wp:extent cx="7132320" cy="282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-307975</wp:posOffset>
            </wp:positionV>
            <wp:extent cx="7132320" cy="300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140"/>
            <w:col w:w="6180"/>
          </w:cols>
          <w:pgMar w:left="320" w:top="688" w:right="339" w:bottom="1440" w:gutter="0" w:footer="0" w:header="0"/>
          <w:type w:val="continuous"/>
        </w:sectPr>
      </w:pPr>
    </w:p>
    <w:p>
      <w:pPr>
        <w:spacing w:after="0" w:line="29"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8"/>
          <w:szCs w:val="18"/>
          <w:color w:val="auto"/>
        </w:rPr>
        <w:t>If the anti-dilutive effects of common stock equivalents were considered, shares included in the diluted earnings per share calculation for the three-month and six-month periods ended June 30, 2023 would have included an additional 1.5 million and 1.5 million shares, respectively, attributable to the exercise of outstanding options and warrants. For the three-month and six-month periods ended June 30, 2022, 824,000 and 692,000 shares, respectively, would be included in the diluted earnings per share calculation.</w:t>
      </w:r>
    </w:p>
    <w:p>
      <w:pPr>
        <w:spacing w:after="0" w:line="18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180"/>
        <w:spacing w:after="0" w:line="277" w:lineRule="auto"/>
        <w:rPr>
          <w:sz w:val="20"/>
          <w:szCs w:val="20"/>
          <w:color w:val="auto"/>
        </w:rPr>
      </w:pPr>
      <w:r>
        <w:rPr>
          <w:rFonts w:ascii="Arial" w:cs="Arial" w:eastAsia="Arial" w:hAnsi="Arial"/>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2015.</w:t>
      </w:r>
    </w:p>
    <w:p>
      <w:pPr>
        <w:spacing w:after="0" w:line="170" w:lineRule="exact"/>
        <w:rPr>
          <w:sz w:val="20"/>
          <w:szCs w:val="20"/>
          <w:color w:val="auto"/>
        </w:rPr>
      </w:pPr>
    </w:p>
    <w:p>
      <w:pPr>
        <w:jc w:val="both"/>
        <w:ind w:firstLine="180"/>
        <w:spacing w:after="0" w:line="308" w:lineRule="auto"/>
        <w:rPr>
          <w:sz w:val="20"/>
          <w:szCs w:val="20"/>
          <w:color w:val="auto"/>
        </w:rPr>
      </w:pPr>
      <w:r>
        <w:rPr>
          <w:rFonts w:ascii="Arial" w:cs="Arial" w:eastAsia="Arial" w:hAnsi="Arial"/>
          <w:sz w:val="17"/>
          <w:szCs w:val="17"/>
          <w:color w:val="auto"/>
        </w:rPr>
        <w:t>As of June 30, 2023, and December 31, 2022,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46" w:lineRule="exact"/>
        <w:rPr>
          <w:sz w:val="20"/>
          <w:szCs w:val="20"/>
          <w:color w:val="auto"/>
        </w:rPr>
      </w:pPr>
    </w:p>
    <w:p>
      <w:pPr>
        <w:jc w:val="both"/>
        <w:ind w:firstLine="180"/>
        <w:spacing w:after="0" w:line="296"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180"/>
        <w:spacing w:after="0" w:line="255"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$7.4 million as of June 30, 2023 is more likely than not based on forecasted future net earnings. Our net deferred tax asset of $7.4 million consists of approximately $4.8 million of net U.S. federal deferred tax assets and $2.6 million of net state deferred tax assets.</w:t>
      </w:r>
    </w:p>
    <w:p>
      <w:pPr>
        <w:spacing w:after="0" w:line="192" w:lineRule="exact"/>
        <w:rPr>
          <w:sz w:val="20"/>
          <w:szCs w:val="20"/>
          <w:color w:val="auto"/>
        </w:rPr>
      </w:pPr>
    </w:p>
    <w:p>
      <w:pPr>
        <w:jc w:val="both"/>
        <w:ind w:firstLine="180"/>
        <w:spacing w:after="0" w:line="263" w:lineRule="auto"/>
        <w:rPr>
          <w:sz w:val="20"/>
          <w:szCs w:val="20"/>
          <w:color w:val="auto"/>
        </w:rPr>
      </w:pPr>
      <w:r>
        <w:rPr>
          <w:rFonts w:ascii="Arial" w:cs="Arial" w:eastAsia="Arial" w:hAnsi="Arial"/>
          <w:sz w:val="18"/>
          <w:szCs w:val="18"/>
          <w:color w:val="auto"/>
        </w:rPr>
        <w:t>Income tax expense was $4.7 million and $9.3 million for the three months and six months ended June 30, 2023, representing effective income tax rates of 25%, compared to income tax expense of $8.9 million and $17.1 million for the three months and six months ended June 30, 2022, and represents an effective income tax rates of 26% and 27% respectively.</w:t>
      </w:r>
    </w:p>
    <w:p>
      <w:pPr>
        <w:spacing w:after="0" w:line="184" w:lineRule="exact"/>
        <w:rPr>
          <w:sz w:val="20"/>
          <w:szCs w:val="20"/>
          <w:color w:val="auto"/>
        </w:rPr>
      </w:pPr>
    </w:p>
    <w:p>
      <w:pPr>
        <w:ind w:left="400" w:hanging="26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180"/>
        <w:spacing w:after="0" w:line="279" w:lineRule="auto"/>
        <w:rPr>
          <w:sz w:val="20"/>
          <w:szCs w:val="20"/>
          <w:color w:val="auto"/>
        </w:rPr>
      </w:pPr>
      <w:r>
        <w:rPr>
          <w:rFonts w:ascii="Arial" w:cs="Arial" w:eastAsia="Arial" w:hAnsi="Arial"/>
          <w:sz w:val="17"/>
          <w:szCs w:val="17"/>
          <w:i w:val="1"/>
          <w:iCs w:val="1"/>
          <w:color w:val="auto"/>
        </w:rPr>
        <w:t xml:space="preserve">Consumer Litigation. </w:t>
      </w:r>
      <w:r>
        <w:rPr>
          <w:rFonts w:ascii="Arial" w:cs="Arial" w:eastAsia="Arial" w:hAnsi="Arial"/>
          <w:sz w:val="17"/>
          <w:szCs w:val="17"/>
          <w:color w:val="auto"/>
        </w:rPr>
        <w:t>We are routinely involved in various legal proceedings resulting from our consumer finance activities and practices, both</w:t>
      </w:r>
      <w:r>
        <w:rPr>
          <w:rFonts w:ascii="Arial" w:cs="Arial" w:eastAsia="Arial" w:hAnsi="Arial"/>
          <w:sz w:val="17"/>
          <w:szCs w:val="17"/>
          <w:i w:val="1"/>
          <w:iCs w:val="1"/>
          <w:color w:val="auto"/>
        </w:rPr>
        <w:t xml:space="preserve"> </w:t>
      </w:r>
      <w:r>
        <w:rPr>
          <w:rFonts w:ascii="Arial" w:cs="Arial" w:eastAsia="Arial" w:hAnsi="Arial"/>
          <w:sz w:val="17"/>
          <w:szCs w:val="17"/>
          <w:color w:val="auto"/>
        </w:rPr>
        <w:t>continuing and discontinued. Consumers can and do initiate lawsuits against us alleging violations of law applicable to collection of receivables, and such lawsuits sometimes allege that resolution as a class action is appropriate. For the most part, we have legal and factual defenses to consumer claims, which we routinely contest or settle (for immaterial amounts) depending on the particular circumstances of each case.</w:t>
      </w:r>
    </w:p>
    <w:p>
      <w:pPr>
        <w:spacing w:after="0" w:line="171" w:lineRule="exact"/>
        <w:rPr>
          <w:sz w:val="20"/>
          <w:szCs w:val="20"/>
          <w:color w:val="auto"/>
        </w:rPr>
      </w:pPr>
    </w:p>
    <w:p>
      <w:pPr>
        <w:jc w:val="both"/>
        <w:ind w:firstLine="180"/>
        <w:spacing w:after="0" w:line="275" w:lineRule="auto"/>
        <w:rPr>
          <w:sz w:val="20"/>
          <w:szCs w:val="20"/>
          <w:color w:val="auto"/>
        </w:rPr>
      </w:pPr>
      <w:r>
        <w:rPr>
          <w:rFonts w:ascii="Arial" w:cs="Arial" w:eastAsia="Arial" w:hAnsi="Arial"/>
          <w:sz w:val="17"/>
          <w:szCs w:val="17"/>
          <w:color w:val="auto"/>
        </w:rPr>
        <w:t>Following our filing of a complaint for a deficiency judgment in the Superior Court at Waterbury, Connecticut, the defendant filed a cross-claim alleging that our deficiency notices were not compliant with Connecticut law, and seeking relief on behalf of a class of Connecticut obligors whose vehicles we had repossessed. The defendant’s contract provided for resolution of disputes exclusively by arbitration, and exclusively on an individual basis, not a class basis. Nevertheless, in August 2021, the court denied our motion to compel arbitration, without opinion. In April 2022, a motion for certification of a class was filed but has not been ruled upon. It is reasonable to expect that resolution of these claims will be on a class basis.</w:t>
      </w:r>
    </w:p>
    <w:p>
      <w:pPr>
        <w:spacing w:after="0" w:line="176" w:lineRule="exact"/>
        <w:rPr>
          <w:sz w:val="20"/>
          <w:szCs w:val="20"/>
          <w:color w:val="auto"/>
        </w:rPr>
      </w:pPr>
    </w:p>
    <w:p>
      <w:pPr>
        <w:jc w:val="both"/>
        <w:ind w:firstLine="180"/>
        <w:spacing w:after="0" w:line="273" w:lineRule="auto"/>
        <w:rPr>
          <w:sz w:val="20"/>
          <w:szCs w:val="20"/>
          <w:color w:val="auto"/>
        </w:rPr>
      </w:pPr>
      <w:r>
        <w:rPr>
          <w:rFonts w:ascii="Arial" w:cs="Arial" w:eastAsia="Arial" w:hAnsi="Arial"/>
          <w:sz w:val="17"/>
          <w:szCs w:val="17"/>
          <w:i w:val="1"/>
          <w:iCs w:val="1"/>
          <w:color w:val="auto"/>
        </w:rPr>
        <w:t xml:space="preserve">Wage and Hour Claim. </w:t>
      </w:r>
      <w:r>
        <w:rPr>
          <w:rFonts w:ascii="Arial" w:cs="Arial" w:eastAsia="Arial" w:hAnsi="Arial"/>
          <w:sz w:val="17"/>
          <w:szCs w:val="17"/>
          <w:color w:val="auto"/>
        </w:rPr>
        <w:t>On September 24, 2018, a former employee filed a lawsuit against us in the Superior Court of Orange County, California,</w:t>
      </w:r>
      <w:r>
        <w:rPr>
          <w:rFonts w:ascii="Arial" w:cs="Arial" w:eastAsia="Arial" w:hAnsi="Arial"/>
          <w:sz w:val="17"/>
          <w:szCs w:val="17"/>
          <w:i w:val="1"/>
          <w:iCs w:val="1"/>
          <w:color w:val="auto"/>
        </w:rPr>
        <w:t xml:space="preserve"> </w:t>
      </w:r>
      <w:r>
        <w:rPr>
          <w:rFonts w:ascii="Arial" w:cs="Arial" w:eastAsia="Arial" w:hAnsi="Arial"/>
          <w:sz w:val="17"/>
          <w:szCs w:val="17"/>
          <w:color w:val="auto"/>
        </w:rPr>
        <w:t>alleging that we incorrectly classified our sales representatives as outside salespersons exempt from overtime wages, mandatory break periods and certain other employee protective provisions of California and federal law. The complaint seeks injunctive relief, an award of unpaid wages, liquidated damages, and attorney fees and interest. The plaintiff purports to act on behalf of a class of similarly situated employees and ex-employees. We believe that our compensation practices with respect to our sales representatives are compliant with applicable law. In August 2023, the parties settled by agreement the claims of the plaintiff and a California settlement class and the settlement remains subject to final court approval.</w:t>
      </w:r>
    </w:p>
    <w:p>
      <w:pPr>
        <w:spacing w:after="0" w:line="178" w:lineRule="exact"/>
        <w:rPr>
          <w:sz w:val="20"/>
          <w:szCs w:val="20"/>
          <w:color w:val="auto"/>
        </w:rPr>
      </w:pPr>
    </w:p>
    <w:p>
      <w:pPr>
        <w:jc w:val="both"/>
        <w:ind w:firstLine="180"/>
        <w:spacing w:after="0" w:line="263" w:lineRule="auto"/>
        <w:rPr>
          <w:sz w:val="20"/>
          <w:szCs w:val="20"/>
          <w:color w:val="auto"/>
        </w:rPr>
      </w:pPr>
      <w:r>
        <w:rPr>
          <w:rFonts w:ascii="Arial" w:cs="Arial" w:eastAsia="Arial" w:hAnsi="Arial"/>
          <w:sz w:val="18"/>
          <w:szCs w:val="18"/>
          <w:i w:val="1"/>
          <w:iCs w:val="1"/>
          <w:color w:val="auto"/>
        </w:rPr>
        <w:t>Massachusetts Civil Investigative Demand</w:t>
      </w:r>
      <w:r>
        <w:rPr>
          <w:rFonts w:ascii="Arial" w:cs="Arial" w:eastAsia="Arial" w:hAnsi="Arial"/>
          <w:sz w:val="18"/>
          <w:szCs w:val="18"/>
          <w:color w:val="auto"/>
        </w:rPr>
        <w:t>. In September 2021, we received a civil investigative demand from the Office of the Attorney General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Commonwealth of Massachusetts relating to the Company’s communications with and repossession notices sent to Massachusetts customers. We are cooperating with the inquiry.</w:t>
      </w:r>
    </w:p>
    <w:p>
      <w:pPr>
        <w:spacing w:after="0" w:line="184" w:lineRule="exact"/>
        <w:rPr>
          <w:sz w:val="20"/>
          <w:szCs w:val="20"/>
          <w:color w:val="auto"/>
        </w:rPr>
      </w:pPr>
    </w:p>
    <w:p>
      <w:pPr>
        <w:jc w:val="both"/>
        <w:ind w:firstLine="180"/>
        <w:spacing w:after="0" w:line="296" w:lineRule="auto"/>
        <w:rPr>
          <w:sz w:val="20"/>
          <w:szCs w:val="20"/>
          <w:color w:val="auto"/>
        </w:rPr>
      </w:pPr>
      <w:r>
        <w:rPr>
          <w:rFonts w:ascii="Arial" w:cs="Arial" w:eastAsia="Arial" w:hAnsi="Arial"/>
          <w:sz w:val="16"/>
          <w:szCs w:val="16"/>
          <w:i w:val="1"/>
          <w:iCs w:val="1"/>
          <w:color w:val="auto"/>
        </w:rPr>
        <w:t xml:space="preserve">In General. </w:t>
      </w:r>
      <w:r>
        <w:rPr>
          <w:rFonts w:ascii="Arial" w:cs="Arial" w:eastAsia="Arial" w:hAnsi="Arial"/>
          <w:sz w:val="16"/>
          <w:szCs w:val="16"/>
          <w:color w:val="auto"/>
        </w:rPr>
        <w:t>There can be no assurance as to the outcomes of the matters described or referenced above. We record at each measurement date, most</w:t>
      </w:r>
      <w:r>
        <w:rPr>
          <w:rFonts w:ascii="Arial" w:cs="Arial" w:eastAsia="Arial" w:hAnsi="Arial"/>
          <w:sz w:val="16"/>
          <w:szCs w:val="16"/>
          <w:i w:val="1"/>
          <w:iCs w:val="1"/>
          <w:color w:val="auto"/>
        </w:rPr>
        <w:t xml:space="preserve"> </w:t>
      </w:r>
      <w:r>
        <w:rPr>
          <w:rFonts w:ascii="Arial" w:cs="Arial" w:eastAsia="Arial" w:hAnsi="Arial"/>
          <w:sz w:val="16"/>
          <w:szCs w:val="16"/>
          <w:color w:val="auto"/>
        </w:rPr>
        <w:t>recently as of June 30, 2023, our best estimate of probable incurred losses for legal contingencies, including the matters identified above. The amount of losses that may ultimately be incurred cannot be estimated with certainty. However, based on such information as is available to us, we believe that the total of probable incurred losses for legal contingencies as of June 30, 2023 is $3.8 million, and that the range of reasonably possible losses for the legal proceedings and contingencies we face, including those described or identified above, as of June 30, 2023 does not exceed $7.3 million.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Fair Value Measurements</w:t>
      </w:r>
    </w:p>
    <w:p>
      <w:pPr>
        <w:spacing w:after="0" w:line="225" w:lineRule="exact"/>
        <w:rPr>
          <w:sz w:val="20"/>
          <w:szCs w:val="20"/>
          <w:color w:val="auto"/>
        </w:rPr>
      </w:pPr>
    </w:p>
    <w:p>
      <w:pPr>
        <w:jc w:val="both"/>
        <w:ind w:firstLine="180"/>
        <w:spacing w:after="0" w:line="263"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84" w:lineRule="exact"/>
        <w:rPr>
          <w:sz w:val="20"/>
          <w:szCs w:val="20"/>
          <w:color w:val="auto"/>
        </w:rPr>
      </w:pPr>
    </w:p>
    <w:p>
      <w:pPr>
        <w:jc w:val="both"/>
        <w:ind w:firstLine="180"/>
        <w:spacing w:after="0" w:line="296" w:lineRule="auto"/>
        <w:rPr>
          <w:sz w:val="20"/>
          <w:szCs w:val="20"/>
          <w:color w:val="auto"/>
        </w:rPr>
      </w:pPr>
      <w:r>
        <w:rPr>
          <w:rFonts w:ascii="Arial" w:cs="Arial" w:eastAsia="Arial" w:hAnsi="Arial"/>
          <w:sz w:val="16"/>
          <w:szCs w:val="16"/>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Effective January 2018 we have elected to use the fair value method to value our portfolio of finance receivables acquired in January 2018 and thereafter.</w:t>
      </w:r>
    </w:p>
    <w:p>
      <w:pPr>
        <w:spacing w:after="0" w:line="248" w:lineRule="exact"/>
        <w:rPr>
          <w:sz w:val="20"/>
          <w:szCs w:val="20"/>
          <w:color w:val="auto"/>
        </w:rPr>
      </w:pPr>
    </w:p>
    <w:p>
      <w:pPr>
        <w:jc w:val="both"/>
        <w:ind w:firstLine="180"/>
        <w:spacing w:after="0" w:line="257" w:lineRule="auto"/>
        <w:rPr>
          <w:sz w:val="20"/>
          <w:szCs w:val="20"/>
          <w:color w:val="auto"/>
        </w:rPr>
      </w:pPr>
      <w:r>
        <w:rPr>
          <w:rFonts w:ascii="Arial" w:cs="Arial" w:eastAsia="Arial" w:hAnsi="Arial"/>
          <w:sz w:val="18"/>
          <w:szCs w:val="18"/>
          <w:color w:val="auto"/>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spacing w:after="0" w:line="188"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8"/>
          <w:szCs w:val="18"/>
          <w:color w:val="auto"/>
        </w:rPr>
        <w:t>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Significant changes in any of those inputs in isolation would have a significant effect on our fair value measurement.</w:t>
      </w:r>
    </w:p>
    <w:p>
      <w:pPr>
        <w:spacing w:after="0" w:line="187" w:lineRule="exact"/>
        <w:rPr>
          <w:sz w:val="20"/>
          <w:szCs w:val="20"/>
          <w:color w:val="auto"/>
        </w:rPr>
      </w:pPr>
    </w:p>
    <w:p>
      <w:pPr>
        <w:jc w:val="both"/>
        <w:ind w:firstLine="180"/>
        <w:spacing w:after="0" w:line="263" w:lineRule="auto"/>
        <w:rPr>
          <w:sz w:val="20"/>
          <w:szCs w:val="20"/>
          <w:color w:val="auto"/>
        </w:rPr>
      </w:pPr>
      <w:r>
        <w:rPr>
          <w:rFonts w:ascii="Arial" w:cs="Arial" w:eastAsia="Arial" w:hAnsi="Arial"/>
          <w:sz w:val="18"/>
          <w:szCs w:val="18"/>
          <w:color w:val="auto"/>
        </w:rPr>
        <w:t>For the quarter ended June 30, 2023, the Company evaluated the appropriate fair value and future earnings rate of existing receivables compared to recently acquired receivables and our assessment of potential additional future net losses on the portfolio of finance receivables carried at fair value and did not record a mark down to that portfolio.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table below presents a reconciliation of the finance receivables measured at fair value on a recurring basis using significant unobservable inputs: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4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9"/>
                <w:szCs w:val="19"/>
                <w:color w:val="auto"/>
              </w:rPr>
            </w:pPr>
          </w:p>
        </w:tc>
        <w:tc>
          <w:tcPr>
            <w:tcW w:w="274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0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19"/>
                <w:szCs w:val="19"/>
                <w:color w:val="auto"/>
              </w:rPr>
            </w:pPr>
          </w:p>
        </w:tc>
      </w:tr>
      <w:tr>
        <w:trPr>
          <w:trHeight w:val="209"/>
        </w:trPr>
        <w:tc>
          <w:tcPr>
            <w:tcW w:w="5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6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74"/>
              </w:rPr>
              <w:t>thousands)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6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74"/>
              </w:rPr>
              <w:t>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2,575,117</w:t>
            </w:r>
          </w:p>
        </w:tc>
        <w:tc>
          <w:tcPr>
            <w:tcW w:w="14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1,903,857</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2,476,617</w:t>
            </w:r>
          </w:p>
        </w:tc>
        <w:tc>
          <w:tcPr>
            <w:tcW w:w="5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1,749,098</w:t>
            </w:r>
          </w:p>
        </w:tc>
        <w:tc>
          <w:tcPr>
            <w:tcW w:w="100" w:type="dxa"/>
            <w:vAlign w:val="bottom"/>
            <w:shd w:val="clear" w:color="auto" w:fill="EEEEEE"/>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Finance receivables at fair value acquired during period</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305,450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511,068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658,048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904,475</w:t>
            </w:r>
          </w:p>
        </w:tc>
        <w:tc>
          <w:tcPr>
            <w:tcW w:w="100" w:type="dxa"/>
            <w:vAlign w:val="bottom"/>
          </w:tcPr>
          <w:p>
            <w:pPr>
              <w:spacing w:after="0"/>
              <w:rPr>
                <w:sz w:val="18"/>
                <w:szCs w:val="18"/>
                <w:color w:val="auto"/>
              </w:rPr>
            </w:pPr>
          </w:p>
        </w:tc>
      </w:tr>
      <w:tr>
        <w:trPr>
          <w:trHeight w:val="216"/>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Payments received on finance receivables at fair value</w:t>
            </w: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
              <w:spacing w:after="0"/>
              <w:rPr>
                <w:sz w:val="20"/>
                <w:szCs w:val="20"/>
                <w:color w:val="auto"/>
              </w:rPr>
            </w:pPr>
            <w:r>
              <w:rPr>
                <w:rFonts w:ascii="Arial" w:cs="Arial" w:eastAsia="Arial" w:hAnsi="Arial"/>
                <w:sz w:val="18"/>
                <w:szCs w:val="18"/>
                <w:color w:val="auto"/>
              </w:rPr>
              <w:t>(215,314)</w:t>
            </w: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(215,930)</w:t>
            </w: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
              <w:spacing w:after="0"/>
              <w:rPr>
                <w:sz w:val="20"/>
                <w:szCs w:val="20"/>
                <w:color w:val="auto"/>
              </w:rPr>
            </w:pPr>
            <w:r>
              <w:rPr>
                <w:rFonts w:ascii="Arial" w:cs="Arial" w:eastAsia="Arial" w:hAnsi="Arial"/>
                <w:sz w:val="18"/>
                <w:szCs w:val="18"/>
                <w:color w:val="auto"/>
              </w:rPr>
              <w:t>(421,940)</w:t>
            </w: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(425,774)</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Net interest income accretion on fair value receivables</w:t>
            </w:r>
          </w:p>
        </w:tc>
        <w:tc>
          <w:tcPr>
            <w:tcW w:w="300" w:type="dxa"/>
            <w:vAlign w:val="bottom"/>
          </w:tcPr>
          <w:p>
            <w:pPr>
              <w:spacing w:after="0"/>
              <w:rPr>
                <w:sz w:val="18"/>
                <w:szCs w:val="18"/>
                <w:color w:val="auto"/>
              </w:rPr>
            </w:pPr>
          </w:p>
        </w:tc>
        <w:tc>
          <w:tcPr>
            <w:tcW w:w="1200" w:type="dxa"/>
            <w:vAlign w:val="bottom"/>
            <w:gridSpan w:val="2"/>
          </w:tcPr>
          <w:p>
            <w:pPr>
              <w:jc w:val="right"/>
              <w:ind w:right="1"/>
              <w:spacing w:after="0"/>
              <w:rPr>
                <w:sz w:val="20"/>
                <w:szCs w:val="20"/>
                <w:color w:val="auto"/>
              </w:rPr>
            </w:pPr>
            <w:r>
              <w:rPr>
                <w:rFonts w:ascii="Arial" w:cs="Arial" w:eastAsia="Arial" w:hAnsi="Arial"/>
                <w:sz w:val="18"/>
                <w:szCs w:val="18"/>
                <w:color w:val="auto"/>
              </w:rPr>
              <w:t>(46,833)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(29,562)</w:t>
            </w:r>
          </w:p>
        </w:tc>
        <w:tc>
          <w:tcPr>
            <w:tcW w:w="300" w:type="dxa"/>
            <w:vAlign w:val="bottom"/>
          </w:tcPr>
          <w:p>
            <w:pPr>
              <w:spacing w:after="0"/>
              <w:rPr>
                <w:sz w:val="18"/>
                <w:szCs w:val="18"/>
                <w:color w:val="auto"/>
              </w:rPr>
            </w:pPr>
          </w:p>
        </w:tc>
        <w:tc>
          <w:tcPr>
            <w:tcW w:w="1200" w:type="dxa"/>
            <w:vAlign w:val="bottom"/>
            <w:gridSpan w:val="2"/>
          </w:tcPr>
          <w:p>
            <w:pPr>
              <w:jc w:val="right"/>
              <w:ind w:right="1"/>
              <w:spacing w:after="0"/>
              <w:rPr>
                <w:sz w:val="20"/>
                <w:szCs w:val="20"/>
                <w:color w:val="auto"/>
              </w:rPr>
            </w:pPr>
            <w:r>
              <w:rPr>
                <w:rFonts w:ascii="Arial" w:cs="Arial" w:eastAsia="Arial" w:hAnsi="Arial"/>
                <w:sz w:val="18"/>
                <w:szCs w:val="18"/>
                <w:color w:val="auto"/>
              </w:rPr>
              <w:t>(94,305)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(60,766)</w:t>
            </w:r>
          </w:p>
        </w:tc>
      </w:tr>
      <w:tr>
        <w:trPr>
          <w:trHeight w:val="216"/>
        </w:trPr>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Mark to fair value</w:t>
            </w: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4,700</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7,100</w:t>
            </w:r>
          </w:p>
        </w:tc>
        <w:tc>
          <w:tcPr>
            <w:tcW w:w="100" w:type="dxa"/>
            <w:vAlign w:val="bottom"/>
            <w:shd w:val="clear" w:color="auto" w:fill="EEEEEE"/>
          </w:tcPr>
          <w:p>
            <w:pPr>
              <w:spacing w:after="0"/>
              <w:rPr>
                <w:sz w:val="18"/>
                <w:szCs w:val="18"/>
                <w:color w:val="auto"/>
              </w:rPr>
            </w:pPr>
          </w:p>
        </w:tc>
      </w:tr>
      <w:tr>
        <w:trPr>
          <w:trHeight w:val="20"/>
        </w:trPr>
        <w:tc>
          <w:tcPr>
            <w:tcW w:w="5060" w:type="dxa"/>
            <w:vAlign w:val="bottom"/>
            <w:shd w:val="clear" w:color="auto" w:fill="EEEEEE"/>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tcBorders>
              <w:right w:val="single" w:sz="8" w:color="EEEEEE"/>
            </w:tcBorders>
            <w:shd w:val="clear" w:color="auto" w:fill="000000"/>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r>
      <w:tr>
        <w:trPr>
          <w:trHeight w:val="237"/>
        </w:trPr>
        <w:tc>
          <w:tcPr>
            <w:tcW w:w="50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2,618,420</w:t>
            </w:r>
          </w:p>
        </w:tc>
        <w:tc>
          <w:tcPr>
            <w:tcW w:w="140" w:type="dxa"/>
            <w:vAlign w:val="bottom"/>
          </w:tcPr>
          <w:p>
            <w:pPr>
              <w:spacing w:after="0"/>
              <w:rPr>
                <w:sz w:val="20"/>
                <w:szCs w:val="20"/>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2,174,133</w:t>
            </w:r>
          </w:p>
        </w:tc>
        <w:tc>
          <w:tcPr>
            <w:tcW w:w="2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1"/>
              <w:spacing w:after="0"/>
              <w:rPr>
                <w:sz w:val="20"/>
                <w:szCs w:val="20"/>
                <w:color w:val="auto"/>
              </w:rPr>
            </w:pPr>
            <w:r>
              <w:rPr>
                <w:rFonts w:ascii="Arial" w:cs="Arial" w:eastAsia="Arial" w:hAnsi="Arial"/>
                <w:sz w:val="18"/>
                <w:szCs w:val="18"/>
                <w:color w:val="auto"/>
              </w:rPr>
              <w:t>2,618,420</w:t>
            </w: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2,174,133</w:t>
            </w:r>
          </w:p>
        </w:tc>
        <w:tc>
          <w:tcPr>
            <w:tcW w:w="100" w:type="dxa"/>
            <w:vAlign w:val="bottom"/>
          </w:tcPr>
          <w:p>
            <w:pPr>
              <w:spacing w:after="0"/>
              <w:rPr>
                <w:sz w:val="20"/>
                <w:szCs w:val="20"/>
                <w:color w:val="auto"/>
              </w:rPr>
            </w:pPr>
          </w:p>
        </w:tc>
      </w:tr>
      <w:tr>
        <w:trPr>
          <w:trHeight w:val="20"/>
        </w:trPr>
        <w:tc>
          <w:tcPr>
            <w:tcW w:w="5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 below compares the fair values of these finance receivables to their contractual balances for the periods shown: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5"/>
          </w:tcPr>
          <w:p>
            <w:pPr>
              <w:jc w:val="right"/>
              <w:ind w:right="85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gridSpan w:val="6"/>
          </w:tcPr>
          <w:p>
            <w:pPr>
              <w:ind w:left="60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191"/>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Contractual</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1"/>
              </w:rPr>
              <w:t>Contractual</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Balance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580" w:type="dxa"/>
            <w:vAlign w:val="bottom"/>
            <w:gridSpan w:val="4"/>
          </w:tcPr>
          <w:p>
            <w:pPr>
              <w:jc w:val="right"/>
              <w:ind w:right="810"/>
              <w:spacing w:after="0"/>
              <w:rPr>
                <w:sz w:val="20"/>
                <w:szCs w:val="20"/>
                <w:color w:val="auto"/>
              </w:rPr>
            </w:pPr>
            <w:r>
              <w:rPr>
                <w:rFonts w:ascii="Arial" w:cs="Arial" w:eastAsia="Arial" w:hAnsi="Arial"/>
                <w:sz w:val="17"/>
                <w:szCs w:val="17"/>
                <w:b w:val="1"/>
                <w:bCs w:val="1"/>
                <w:color w:val="auto"/>
                <w:w w:val="71"/>
              </w:rPr>
              <w:t>thousands)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w w:val="97"/>
              </w:rPr>
              <w:t>Finance receivables measured at fair value</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2,857,205</w:t>
            </w:r>
          </w:p>
        </w:tc>
        <w:tc>
          <w:tcPr>
            <w:tcW w:w="2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2,618,420</w:t>
            </w:r>
          </w:p>
        </w:tc>
        <w:tc>
          <w:tcPr>
            <w:tcW w:w="3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2,701,184</w:t>
            </w:r>
          </w:p>
        </w:tc>
        <w:tc>
          <w:tcPr>
            <w:tcW w:w="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2,476,617</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980" w:type="dxa"/>
            <w:vAlign w:val="bottom"/>
            <w:gridSpan w:val="11"/>
          </w:tcPr>
          <w:p>
            <w:pPr>
              <w:ind w:left="180"/>
              <w:spacing w:after="0"/>
              <w:rPr>
                <w:sz w:val="20"/>
                <w:szCs w:val="20"/>
                <w:color w:val="auto"/>
              </w:rPr>
            </w:pPr>
            <w:r>
              <w:rPr>
                <w:rFonts w:ascii="Arial" w:cs="Arial" w:eastAsia="Arial" w:hAnsi="Arial"/>
                <w:sz w:val="18"/>
                <w:szCs w:val="18"/>
                <w:color w:val="auto"/>
                <w:w w:val="96"/>
              </w:rPr>
              <w:t>The following table provides certain qualitative information about our level 3 fair value measurements: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380" w:type="dxa"/>
            <w:vAlign w:val="bottom"/>
          </w:tcPr>
          <w:p>
            <w:pPr>
              <w:spacing w:after="0"/>
              <w:rPr>
                <w:sz w:val="20"/>
                <w:szCs w:val="20"/>
                <w:color w:val="auto"/>
              </w:rPr>
            </w:pPr>
            <w:r>
              <w:rPr>
                <w:rFonts w:ascii="Arial" w:cs="Arial" w:eastAsia="Arial" w:hAnsi="Arial"/>
                <w:sz w:val="18"/>
                <w:szCs w:val="18"/>
                <w:b w:val="1"/>
                <w:bCs w:val="1"/>
                <w:color w:val="auto"/>
              </w:rPr>
              <w:t>Financial Instrument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Fair Values as of</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gridSpan w:val="6"/>
          </w:tcPr>
          <w:p>
            <w:pPr>
              <w:ind w:left="940"/>
              <w:spacing w:after="0"/>
              <w:rPr>
                <w:sz w:val="20"/>
                <w:szCs w:val="20"/>
                <w:color w:val="auto"/>
              </w:rPr>
            </w:pPr>
            <w:r>
              <w:rPr>
                <w:rFonts w:ascii="Arial" w:cs="Arial" w:eastAsia="Arial" w:hAnsi="Arial"/>
                <w:sz w:val="18"/>
                <w:szCs w:val="18"/>
                <w:b w:val="1"/>
                <w:bCs w:val="1"/>
                <w:color w:val="auto"/>
              </w:rPr>
              <w:t>Inputs as of</w:t>
            </w:r>
          </w:p>
        </w:tc>
        <w:tc>
          <w:tcPr>
            <w:tcW w:w="0" w:type="dxa"/>
            <w:vAlign w:val="bottom"/>
          </w:tcPr>
          <w:p>
            <w:pPr>
              <w:spacing w:after="0"/>
              <w:rPr>
                <w:sz w:val="1"/>
                <w:szCs w:val="1"/>
                <w:color w:val="auto"/>
              </w:rPr>
            </w:pPr>
          </w:p>
        </w:tc>
      </w:tr>
      <w:tr>
        <w:trPr>
          <w:trHeight w:val="205"/>
        </w:trPr>
        <w:tc>
          <w:tcPr>
            <w:tcW w:w="3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center"/>
              <w:ind w:right="381"/>
              <w:spacing w:after="0" w:line="205" w:lineRule="exact"/>
              <w:rPr>
                <w:sz w:val="20"/>
                <w:szCs w:val="20"/>
                <w:color w:val="auto"/>
              </w:rPr>
            </w:pPr>
            <w:r>
              <w:rPr>
                <w:rFonts w:ascii="Arial" w:cs="Arial" w:eastAsia="Arial" w:hAnsi="Arial"/>
                <w:sz w:val="18"/>
                <w:szCs w:val="18"/>
                <w:b w:val="1"/>
                <w:bCs w:val="1"/>
                <w:color w:val="auto"/>
                <w:w w:val="88"/>
              </w:rPr>
              <w:t>June 30,</w:t>
            </w: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10"/>
              <w:spacing w:after="0" w:line="205" w:lineRule="exact"/>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ind w:left="280"/>
              <w:spacing w:after="0" w:line="205" w:lineRule="exact"/>
              <w:rPr>
                <w:sz w:val="20"/>
                <w:szCs w:val="20"/>
                <w:color w:val="auto"/>
              </w:rPr>
            </w:pPr>
            <w:r>
              <w:rPr>
                <w:rFonts w:ascii="Arial" w:cs="Arial" w:eastAsia="Arial" w:hAnsi="Arial"/>
                <w:sz w:val="18"/>
                <w:szCs w:val="18"/>
                <w:b w:val="1"/>
                <w:bCs w:val="1"/>
                <w:color w:val="auto"/>
              </w:rPr>
              <w:t>June 30,</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ind w:left="60"/>
              <w:spacing w:after="0" w:line="205"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Unobservable</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3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560" w:type="dxa"/>
            <w:vAlign w:val="bottom"/>
            <w:gridSpan w:val="3"/>
          </w:tcPr>
          <w:p>
            <w:pPr>
              <w:jc w:val="right"/>
              <w:ind w:right="810"/>
              <w:spacing w:after="0"/>
              <w:rPr>
                <w:sz w:val="20"/>
                <w:szCs w:val="20"/>
                <w:color w:val="auto"/>
              </w:rPr>
            </w:pPr>
            <w:r>
              <w:rPr>
                <w:rFonts w:ascii="Arial" w:cs="Arial" w:eastAsia="Arial" w:hAnsi="Arial"/>
                <w:sz w:val="16"/>
                <w:szCs w:val="16"/>
                <w:b w:val="1"/>
                <w:bCs w:val="1"/>
                <w:color w:val="auto"/>
                <w:w w:val="74"/>
              </w:rPr>
              <w:t>thousands)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3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w w:val="97"/>
              </w:rPr>
              <w:t>Finance receivables measured at fair value</w:t>
            </w:r>
          </w:p>
        </w:tc>
        <w:tc>
          <w:tcPr>
            <w:tcW w:w="3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2,618,420</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2,476,617</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Discount rate</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11.0% - 11.5%</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11.0% - 11.3%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1"/>
              </w:rPr>
              <w:t>Cumulative net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6"/>
              </w:rPr>
              <w:t>losses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10.0% - 21.5%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13.4% - 19.4%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delinquency status of these finance receivables measured at fair value as of June 30, 2023 and December 31, 2022:</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2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800" w:type="dxa"/>
            <w:vAlign w:val="bottom"/>
            <w:gridSpan w:val="3"/>
          </w:tcPr>
          <w:p>
            <w:pPr>
              <w:jc w:val="right"/>
              <w:ind w:right="105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8"/>
                <w:szCs w:val="18"/>
                <w:color w:val="auto"/>
              </w:rPr>
            </w:pPr>
          </w:p>
        </w:tc>
      </w:tr>
      <w:tr>
        <w:trPr>
          <w:trHeight w:val="216"/>
        </w:trPr>
        <w:tc>
          <w:tcPr>
            <w:tcW w:w="7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Delinquency Status</w:t>
            </w: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76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2,531,445</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2,375,271</w:t>
            </w:r>
          </w:p>
        </w:tc>
        <w:tc>
          <w:tcPr>
            <w:tcW w:w="100" w:type="dxa"/>
            <w:vAlign w:val="bottom"/>
          </w:tcPr>
          <w:p>
            <w:pPr>
              <w:spacing w:after="0"/>
              <w:rPr>
                <w:sz w:val="18"/>
                <w:szCs w:val="18"/>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31</w:t>
            </w:r>
          </w:p>
        </w:tc>
        <w:tc>
          <w:tcPr>
            <w:tcW w:w="754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180,284</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184,968</w:t>
            </w:r>
          </w:p>
        </w:tc>
        <w:tc>
          <w:tcPr>
            <w:tcW w:w="100" w:type="dxa"/>
            <w:vAlign w:val="bottom"/>
            <w:shd w:val="clear" w:color="auto" w:fill="EEEEEE"/>
          </w:tcPr>
          <w:p>
            <w:pPr>
              <w:spacing w:after="0"/>
              <w:rPr>
                <w:sz w:val="18"/>
                <w:szCs w:val="18"/>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61</w:t>
            </w:r>
          </w:p>
        </w:tc>
        <w:tc>
          <w:tcPr>
            <w:tcW w:w="7540" w:type="dxa"/>
            <w:vAlign w:val="bottom"/>
          </w:tcPr>
          <w:p>
            <w:pPr>
              <w:ind w:left="20"/>
              <w:spacing w:after="0"/>
              <w:rPr>
                <w:sz w:val="20"/>
                <w:szCs w:val="20"/>
                <w:color w:val="auto"/>
              </w:rPr>
            </w:pPr>
            <w:r>
              <w:rPr>
                <w:rFonts w:ascii="Arial" w:cs="Arial" w:eastAsia="Arial" w:hAnsi="Arial"/>
                <w:sz w:val="18"/>
                <w:szCs w:val="18"/>
                <w:color w:val="auto"/>
              </w:rPr>
              <w:t>- 90 days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74,963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72,390</w:t>
            </w:r>
          </w:p>
        </w:tc>
        <w:tc>
          <w:tcPr>
            <w:tcW w:w="100" w:type="dxa"/>
            <w:vAlign w:val="bottom"/>
          </w:tcPr>
          <w:p>
            <w:pPr>
              <w:spacing w:after="0"/>
              <w:rPr>
                <w:sz w:val="18"/>
                <w:szCs w:val="18"/>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91</w:t>
            </w:r>
          </w:p>
        </w:tc>
        <w:tc>
          <w:tcPr>
            <w:tcW w:w="754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28,619</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29,048</w:t>
            </w:r>
          </w:p>
        </w:tc>
        <w:tc>
          <w:tcPr>
            <w:tcW w:w="100" w:type="dxa"/>
            <w:vAlign w:val="bottom"/>
            <w:shd w:val="clear" w:color="auto" w:fill="EEEEEE"/>
          </w:tcPr>
          <w:p>
            <w:pPr>
              <w:spacing w:after="0"/>
              <w:rPr>
                <w:sz w:val="18"/>
                <w:szCs w:val="18"/>
                <w:color w:val="auto"/>
              </w:rPr>
            </w:pPr>
          </w:p>
        </w:tc>
      </w:tr>
      <w:tr>
        <w:trPr>
          <w:trHeight w:val="229"/>
        </w:trPr>
        <w:tc>
          <w:tcPr>
            <w:tcW w:w="7760" w:type="dxa"/>
            <w:vAlign w:val="bottom"/>
            <w:tcBorders>
              <w:bottom w:val="single" w:sz="8" w:color="EEEEEE"/>
            </w:tcBorders>
            <w:gridSpan w:val="2"/>
          </w:tcPr>
          <w:p>
            <w:pPr>
              <w:spacing w:after="0"/>
              <w:rPr>
                <w:sz w:val="20"/>
                <w:szCs w:val="20"/>
                <w:color w:val="auto"/>
              </w:rPr>
            </w:pPr>
            <w:r>
              <w:rPr>
                <w:rFonts w:ascii="Arial" w:cs="Arial" w:eastAsia="Arial" w:hAnsi="Arial"/>
                <w:sz w:val="18"/>
                <w:szCs w:val="18"/>
                <w:color w:val="auto"/>
              </w:rPr>
              <w:t>Repo</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41,894</w:t>
            </w:r>
          </w:p>
        </w:tc>
        <w:tc>
          <w:tcPr>
            <w:tcW w:w="22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39,507</w:t>
            </w:r>
          </w:p>
        </w:tc>
        <w:tc>
          <w:tcPr>
            <w:tcW w:w="100" w:type="dxa"/>
            <w:vAlign w:val="bottom"/>
            <w:tcBorders>
              <w:bottom w:val="single" w:sz="8" w:color="EEEEEE"/>
            </w:tcBorders>
          </w:tcPr>
          <w:p>
            <w:pPr>
              <w:spacing w:after="0"/>
              <w:rPr>
                <w:sz w:val="19"/>
                <w:szCs w:val="19"/>
                <w:color w:val="auto"/>
              </w:rPr>
            </w:pPr>
          </w:p>
        </w:tc>
      </w:tr>
      <w:tr>
        <w:trPr>
          <w:trHeight w:val="263"/>
        </w:trPr>
        <w:tc>
          <w:tcPr>
            <w:tcW w:w="220" w:type="dxa"/>
            <w:vAlign w:val="bottom"/>
            <w:tcBorders>
              <w:bottom w:val="single" w:sz="8" w:color="EEEEEE"/>
            </w:tcBorders>
            <w:shd w:val="clear" w:color="auto" w:fill="EEEEEE"/>
          </w:tcPr>
          <w:p>
            <w:pPr>
              <w:spacing w:after="0"/>
              <w:rPr>
                <w:sz w:val="22"/>
                <w:szCs w:val="22"/>
                <w:color w:val="auto"/>
              </w:rPr>
            </w:pPr>
          </w:p>
        </w:tc>
        <w:tc>
          <w:tcPr>
            <w:tcW w:w="7540" w:type="dxa"/>
            <w:vAlign w:val="bottom"/>
            <w:tcBorders>
              <w:bottom w:val="single" w:sz="8" w:color="EEEEEE"/>
            </w:tcBorders>
            <w:shd w:val="clear" w:color="auto" w:fill="EEEEEE"/>
          </w:tcPr>
          <w:p>
            <w:pPr>
              <w:spacing w:after="0"/>
              <w:rPr>
                <w:sz w:val="22"/>
                <w:szCs w:val="22"/>
                <w:color w:val="auto"/>
              </w:rPr>
            </w:pPr>
          </w:p>
        </w:tc>
        <w:tc>
          <w:tcPr>
            <w:tcW w:w="280" w:type="dxa"/>
            <w:vAlign w:val="bottom"/>
            <w:tcBorders>
              <w:bottom w:val="single" w:sz="8" w:color="auto"/>
            </w:tcBorders>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2,857,205</w:t>
            </w:r>
          </w:p>
        </w:tc>
        <w:tc>
          <w:tcPr>
            <w:tcW w:w="220" w:type="dxa"/>
            <w:vAlign w:val="bottom"/>
            <w:tcBorders>
              <w:bottom w:val="single" w:sz="8" w:color="EEEEEE"/>
            </w:tcBorders>
            <w:shd w:val="clear" w:color="auto" w:fill="EEEEEE"/>
          </w:tcPr>
          <w:p>
            <w:pPr>
              <w:spacing w:after="0"/>
              <w:rPr>
                <w:sz w:val="22"/>
                <w:szCs w:val="22"/>
                <w:color w:val="auto"/>
              </w:rPr>
            </w:pPr>
          </w:p>
        </w:tc>
        <w:tc>
          <w:tcPr>
            <w:tcW w:w="180" w:type="dxa"/>
            <w:vAlign w:val="bottom"/>
            <w:tcBorders>
              <w:bottom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2,701,184</w:t>
            </w:r>
          </w:p>
        </w:tc>
        <w:tc>
          <w:tcPr>
            <w:tcW w:w="100" w:type="dxa"/>
            <w:vAlign w:val="bottom"/>
            <w:tcBorders>
              <w:bottom w:val="single" w:sz="8" w:color="EEEEEE"/>
            </w:tcBorders>
            <w:shd w:val="clear" w:color="auto" w:fill="EEEEEE"/>
          </w:tcPr>
          <w:p>
            <w:pPr>
              <w:spacing w:after="0"/>
              <w:rPr>
                <w:sz w:val="22"/>
                <w:szCs w:val="22"/>
                <w:color w:val="auto"/>
              </w:rPr>
            </w:pPr>
          </w:p>
        </w:tc>
      </w:tr>
    </w:tbl>
    <w:p>
      <w:pPr>
        <w:spacing w:after="0" w:line="202" w:lineRule="exact"/>
        <w:rPr>
          <w:sz w:val="20"/>
          <w:szCs w:val="20"/>
          <w:color w:val="auto"/>
        </w:rPr>
      </w:pPr>
    </w:p>
    <w:p>
      <w:pPr>
        <w:jc w:val="both"/>
        <w:ind w:firstLine="130"/>
        <w:spacing w:after="0" w:line="275" w:lineRule="auto"/>
        <w:rPr>
          <w:sz w:val="20"/>
          <w:szCs w:val="20"/>
          <w:color w:val="auto"/>
        </w:rPr>
      </w:pPr>
      <w:r>
        <w:rPr>
          <w:rFonts w:ascii="Arial" w:cs="Arial" w:eastAsia="Arial" w:hAnsi="Arial"/>
          <w:sz w:val="17"/>
          <w:szCs w:val="17"/>
          <w:color w:val="auto"/>
        </w:rPr>
        <w:t>Repossessed vehicle inventory, which is included in Other Assets on our unaudited condensed consolidated balance sheet, is measured at fair value using level 2 assumptions based on our actual loss experience on sale of repossessed vehicles. At June 30, 2023 the finance receivables related to the repossessed vehicles in inventory totaled $1.0 million. We have applied a valuation adjustment, or loss allowance, of $655,000, which is based on a recovery rate of approximately 35%, resulting in an estimated fair value and carrying amount of $348,000. The fair value and carrying amount of the repossessed inventory at December 31, 2022 was $1.9 million after applying a valuation adjustment of $1.3 million.</w:t>
      </w:r>
    </w:p>
    <w:p>
      <w:pPr>
        <w:spacing w:after="0" w:line="17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There were no transfers in or out of level 1, level 2 or level 3 assets and liabilities for the three months ended June 30, 2023 and 2022.</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estimated fair values of financial assets and liabilities at June 30, 2023 and December 31, 2022,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9"/>
              </w:rPr>
              <w:t>As of June 30, 2023</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8"/>
              </w:rPr>
              <w:t>(In thousands)</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Carrying</w:t>
            </w:r>
          </w:p>
        </w:tc>
        <w:tc>
          <w:tcPr>
            <w:tcW w:w="2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7"/>
          </w:tcPr>
          <w:p>
            <w:pPr>
              <w:jc w:val="center"/>
              <w:ind w:left="630"/>
              <w:spacing w:after="0"/>
              <w:rPr>
                <w:sz w:val="20"/>
                <w:szCs w:val="20"/>
                <w:color w:val="auto"/>
              </w:rPr>
            </w:pPr>
            <w:r>
              <w:rPr>
                <w:rFonts w:ascii="Arial" w:cs="Arial" w:eastAsia="Arial" w:hAnsi="Arial"/>
                <w:sz w:val="18"/>
                <w:szCs w:val="18"/>
                <w:b w:val="1"/>
                <w:bCs w:val="1"/>
                <w:color w:val="auto"/>
                <w:w w:val="90"/>
              </w:rPr>
              <w:t>Fair Value Measurements Using:</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Value</w:t>
            </w:r>
          </w:p>
        </w:tc>
        <w:tc>
          <w:tcPr>
            <w:tcW w:w="24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Level 2</w:t>
            </w:r>
          </w:p>
        </w:tc>
        <w:tc>
          <w:tcPr>
            <w:tcW w:w="38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w w:val="91"/>
              </w:rPr>
              <w:t>Level 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7,081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7,081</w:t>
            </w:r>
          </w:p>
        </w:tc>
        <w:tc>
          <w:tcPr>
            <w:tcW w:w="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ind w:left="1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7,081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Restricted cash and equivalents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148,063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148,063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46,359</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ind w:left="1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42,495</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42,495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245,272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245,272</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245,272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49,749</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49,749</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49,749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7,243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2,225,072</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ind w:left="1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2,137,162</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2,137,162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21,204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21,204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7"/>
          </w:tcPr>
          <w:p>
            <w:pPr>
              <w:jc w:val="center"/>
              <w:ind w:left="650"/>
              <w:spacing w:after="0"/>
              <w:rPr>
                <w:sz w:val="20"/>
                <w:szCs w:val="20"/>
                <w:color w:val="auto"/>
              </w:rPr>
            </w:pPr>
            <w:r>
              <w:rPr>
                <w:rFonts w:ascii="Arial" w:cs="Arial" w:eastAsia="Arial" w:hAnsi="Arial"/>
                <w:sz w:val="18"/>
                <w:szCs w:val="18"/>
                <w:b w:val="1"/>
                <w:bCs w:val="1"/>
                <w:color w:val="auto"/>
                <w:w w:val="89"/>
              </w:rPr>
              <w:t>As of December 31, 2022</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4"/>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Carrying</w:t>
            </w:r>
          </w:p>
        </w:tc>
        <w:tc>
          <w:tcPr>
            <w:tcW w:w="2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7"/>
          </w:tcPr>
          <w:p>
            <w:pPr>
              <w:jc w:val="center"/>
              <w:ind w:left="630"/>
              <w:spacing w:after="0"/>
              <w:rPr>
                <w:sz w:val="20"/>
                <w:szCs w:val="20"/>
                <w:color w:val="auto"/>
              </w:rPr>
            </w:pPr>
            <w:r>
              <w:rPr>
                <w:rFonts w:ascii="Arial" w:cs="Arial" w:eastAsia="Arial" w:hAnsi="Arial"/>
                <w:sz w:val="18"/>
                <w:szCs w:val="18"/>
                <w:b w:val="1"/>
                <w:bCs w:val="1"/>
                <w:color w:val="auto"/>
                <w:w w:val="90"/>
              </w:rPr>
              <w:t>Fair Value Measurements Using:</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Value</w:t>
            </w:r>
          </w:p>
        </w:tc>
        <w:tc>
          <w:tcPr>
            <w:tcW w:w="24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center"/>
              <w:ind w:right="24"/>
              <w:spacing w:after="0"/>
              <w:rPr>
                <w:sz w:val="20"/>
                <w:szCs w:val="20"/>
                <w:color w:val="auto"/>
              </w:rPr>
            </w:pPr>
            <w:r>
              <w:rPr>
                <w:rFonts w:ascii="Arial" w:cs="Arial" w:eastAsia="Arial" w:hAnsi="Arial"/>
                <w:sz w:val="18"/>
                <w:szCs w:val="18"/>
                <w:b w:val="1"/>
                <w:bCs w:val="1"/>
                <w:color w:val="auto"/>
                <w:w w:val="88"/>
              </w:rPr>
              <w:t>Level 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w w:val="91"/>
              </w:rPr>
              <w:t>Level 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13,490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13,490</w:t>
            </w:r>
          </w:p>
        </w:tc>
        <w:tc>
          <w:tcPr>
            <w:tcW w:w="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ind w:left="1160"/>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13,490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Restricted cash and equivalents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149,299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149,299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ind w:left="1160"/>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70,551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ind w:left="1160"/>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60,063</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60,063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ind w:left="1160"/>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285,328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ind w:left="1160"/>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285,328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285,328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6,190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ind w:left="1160"/>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6,190</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6,190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Securitization trust debt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2,108,744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ind w:left="1160"/>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1,957,995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1,957,995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25,263</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ind w:left="1160"/>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25,263</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25,263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Subsequent Events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July 25, 2023 we executed our third securitization of 2023. In the transaction, qualified institutional buyers purchased $291.7 million of asset-backed notes secured by $312.7 million in automobile receivables originated by CPS. The sold notes, issued by CPS Auto Receivables Trust 2023-C, consist of five classes. Ratings of the notes were provided by Standard &amp; Poor’s and DBRS Morningstar, and were based on the structure of the transaction, the historical performance of similar receivables and CPS’s experience as a servicer. The weighted average yield on the notes is approximately 7.13%.</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2023-C transaction has initial credit enhancement consisting of a cash deposit equal to 1.00% of the original receivable pool balance and overcollateralization of 6.70%. The transaction agreements require accelerated payment of principal on the notes to reach overcollateralization of the lesser of 9.70% of the original receivable pool balance, or 21.50% of the then outstanding pool balance. The transaction was a private offering of securities, not registered under the Securities Act of 1933, or any state securities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130"/>
        <w:spacing w:after="0" w:line="253" w:lineRule="auto"/>
        <w:rPr>
          <w:sz w:val="20"/>
          <w:szCs w:val="20"/>
          <w:color w:val="auto"/>
        </w:rPr>
      </w:pPr>
      <w:r>
        <w:rPr>
          <w:rFonts w:ascii="Arial" w:cs="Arial" w:eastAsia="Arial" w:hAnsi="Arial"/>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also originate vehicle purchase money loans by lending directly to consumers and have (i) acquired installment purchase contracts in four merger and acquisition transactions, and (ii) purchased immaterial amounts of vehicle purchase money loans from non-affiliated lenders. In this report, we refer to all of such contracts and loans as "automobile contracts."</w:t>
      </w:r>
    </w:p>
    <w:p>
      <w:pPr>
        <w:spacing w:after="0" w:line="196" w:lineRule="exact"/>
        <w:rPr>
          <w:sz w:val="20"/>
          <w:szCs w:val="20"/>
          <w:color w:val="auto"/>
        </w:rPr>
      </w:pPr>
    </w:p>
    <w:p>
      <w:pPr>
        <w:jc w:val="both"/>
        <w:ind w:firstLine="130"/>
        <w:spacing w:after="0" w:line="301" w:lineRule="auto"/>
        <w:rPr>
          <w:sz w:val="20"/>
          <w:szCs w:val="20"/>
          <w:color w:val="auto"/>
        </w:rPr>
      </w:pPr>
      <w:r>
        <w:rPr>
          <w:rFonts w:ascii="Arial" w:cs="Arial" w:eastAsia="Arial" w:hAnsi="Arial"/>
          <w:sz w:val="16"/>
          <w:szCs w:val="16"/>
          <w:color w:val="auto"/>
        </w:rPr>
        <w:t>We were incorporated and began our operations in March 1991. From inception through June 30, 2023, we have originated a total of approximately $20.7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2011. Recent contract purchase volumes and managed portfolio levels are shown in the table below:</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 Purchases and Outstanding Managed Portfolio</w:t>
      </w:r>
    </w:p>
    <w:p>
      <w:pPr>
        <w:spacing w:after="0" w:line="243"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4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60" w:type="dxa"/>
            <w:vAlign w:val="bottom"/>
            <w:gridSpan w:val="4"/>
          </w:tcPr>
          <w:p>
            <w:pPr>
              <w:ind w:left="116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4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Borders>
              <w:top w:val="single" w:sz="8" w:color="auto"/>
            </w:tcBorders>
          </w:tcPr>
          <w:p>
            <w:pPr>
              <w:jc w:val="right"/>
              <w:ind w:right="330"/>
              <w:spacing w:after="0" w:line="191" w:lineRule="exact"/>
              <w:rPr>
                <w:sz w:val="20"/>
                <w:szCs w:val="20"/>
                <w:color w:val="auto"/>
              </w:rPr>
            </w:pPr>
            <w:r>
              <w:rPr>
                <w:rFonts w:ascii="Arial" w:cs="Arial" w:eastAsia="Arial" w:hAnsi="Arial"/>
                <w:sz w:val="18"/>
                <w:szCs w:val="18"/>
                <w:b w:val="1"/>
                <w:bCs w:val="1"/>
                <w:color w:val="auto"/>
              </w:rPr>
              <w:t>Contracts</w:t>
            </w:r>
          </w:p>
        </w:tc>
        <w:tc>
          <w:tcPr>
            <w:tcW w:w="16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Managed Portfolio</w:t>
            </w:r>
          </w:p>
        </w:tc>
        <w:tc>
          <w:tcPr>
            <w:tcW w:w="80" w:type="dxa"/>
            <w:vAlign w:val="bottom"/>
          </w:tcPr>
          <w:p>
            <w:pPr>
              <w:spacing w:after="0"/>
              <w:rPr>
                <w:sz w:val="16"/>
                <w:szCs w:val="16"/>
                <w:color w:val="auto"/>
              </w:rPr>
            </w:pPr>
          </w:p>
        </w:tc>
      </w:tr>
      <w:tr>
        <w:trPr>
          <w:trHeight w:val="234"/>
        </w:trPr>
        <w:tc>
          <w:tcPr>
            <w:tcW w:w="4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Period</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w w:val="89"/>
              </w:rPr>
              <w:t>Purchased in Period</w:t>
            </w:r>
          </w:p>
        </w:tc>
        <w:tc>
          <w:tcPr>
            <w:tcW w:w="160" w:type="dxa"/>
            <w:vAlign w:val="bottom"/>
          </w:tcPr>
          <w:p>
            <w:pPr>
              <w:spacing w:after="0"/>
              <w:rPr>
                <w:sz w:val="20"/>
                <w:szCs w:val="20"/>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at Period End</w:t>
            </w:r>
          </w:p>
        </w:tc>
      </w:tr>
      <w:tr>
        <w:trPr>
          <w:trHeight w:val="209"/>
        </w:trPr>
        <w:tc>
          <w:tcPr>
            <w:tcW w:w="48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2017</w:t>
            </w:r>
          </w:p>
        </w:tc>
        <w:tc>
          <w:tcPr>
            <w:tcW w:w="8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859,069</w:t>
            </w:r>
          </w:p>
        </w:tc>
        <w:tc>
          <w:tcPr>
            <w:tcW w:w="160" w:type="dxa"/>
            <w:vAlign w:val="bottom"/>
            <w:tcBorders>
              <w:top w:val="single" w:sz="8" w:color="EEEEEE"/>
            </w:tcBorders>
            <w:shd w:val="clear" w:color="auto" w:fill="EEEEEE"/>
          </w:tcPr>
          <w:p>
            <w:pPr>
              <w:spacing w:after="0"/>
              <w:rPr>
                <w:sz w:val="18"/>
                <w:szCs w:val="18"/>
                <w:color w:val="auto"/>
              </w:rPr>
            </w:pPr>
          </w:p>
        </w:tc>
        <w:tc>
          <w:tcPr>
            <w:tcW w:w="16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2,333,530</w:t>
            </w: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48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902,416</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2,380,847</w:t>
            </w:r>
          </w:p>
        </w:tc>
        <w:tc>
          <w:tcPr>
            <w:tcW w:w="80" w:type="dxa"/>
            <w:vAlign w:val="bottom"/>
          </w:tcPr>
          <w:p>
            <w:pPr>
              <w:spacing w:after="0"/>
              <w:rPr>
                <w:sz w:val="18"/>
                <w:szCs w:val="18"/>
                <w:color w:val="auto"/>
              </w:rPr>
            </w:pPr>
          </w:p>
        </w:tc>
      </w:tr>
      <w:tr>
        <w:trPr>
          <w:trHeight w:val="216"/>
        </w:trPr>
        <w:tc>
          <w:tcPr>
            <w:tcW w:w="48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2019</w:t>
            </w:r>
          </w:p>
        </w:tc>
        <w:tc>
          <w:tcPr>
            <w:tcW w:w="8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1,002,782</w:t>
            </w:r>
          </w:p>
        </w:tc>
        <w:tc>
          <w:tcPr>
            <w:tcW w:w="1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2,416,042</w:t>
            </w:r>
          </w:p>
        </w:tc>
        <w:tc>
          <w:tcPr>
            <w:tcW w:w="80" w:type="dxa"/>
            <w:vAlign w:val="bottom"/>
            <w:shd w:val="clear" w:color="auto" w:fill="EEEEEE"/>
          </w:tcPr>
          <w:p>
            <w:pPr>
              <w:spacing w:after="0"/>
              <w:rPr>
                <w:sz w:val="18"/>
                <w:szCs w:val="18"/>
                <w:color w:val="auto"/>
              </w:rPr>
            </w:pPr>
          </w:p>
        </w:tc>
      </w:tr>
      <w:tr>
        <w:trPr>
          <w:trHeight w:val="216"/>
        </w:trPr>
        <w:tc>
          <w:tcPr>
            <w:tcW w:w="48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742,584</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2,174,972</w:t>
            </w:r>
          </w:p>
        </w:tc>
        <w:tc>
          <w:tcPr>
            <w:tcW w:w="80" w:type="dxa"/>
            <w:vAlign w:val="bottom"/>
          </w:tcPr>
          <w:p>
            <w:pPr>
              <w:spacing w:after="0"/>
              <w:rPr>
                <w:sz w:val="18"/>
                <w:szCs w:val="18"/>
                <w:color w:val="auto"/>
              </w:rPr>
            </w:pPr>
          </w:p>
        </w:tc>
      </w:tr>
      <w:tr>
        <w:trPr>
          <w:trHeight w:val="216"/>
        </w:trPr>
        <w:tc>
          <w:tcPr>
            <w:tcW w:w="48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2021</w:t>
            </w:r>
          </w:p>
        </w:tc>
        <w:tc>
          <w:tcPr>
            <w:tcW w:w="8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1,146,321</w:t>
            </w:r>
          </w:p>
        </w:tc>
        <w:tc>
          <w:tcPr>
            <w:tcW w:w="1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2,249,069</w:t>
            </w:r>
          </w:p>
        </w:tc>
        <w:tc>
          <w:tcPr>
            <w:tcW w:w="80" w:type="dxa"/>
            <w:vAlign w:val="bottom"/>
            <w:shd w:val="clear" w:color="auto" w:fill="EEEEEE"/>
          </w:tcPr>
          <w:p>
            <w:pPr>
              <w:spacing w:after="0"/>
              <w:rPr>
                <w:sz w:val="18"/>
                <w:szCs w:val="18"/>
                <w:color w:val="auto"/>
              </w:rPr>
            </w:pPr>
          </w:p>
        </w:tc>
      </w:tr>
      <w:tr>
        <w:trPr>
          <w:trHeight w:val="216"/>
        </w:trPr>
        <w:tc>
          <w:tcPr>
            <w:tcW w:w="488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1,845,385</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3,001,308</w:t>
            </w:r>
          </w:p>
        </w:tc>
        <w:tc>
          <w:tcPr>
            <w:tcW w:w="80" w:type="dxa"/>
            <w:vAlign w:val="bottom"/>
          </w:tcPr>
          <w:p>
            <w:pPr>
              <w:spacing w:after="0"/>
              <w:rPr>
                <w:sz w:val="18"/>
                <w:szCs w:val="18"/>
                <w:color w:val="auto"/>
              </w:rPr>
            </w:pPr>
          </w:p>
        </w:tc>
      </w:tr>
      <w:tr>
        <w:trPr>
          <w:trHeight w:val="216"/>
        </w:trPr>
        <w:tc>
          <w:tcPr>
            <w:tcW w:w="49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Six months ended June 30, 2023</w:t>
            </w: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733,537</w:t>
            </w:r>
          </w:p>
        </w:tc>
        <w:tc>
          <w:tcPr>
            <w:tcW w:w="1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3,150,108</w:t>
            </w:r>
          </w:p>
        </w:tc>
        <w:tc>
          <w:tcPr>
            <w:tcW w:w="80" w:type="dxa"/>
            <w:vAlign w:val="bottom"/>
            <w:shd w:val="clear" w:color="auto" w:fill="EEEEEE"/>
          </w:tcPr>
          <w:p>
            <w:pPr>
              <w:spacing w:after="0"/>
              <w:rPr>
                <w:sz w:val="18"/>
                <w:szCs w:val="18"/>
                <w:color w:val="auto"/>
              </w:rPr>
            </w:pPr>
          </w:p>
        </w:tc>
      </w:tr>
    </w:tbl>
    <w:p>
      <w:pPr>
        <w:spacing w:after="0" w:line="202"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In May 2021 we began purchasing some contracts for immediate sale to a third-party to whom we refer applications that don’t meet our lending criteria. We service all such contracts on behalf of the third-party. We earn fees for originating the receivable and also servicing fees on active accounts in the third-party portfolio. For the six months ended June 30, 2023, we originated $70.8 million under this third-party program. As of June 30, 2023, our managed portfolio includes $239.8 million of such third-party receivables.</w:t>
      </w:r>
    </w:p>
    <w:p>
      <w:pPr>
        <w:spacing w:after="0" w:line="187"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and Nevada branches. We service our automobile contracts from our California, Nevada, Virginia, Florida and Illinois branches.</w:t>
      </w:r>
    </w:p>
    <w:p>
      <w:pPr>
        <w:spacing w:after="0" w:line="184"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jc w:val="both"/>
        <w:ind w:firstLine="162"/>
        <w:spacing w:after="0" w:line="296" w:lineRule="auto"/>
        <w:rPr>
          <w:sz w:val="20"/>
          <w:szCs w:val="20"/>
          <w:color w:val="auto"/>
        </w:rPr>
      </w:pPr>
      <w:r>
        <w:rPr>
          <w:rFonts w:ascii="Arial" w:cs="Arial" w:eastAsia="Arial" w:hAnsi="Arial"/>
          <w:sz w:val="16"/>
          <w:szCs w:val="16"/>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 All of our active securitizations are structured as secured financings.</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after 2017 we take account of estimated credit losses in our computation of a level yield used to determine recognition of interest on the contracts. For contracts acquired before 2018, we adopted CECL on January 1, 2020 and we may, as circumstances warrant, record or reverse expense provisions for credit losses.</w:t>
      </w:r>
    </w:p>
    <w:p>
      <w:pPr>
        <w:spacing w:after="0" w:line="161"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Since 1994 we have conducted 97 term securitizations of automobile contracts that we originated. As of June 30, 2023, 18 of those securitizations are active and all are structured as secured financings. We have generally conducted our securitizations on a quarterly basis, near the end of each calendar quarter, resulting in four securitizations per calendar year. However, in 2020, we closed only three term securitization transactions in that calendar year rather than four.</w:t>
      </w:r>
    </w:p>
    <w:p>
      <w:pPr>
        <w:spacing w:after="0" w:line="187"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6220" w:type="dxa"/>
            <w:vAlign w:val="bottom"/>
            <w:gridSpan w:val="3"/>
          </w:tcPr>
          <w:p>
            <w:pPr>
              <w:spacing w:after="0"/>
              <w:rPr>
                <w:sz w:val="20"/>
                <w:szCs w:val="20"/>
                <w:color w:val="auto"/>
              </w:rPr>
            </w:pPr>
            <w:r>
              <w:rPr>
                <w:rFonts w:ascii="Arial" w:cs="Arial" w:eastAsia="Arial" w:hAnsi="Arial"/>
                <w:sz w:val="18"/>
                <w:szCs w:val="18"/>
                <w:color w:val="auto"/>
              </w:rPr>
              <w:t>Our recent history of term securitizations is summarized in the table below:</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620" w:type="dxa"/>
            <w:vAlign w:val="bottom"/>
            <w:gridSpan w:val="3"/>
          </w:tcPr>
          <w:p>
            <w:pPr>
              <w:ind w:left="2580"/>
              <w:spacing w:after="0"/>
              <w:rPr>
                <w:sz w:val="20"/>
                <w:szCs w:val="20"/>
                <w:color w:val="auto"/>
              </w:rPr>
            </w:pPr>
            <w:r>
              <w:rPr>
                <w:rFonts w:ascii="Arial" w:cs="Arial" w:eastAsia="Arial" w:hAnsi="Arial"/>
                <w:sz w:val="18"/>
                <w:szCs w:val="18"/>
                <w:b w:val="1"/>
                <w:bCs w:val="1"/>
                <w:color w:val="auto"/>
              </w:rPr>
              <w:t>Recent Asset-Backed Term Securitizations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12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80" w:type="dxa"/>
            <w:vAlign w:val="bottom"/>
            <w:tcBorders>
              <w:bottom w:val="single" w:sz="8" w:color="auto"/>
            </w:tcBorders>
            <w:gridSpan w:val="5"/>
          </w:tcPr>
          <w:p>
            <w:pPr>
              <w:ind w:left="122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128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87"/>
              </w:rPr>
              <w:t>Receivables Pledged</w:t>
            </w:r>
          </w:p>
        </w:tc>
      </w:tr>
      <w:tr>
        <w:trPr>
          <w:trHeight w:val="216"/>
        </w:trPr>
        <w:tc>
          <w:tcPr>
            <w:tcW w:w="12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Number of Term</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 Term</w:t>
            </w:r>
          </w:p>
        </w:tc>
      </w:tr>
      <w:tr>
        <w:trPr>
          <w:trHeight w:val="234"/>
        </w:trPr>
        <w:tc>
          <w:tcPr>
            <w:tcW w:w="1280" w:type="dxa"/>
            <w:vAlign w:val="bottom"/>
          </w:tcPr>
          <w:p>
            <w:pPr>
              <w:spacing w:after="0"/>
              <w:rPr>
                <w:sz w:val="20"/>
                <w:szCs w:val="20"/>
                <w:color w:val="auto"/>
              </w:rPr>
            </w:pPr>
          </w:p>
        </w:tc>
        <w:tc>
          <w:tcPr>
            <w:tcW w:w="49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Period</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Securitizations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Securitizations</w:t>
            </w:r>
          </w:p>
        </w:tc>
      </w:tr>
      <w:tr>
        <w:trPr>
          <w:trHeight w:val="209"/>
        </w:trPr>
        <w:tc>
          <w:tcPr>
            <w:tcW w:w="1280" w:type="dxa"/>
            <w:vAlign w:val="bottom"/>
          </w:tcPr>
          <w:p>
            <w:pPr>
              <w:spacing w:after="0"/>
              <w:rPr>
                <w:sz w:val="18"/>
                <w:szCs w:val="18"/>
                <w:color w:val="auto"/>
              </w:rPr>
            </w:pPr>
          </w:p>
        </w:tc>
        <w:tc>
          <w:tcPr>
            <w:tcW w:w="48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2017</w:t>
            </w:r>
          </w:p>
        </w:tc>
        <w:tc>
          <w:tcPr>
            <w:tcW w:w="8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870,000</w:t>
            </w: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883,452</w:t>
            </w:r>
          </w:p>
        </w:tc>
        <w:tc>
          <w:tcPr>
            <w:tcW w:w="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48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2019</w:t>
            </w:r>
          </w:p>
        </w:tc>
        <w:tc>
          <w:tcPr>
            <w:tcW w:w="80" w:type="dxa"/>
            <w:vAlign w:val="bottom"/>
            <w:shd w:val="clear" w:color="auto" w:fill="EEEEEE"/>
          </w:tcPr>
          <w:p>
            <w:pPr>
              <w:spacing w:after="0"/>
              <w:rPr>
                <w:sz w:val="18"/>
                <w:szCs w:val="18"/>
                <w:color w:val="auto"/>
              </w:rPr>
            </w:pPr>
          </w:p>
        </w:tc>
        <w:tc>
          <w:tcPr>
            <w:tcW w:w="1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1,014,124</w:t>
            </w:r>
          </w:p>
        </w:tc>
        <w:tc>
          <w:tcPr>
            <w:tcW w:w="80" w:type="dxa"/>
            <w:vAlign w:val="bottom"/>
            <w:shd w:val="clear" w:color="auto" w:fill="EEEEEE"/>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741,867</w:t>
            </w:r>
          </w:p>
        </w:tc>
        <w:tc>
          <w:tcPr>
            <w:tcW w:w="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48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2021</w:t>
            </w:r>
          </w:p>
        </w:tc>
        <w:tc>
          <w:tcPr>
            <w:tcW w:w="80" w:type="dxa"/>
            <w:vAlign w:val="bottom"/>
            <w:shd w:val="clear" w:color="auto" w:fill="EEEEEE"/>
          </w:tcPr>
          <w:p>
            <w:pPr>
              <w:spacing w:after="0"/>
              <w:rPr>
                <w:sz w:val="18"/>
                <w:szCs w:val="18"/>
                <w:color w:val="auto"/>
              </w:rPr>
            </w:pPr>
          </w:p>
        </w:tc>
        <w:tc>
          <w:tcPr>
            <w:tcW w:w="1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1,145,002</w:t>
            </w:r>
          </w:p>
        </w:tc>
        <w:tc>
          <w:tcPr>
            <w:tcW w:w="80" w:type="dxa"/>
            <w:vAlign w:val="bottom"/>
            <w:shd w:val="clear" w:color="auto" w:fill="EEEEEE"/>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1,537,383</w:t>
            </w:r>
          </w:p>
        </w:tc>
        <w:tc>
          <w:tcPr>
            <w:tcW w:w="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4940" w:type="dxa"/>
            <w:vAlign w:val="bottom"/>
            <w:gridSpan w:val="2"/>
            <w:shd w:val="clear" w:color="auto" w:fill="EEEEEE"/>
          </w:tcPr>
          <w:p>
            <w:pPr>
              <w:jc w:val="center"/>
              <w:ind w:right="80"/>
              <w:spacing w:after="0"/>
              <w:rPr>
                <w:sz w:val="20"/>
                <w:szCs w:val="20"/>
                <w:color w:val="auto"/>
              </w:rPr>
            </w:pPr>
            <w:r>
              <w:rPr>
                <w:rFonts w:ascii="Arial" w:cs="Arial" w:eastAsia="Arial" w:hAnsi="Arial"/>
                <w:sz w:val="18"/>
                <w:szCs w:val="18"/>
                <w:color w:val="auto"/>
                <w:w w:val="88"/>
              </w:rPr>
              <w:t>Six months ended June 30, 2023</w:t>
            </w:r>
          </w:p>
        </w:tc>
        <w:tc>
          <w:tcPr>
            <w:tcW w:w="16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732,733</w:t>
            </w:r>
          </w:p>
        </w:tc>
        <w:tc>
          <w:tcPr>
            <w:tcW w:w="80" w:type="dxa"/>
            <w:vAlign w:val="bottom"/>
            <w:shd w:val="clear" w:color="auto" w:fill="EEEEEE"/>
          </w:tcPr>
          <w:p>
            <w:pPr>
              <w:spacing w:after="0"/>
              <w:rPr>
                <w:sz w:val="18"/>
                <w:szCs w:val="18"/>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Generally, prior to a securitization transaction we fund our automobile contract purchases primarily with proceeds from warehouse credit facilities. We currently have short-term funding capacity of $400 million over two credit facilities. The first credit facility was established in May 2012. This facility was most recently renewed in July 2022, extending the revolving period to July 2024, with an optional amortization period through July 2025. In addition, the capacity was doubled from $100 million to $200 million at the July 2022 renewal.</w:t>
      </w:r>
    </w:p>
    <w:p>
      <w:pPr>
        <w:spacing w:after="0" w:line="187"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 November 2015, we entered into another $100 million facility. This facility was most recently renewed in January 2022, extending the revolving period to January 2024, followed by an amortization period to January 2026. In June 2022, we doubled the capacity for this facility from $100 million to $200 million.</w:t>
      </w:r>
    </w:p>
    <w:p>
      <w:pPr>
        <w:spacing w:after="0" w:line="184"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jc w:val="both"/>
        <w:ind w:firstLine="130"/>
        <w:spacing w:after="0" w:line="259" w:lineRule="auto"/>
        <w:rPr>
          <w:sz w:val="20"/>
          <w:szCs w:val="20"/>
          <w:color w:val="auto"/>
        </w:rPr>
      </w:pPr>
      <w:r>
        <w:rPr>
          <w:rFonts w:ascii="Arial" w:cs="Arial" w:eastAsia="Arial" w:hAnsi="Arial"/>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Receivables we originate and service for third-parties are not pledged to our warehouse facilities or included in our securitizations.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162"/>
        <w:spacing w:after="0" w:line="296" w:lineRule="auto"/>
        <w:rPr>
          <w:sz w:val="20"/>
          <w:szCs w:val="20"/>
          <w:color w:val="auto"/>
        </w:rPr>
      </w:pPr>
      <w:r>
        <w:rPr>
          <w:rFonts w:ascii="Arial" w:cs="Arial" w:eastAsia="Arial" w:hAnsi="Arial"/>
          <w:sz w:val="16"/>
          <w:szCs w:val="16"/>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June 30, 2023, we were in compliance with all such covenants.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three months ended June 30, 2023 with the three months ended June 30, 2022</w:t>
      </w:r>
    </w:p>
    <w:p>
      <w:pPr>
        <w:spacing w:after="0" w:line="225"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i w:val="1"/>
          <w:iCs w:val="1"/>
          <w:color w:val="auto"/>
        </w:rPr>
        <w:t>Revenues</w:t>
      </w:r>
      <w:r>
        <w:rPr>
          <w:rFonts w:ascii="Arial" w:cs="Arial" w:eastAsia="Arial" w:hAnsi="Arial"/>
          <w:sz w:val="17"/>
          <w:szCs w:val="17"/>
          <w:color w:val="auto"/>
        </w:rPr>
        <w:t>. During the three months ended June 30, 2023, our revenues were $84.9 million, an increase of $2.9 million, or 3.5%, from the prior year</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of $82.0 million. The primary reason for the increase in revenues is the increase in interest income resulting from the increase in the average outstanding balance of finance receivables measured at fair value. Revenues for the prior year period include a $4.7 million mark up to the recorded value of the finance receivables measured at fair value. The marks are estimates based on our evaluation of the appropriate fair value and future earnings rate of existing receivables compared to recently acquired receivables and increases or decreases in our estimates of future net losses. Our evaluation of the finance receivables measured at fair value resulted in no mark up or mark down to the fair value portfolio in the current year period.</w:t>
      </w:r>
    </w:p>
    <w:p>
      <w:pPr>
        <w:spacing w:after="0" w:line="178"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Interest income for the three months ended June 30, 2023 increased $7.0 million, or 9.2%, to $82.6 million from $75.7 million in the prior year. The primary reason for the increase in interest income is the 17.6% increase in the average balance of our loan portfolio over the prior year period. The interest yield on our total loan portfolio decreased from 12.3% in the prior year period to 11.4% in the current year period. The receivables measured at fair value make up a larger portion of our total loan portfolio in the current year period and this is the primary reason for the decrease in total interest yield. The interest yield on receivables measured at fair value is reduced to take account of expected losses and is therefore less than the yield on other finance receivables. The table below shows the average balance and interest yield of our loan portfolio for the three months ended June 30, 2023 and 2022: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Three Months Ended June 30,</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6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4"/>
          </w:tcPr>
          <w:p>
            <w:pPr>
              <w:jc w:val="center"/>
              <w:spacing w:after="0" w:line="191" w:lineRule="exact"/>
              <w:rPr>
                <w:sz w:val="20"/>
                <w:szCs w:val="20"/>
                <w:color w:val="auto"/>
              </w:rPr>
            </w:pPr>
            <w:r>
              <w:rPr>
                <w:rFonts w:ascii="Arial" w:cs="Arial" w:eastAsia="Arial" w:hAnsi="Arial"/>
                <w:sz w:val="18"/>
                <w:szCs w:val="18"/>
                <w:color w:val="auto"/>
                <w:w w:val="91"/>
              </w:rPr>
              <w:t>(Dollars in thousands)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6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Average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2"/>
              </w:rPr>
              <w:t>Interest</w:t>
            </w:r>
          </w:p>
        </w:tc>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Average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Interest</w:t>
            </w:r>
          </w:p>
        </w:tc>
      </w:tr>
      <w:tr>
        <w:trPr>
          <w:trHeight w:val="234"/>
        </w:trPr>
        <w:tc>
          <w:tcPr>
            <w:tcW w:w="6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Balance</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Interest</w:t>
            </w:r>
          </w:p>
        </w:tc>
        <w:tc>
          <w:tcPr>
            <w:tcW w:w="15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2"/>
              </w:rPr>
              <w:t>Yield</w:t>
            </w:r>
          </w:p>
        </w:tc>
        <w:tc>
          <w:tcPr>
            <w:tcW w:w="960" w:type="dxa"/>
            <w:vAlign w:val="bottom"/>
          </w:tcPr>
          <w:p>
            <w:pPr>
              <w:ind w:left="80"/>
              <w:spacing w:after="0"/>
              <w:rPr>
                <w:sz w:val="20"/>
                <w:szCs w:val="20"/>
                <w:color w:val="auto"/>
              </w:rPr>
            </w:pPr>
            <w:r>
              <w:rPr>
                <w:rFonts w:ascii="Arial" w:cs="Arial" w:eastAsia="Arial" w:hAnsi="Arial"/>
                <w:sz w:val="18"/>
                <w:szCs w:val="18"/>
                <w:b w:val="1"/>
                <w:bCs w:val="1"/>
                <w:color w:val="auto"/>
              </w:rPr>
              <w:t>Balance</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Yield</w:t>
            </w:r>
          </w:p>
        </w:tc>
      </w:tr>
      <w:tr>
        <w:trPr>
          <w:trHeight w:val="190"/>
        </w:trPr>
        <w:tc>
          <w:tcPr>
            <w:tcW w:w="680" w:type="dxa"/>
            <w:vAlign w:val="bottom"/>
            <w:tcBorders>
              <w:bottom w:val="single" w:sz="8" w:color="EEEEEE"/>
            </w:tcBorders>
            <w:shd w:val="clear" w:color="auto" w:fill="EEEEEE"/>
          </w:tcPr>
          <w:p>
            <w:pPr>
              <w:spacing w:after="0"/>
              <w:rPr>
                <w:sz w:val="16"/>
                <w:szCs w:val="16"/>
                <w:color w:val="auto"/>
              </w:rPr>
            </w:pPr>
          </w:p>
        </w:tc>
        <w:tc>
          <w:tcPr>
            <w:tcW w:w="1800" w:type="dxa"/>
            <w:vAlign w:val="bottom"/>
            <w:tcBorders>
              <w:bottom w:val="single" w:sz="8" w:color="auto"/>
            </w:tcBorders>
            <w:shd w:val="clear" w:color="auto" w:fill="EEEEEE"/>
          </w:tcPr>
          <w:p>
            <w:pPr>
              <w:spacing w:after="0" w:line="169" w:lineRule="exact"/>
              <w:rPr>
                <w:sz w:val="20"/>
                <w:szCs w:val="20"/>
                <w:color w:val="auto"/>
              </w:rPr>
            </w:pPr>
            <w:r>
              <w:rPr>
                <w:rFonts w:ascii="Arial" w:cs="Arial" w:eastAsia="Arial" w:hAnsi="Arial"/>
                <w:sz w:val="18"/>
                <w:szCs w:val="18"/>
                <w:b w:val="1"/>
                <w:bCs w:val="1"/>
                <w:color w:val="auto"/>
                <w:w w:val="88"/>
              </w:rPr>
              <w:t>Interest Earning Assets</w:t>
            </w:r>
          </w:p>
        </w:tc>
        <w:tc>
          <w:tcPr>
            <w:tcW w:w="780" w:type="dxa"/>
            <w:vAlign w:val="bottom"/>
            <w:tcBorders>
              <w:bottom w:val="single" w:sz="8" w:color="EEEEEE"/>
            </w:tcBorders>
            <w:shd w:val="clear" w:color="auto" w:fill="EEEEEE"/>
          </w:tcPr>
          <w:p>
            <w:pPr>
              <w:spacing w:after="0"/>
              <w:rPr>
                <w:sz w:val="16"/>
                <w:szCs w:val="16"/>
                <w:color w:val="auto"/>
              </w:rPr>
            </w:pPr>
          </w:p>
        </w:tc>
        <w:tc>
          <w:tcPr>
            <w:tcW w:w="180" w:type="dxa"/>
            <w:vAlign w:val="bottom"/>
            <w:tcBorders>
              <w:top w:val="single" w:sz="8" w:color="auto"/>
              <w:bottom w:val="single" w:sz="8" w:color="EEEEEE"/>
            </w:tcBorders>
            <w:shd w:val="clear" w:color="auto" w:fill="EEEEEE"/>
          </w:tcPr>
          <w:p>
            <w:pPr>
              <w:spacing w:after="0"/>
              <w:rPr>
                <w:sz w:val="16"/>
                <w:szCs w:val="16"/>
                <w:color w:val="auto"/>
              </w:rPr>
            </w:pPr>
          </w:p>
        </w:tc>
        <w:tc>
          <w:tcPr>
            <w:tcW w:w="960" w:type="dxa"/>
            <w:vAlign w:val="bottom"/>
            <w:tcBorders>
              <w:top w:val="single" w:sz="8" w:color="auto"/>
              <w:bottom w:val="single" w:sz="8" w:color="EEEEEE"/>
            </w:tcBorders>
            <w:shd w:val="clear" w:color="auto" w:fill="EEEEEE"/>
          </w:tcPr>
          <w:p>
            <w:pPr>
              <w:spacing w:after="0"/>
              <w:rPr>
                <w:sz w:val="16"/>
                <w:szCs w:val="16"/>
                <w:color w:val="auto"/>
              </w:rPr>
            </w:pPr>
          </w:p>
        </w:tc>
        <w:tc>
          <w:tcPr>
            <w:tcW w:w="220" w:type="dxa"/>
            <w:vAlign w:val="bottom"/>
            <w:tcBorders>
              <w:bottom w:val="single" w:sz="8" w:color="EEEEEE"/>
            </w:tcBorders>
            <w:shd w:val="clear" w:color="auto" w:fill="EEEEEE"/>
          </w:tcPr>
          <w:p>
            <w:pPr>
              <w:spacing w:after="0"/>
              <w:rPr>
                <w:sz w:val="16"/>
                <w:szCs w:val="16"/>
                <w:color w:val="auto"/>
              </w:rPr>
            </w:pPr>
          </w:p>
        </w:tc>
        <w:tc>
          <w:tcPr>
            <w:tcW w:w="160" w:type="dxa"/>
            <w:vAlign w:val="bottom"/>
            <w:tcBorders>
              <w:top w:val="single" w:sz="8" w:color="auto"/>
              <w:bottom w:val="single" w:sz="8" w:color="EEEEEE"/>
            </w:tcBorders>
            <w:shd w:val="clear" w:color="auto" w:fill="EEEEEE"/>
          </w:tcPr>
          <w:p>
            <w:pPr>
              <w:spacing w:after="0"/>
              <w:rPr>
                <w:sz w:val="16"/>
                <w:szCs w:val="16"/>
                <w:color w:val="auto"/>
              </w:rPr>
            </w:pPr>
          </w:p>
        </w:tc>
        <w:tc>
          <w:tcPr>
            <w:tcW w:w="960" w:type="dxa"/>
            <w:vAlign w:val="bottom"/>
            <w:tcBorders>
              <w:top w:val="single" w:sz="8" w:color="auto"/>
              <w:bottom w:val="single" w:sz="8" w:color="EEEEEE"/>
            </w:tcBorders>
            <w:shd w:val="clear" w:color="auto" w:fill="EEEEEE"/>
          </w:tcPr>
          <w:p>
            <w:pPr>
              <w:spacing w:after="0"/>
              <w:rPr>
                <w:sz w:val="16"/>
                <w:szCs w:val="16"/>
                <w:color w:val="auto"/>
              </w:rPr>
            </w:pPr>
          </w:p>
        </w:tc>
        <w:tc>
          <w:tcPr>
            <w:tcW w:w="220" w:type="dxa"/>
            <w:vAlign w:val="bottom"/>
            <w:tcBorders>
              <w:bottom w:val="single" w:sz="8" w:color="EEEEEE"/>
            </w:tcBorders>
            <w:shd w:val="clear" w:color="auto" w:fill="EEEEEE"/>
          </w:tcPr>
          <w:p>
            <w:pPr>
              <w:spacing w:after="0"/>
              <w:rPr>
                <w:sz w:val="16"/>
                <w:szCs w:val="16"/>
                <w:color w:val="auto"/>
              </w:rPr>
            </w:pPr>
          </w:p>
        </w:tc>
        <w:tc>
          <w:tcPr>
            <w:tcW w:w="1120" w:type="dxa"/>
            <w:vAlign w:val="bottom"/>
            <w:tcBorders>
              <w:top w:val="single" w:sz="8" w:color="auto"/>
              <w:bottom w:val="single" w:sz="8" w:color="EEEEEE"/>
            </w:tcBorders>
            <w:shd w:val="clear" w:color="auto" w:fill="EEEEEE"/>
          </w:tcPr>
          <w:p>
            <w:pPr>
              <w:spacing w:after="0"/>
              <w:rPr>
                <w:sz w:val="16"/>
                <w:szCs w:val="16"/>
                <w:color w:val="auto"/>
              </w:rPr>
            </w:pPr>
          </w:p>
        </w:tc>
        <w:tc>
          <w:tcPr>
            <w:tcW w:w="240" w:type="dxa"/>
            <w:vAlign w:val="bottom"/>
            <w:tcBorders>
              <w:bottom w:val="single" w:sz="8" w:color="EEEEEE"/>
            </w:tcBorders>
            <w:shd w:val="clear" w:color="auto" w:fill="EEEEEE"/>
          </w:tcPr>
          <w:p>
            <w:pPr>
              <w:spacing w:after="0"/>
              <w:rPr>
                <w:sz w:val="16"/>
                <w:szCs w:val="16"/>
                <w:color w:val="auto"/>
              </w:rPr>
            </w:pPr>
          </w:p>
        </w:tc>
        <w:tc>
          <w:tcPr>
            <w:tcW w:w="160" w:type="dxa"/>
            <w:vAlign w:val="bottom"/>
            <w:tcBorders>
              <w:top w:val="single" w:sz="8" w:color="auto"/>
              <w:bottom w:val="single" w:sz="8" w:color="EEEEEE"/>
            </w:tcBorders>
            <w:shd w:val="clear" w:color="auto" w:fill="EEEEEE"/>
          </w:tcPr>
          <w:p>
            <w:pPr>
              <w:spacing w:after="0"/>
              <w:rPr>
                <w:sz w:val="16"/>
                <w:szCs w:val="16"/>
                <w:color w:val="auto"/>
              </w:rPr>
            </w:pPr>
          </w:p>
        </w:tc>
        <w:tc>
          <w:tcPr>
            <w:tcW w:w="960" w:type="dxa"/>
            <w:vAlign w:val="bottom"/>
            <w:tcBorders>
              <w:top w:val="single" w:sz="8" w:color="auto"/>
              <w:bottom w:val="single" w:sz="8" w:color="EEEEEE"/>
            </w:tcBorders>
            <w:shd w:val="clear" w:color="auto" w:fill="EEEEEE"/>
          </w:tcPr>
          <w:p>
            <w:pPr>
              <w:spacing w:after="0"/>
              <w:rPr>
                <w:sz w:val="16"/>
                <w:szCs w:val="16"/>
                <w:color w:val="auto"/>
              </w:rPr>
            </w:pPr>
          </w:p>
        </w:tc>
        <w:tc>
          <w:tcPr>
            <w:tcW w:w="220" w:type="dxa"/>
            <w:vAlign w:val="bottom"/>
            <w:tcBorders>
              <w:bottom w:val="single" w:sz="8" w:color="EEEEEE"/>
            </w:tcBorders>
            <w:shd w:val="clear" w:color="auto" w:fill="EEEEEE"/>
          </w:tcPr>
          <w:p>
            <w:pPr>
              <w:spacing w:after="0"/>
              <w:rPr>
                <w:sz w:val="16"/>
                <w:szCs w:val="16"/>
                <w:color w:val="auto"/>
              </w:rPr>
            </w:pPr>
          </w:p>
        </w:tc>
        <w:tc>
          <w:tcPr>
            <w:tcW w:w="180" w:type="dxa"/>
            <w:vAlign w:val="bottom"/>
            <w:tcBorders>
              <w:top w:val="single" w:sz="8" w:color="auto"/>
              <w:bottom w:val="single" w:sz="8" w:color="EEEEEE"/>
            </w:tcBorders>
            <w:shd w:val="clear" w:color="auto" w:fill="EEEEEE"/>
          </w:tcPr>
          <w:p>
            <w:pPr>
              <w:spacing w:after="0"/>
              <w:rPr>
                <w:sz w:val="16"/>
                <w:szCs w:val="16"/>
                <w:color w:val="auto"/>
              </w:rPr>
            </w:pPr>
          </w:p>
        </w:tc>
        <w:tc>
          <w:tcPr>
            <w:tcW w:w="940" w:type="dxa"/>
            <w:vAlign w:val="bottom"/>
            <w:tcBorders>
              <w:top w:val="single" w:sz="8" w:color="auto"/>
              <w:bottom w:val="single" w:sz="8" w:color="EEEEEE"/>
            </w:tcBorders>
            <w:shd w:val="clear" w:color="auto" w:fill="EEEEEE"/>
          </w:tcPr>
          <w:p>
            <w:pPr>
              <w:spacing w:after="0"/>
              <w:rPr>
                <w:sz w:val="16"/>
                <w:szCs w:val="16"/>
                <w:color w:val="auto"/>
              </w:rPr>
            </w:pPr>
          </w:p>
        </w:tc>
        <w:tc>
          <w:tcPr>
            <w:tcW w:w="220" w:type="dxa"/>
            <w:vAlign w:val="bottom"/>
            <w:tcBorders>
              <w:bottom w:val="single" w:sz="8" w:color="EEEEEE"/>
            </w:tcBorders>
            <w:shd w:val="clear" w:color="auto" w:fill="EEEEEE"/>
          </w:tcPr>
          <w:p>
            <w:pPr>
              <w:spacing w:after="0"/>
              <w:rPr>
                <w:sz w:val="16"/>
                <w:szCs w:val="16"/>
                <w:color w:val="auto"/>
              </w:rPr>
            </w:pPr>
          </w:p>
        </w:tc>
        <w:tc>
          <w:tcPr>
            <w:tcW w:w="1140" w:type="dxa"/>
            <w:vAlign w:val="bottom"/>
            <w:tcBorders>
              <w:top w:val="single" w:sz="8" w:color="auto"/>
              <w:bottom w:val="single" w:sz="8" w:color="EEEEEE"/>
            </w:tcBorders>
            <w:shd w:val="clear" w:color="auto" w:fill="EEEEEE"/>
          </w:tcPr>
          <w:p>
            <w:pPr>
              <w:spacing w:after="0"/>
              <w:rPr>
                <w:sz w:val="16"/>
                <w:szCs w:val="16"/>
                <w:color w:val="auto"/>
              </w:rPr>
            </w:pPr>
          </w:p>
        </w:tc>
        <w:tc>
          <w:tcPr>
            <w:tcW w:w="100" w:type="dxa"/>
            <w:vAlign w:val="bottom"/>
            <w:tcBorders>
              <w:bottom w:val="single" w:sz="8" w:color="EEEEEE"/>
            </w:tcBorders>
            <w:shd w:val="clear" w:color="auto" w:fill="EEEEEE"/>
          </w:tcPr>
          <w:p>
            <w:pPr>
              <w:spacing w:after="0"/>
              <w:rPr>
                <w:sz w:val="16"/>
                <w:szCs w:val="16"/>
                <w:color w:val="auto"/>
              </w:rPr>
            </w:pPr>
          </w:p>
        </w:tc>
      </w:tr>
      <w:tr>
        <w:trPr>
          <w:trHeight w:val="230"/>
        </w:trPr>
        <w:tc>
          <w:tcPr>
            <w:tcW w:w="3260" w:type="dxa"/>
            <w:vAlign w:val="bottom"/>
            <w:gridSpan w:val="3"/>
          </w:tcPr>
          <w:p>
            <w:pPr>
              <w:spacing w:after="0"/>
              <w:rPr>
                <w:sz w:val="20"/>
                <w:szCs w:val="20"/>
                <w:color w:val="auto"/>
              </w:rPr>
            </w:pPr>
            <w:r>
              <w:rPr>
                <w:rFonts w:ascii="Arial" w:cs="Arial" w:eastAsia="Arial" w:hAnsi="Arial"/>
                <w:sz w:val="18"/>
                <w:szCs w:val="18"/>
                <w:color w:val="auto"/>
              </w:rPr>
              <w:t>Loan Portfolio</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2,903,988</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82,637</w:t>
            </w: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11.4%   $</w:t>
            </w:r>
          </w:p>
        </w:tc>
        <w:tc>
          <w:tcPr>
            <w:tcW w:w="960" w:type="dxa"/>
            <w:vAlign w:val="bottom"/>
          </w:tcPr>
          <w:p>
            <w:pPr>
              <w:jc w:val="right"/>
              <w:spacing w:after="0"/>
              <w:rPr>
                <w:sz w:val="20"/>
                <w:szCs w:val="20"/>
                <w:color w:val="auto"/>
              </w:rPr>
            </w:pPr>
            <w:r>
              <w:rPr>
                <w:rFonts w:ascii="Arial" w:cs="Arial" w:eastAsia="Arial" w:hAnsi="Arial"/>
                <w:sz w:val="18"/>
                <w:szCs w:val="18"/>
                <w:color w:val="auto"/>
              </w:rPr>
              <w:t>2,469,955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75,670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Other income was $2.2 million for the three months ended June 30, 2023 compared to $1.6 million for the comparable period in 2022. This 34.8% increase was primarily driven by the increase in origination and servicing fees we earned from third party receivables. These fees were $1.9 million for the quarter ended June 30, 2023 compared to $1.2 million in the prior year period.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jc w:val="both"/>
        <w:ind w:firstLine="162"/>
        <w:spacing w:after="0" w:line="254"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interest expense, provision for credit losses, employee costs, sales and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internal rate of return or the recorded value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2"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spacing w:after="0" w:line="18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Total operating expenses were $66.3 million for the three months ended June 30, 2023, compared to $47.8 million for the prior period, an increase of $18.5 million, or 38.6%. The increase is primarily due to increases in interest expense and general and administrative expenses.</w:t>
      </w:r>
    </w:p>
    <w:p>
      <w:pPr>
        <w:spacing w:after="0" w:line="170"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Employee costs were $21.1 million during the three months ended June 30, 2023 compared to $20.6 million for the same quarter in the prior year. The table below summarizes our employees by category as well as contract purchases and units in our managed portfolio as of, and for the three-month periods ended, June 30, 2023 and 2022: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1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 June 30,</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1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6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(Dollars</w:t>
            </w:r>
          </w:p>
        </w:tc>
        <w:tc>
          <w:tcPr>
            <w:tcW w:w="240" w:type="dxa"/>
            <w:vAlign w:val="bottom"/>
          </w:tcPr>
          <w:p>
            <w:pPr>
              <w:ind w:left="20"/>
              <w:spacing w:after="0"/>
              <w:rPr>
                <w:sz w:val="20"/>
                <w:szCs w:val="20"/>
                <w:color w:val="auto"/>
              </w:rPr>
            </w:pPr>
            <w:r>
              <w:rPr>
                <w:rFonts w:ascii="Arial" w:cs="Arial" w:eastAsia="Arial" w:hAnsi="Arial"/>
                <w:sz w:val="18"/>
                <w:szCs w:val="18"/>
                <w:b w:val="1"/>
                <w:bCs w:val="1"/>
                <w:color w:val="auto"/>
              </w:rPr>
              <w:t>in</w:t>
            </w: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millions)</w:t>
            </w: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3320" w:type="dxa"/>
            <w:vAlign w:val="bottom"/>
            <w:gridSpan w:val="2"/>
            <w:shd w:val="clear" w:color="auto" w:fill="EEEEEE"/>
          </w:tcPr>
          <w:p>
            <w:pPr>
              <w:jc w:val="right"/>
              <w:ind w:right="930"/>
              <w:spacing w:after="0"/>
              <w:rPr>
                <w:sz w:val="20"/>
                <w:szCs w:val="20"/>
                <w:color w:val="auto"/>
              </w:rPr>
            </w:pPr>
            <w:r>
              <w:rPr>
                <w:rFonts w:ascii="Arial" w:cs="Arial" w:eastAsia="Arial" w:hAnsi="Arial"/>
                <w:sz w:val="18"/>
                <w:szCs w:val="18"/>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318.4</w:t>
            </w:r>
          </w:p>
        </w:tc>
        <w:tc>
          <w:tcPr>
            <w:tcW w:w="138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548.1</w:t>
            </w:r>
          </w:p>
        </w:tc>
        <w:tc>
          <w:tcPr>
            <w:tcW w:w="100" w:type="dxa"/>
            <w:vAlign w:val="bottom"/>
            <w:shd w:val="clear" w:color="auto" w:fill="EEEEEE"/>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2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15,296</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23,261</w:t>
            </w:r>
          </w:p>
        </w:tc>
        <w:tc>
          <w:tcPr>
            <w:tcW w:w="100" w:type="dxa"/>
            <w:vAlign w:val="bottom"/>
          </w:tcPr>
          <w:p>
            <w:pPr>
              <w:spacing w:after="0"/>
              <w:rPr>
                <w:sz w:val="18"/>
                <w:szCs w:val="18"/>
                <w:color w:val="auto"/>
              </w:rPr>
            </w:pPr>
          </w:p>
        </w:tc>
      </w:tr>
      <w:tr>
        <w:trPr>
          <w:trHeight w:val="216"/>
        </w:trPr>
        <w:tc>
          <w:tcPr>
            <w:tcW w:w="510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3320" w:type="dxa"/>
            <w:vAlign w:val="bottom"/>
            <w:gridSpan w:val="2"/>
            <w:shd w:val="clear" w:color="auto" w:fill="EEEEEE"/>
          </w:tcPr>
          <w:p>
            <w:pPr>
              <w:jc w:val="right"/>
              <w:ind w:right="930"/>
              <w:spacing w:after="0"/>
              <w:rPr>
                <w:sz w:val="20"/>
                <w:szCs w:val="20"/>
                <w:color w:val="auto"/>
              </w:rPr>
            </w:pPr>
            <w:r>
              <w:rPr>
                <w:rFonts w:ascii="Arial" w:cs="Arial" w:eastAsia="Arial" w:hAnsi="Arial"/>
                <w:sz w:val="18"/>
                <w:szCs w:val="18"/>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2,910.3</w:t>
            </w:r>
          </w:p>
        </w:tc>
        <w:tc>
          <w:tcPr>
            <w:tcW w:w="138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2,650.9</w:t>
            </w:r>
          </w:p>
        </w:tc>
        <w:tc>
          <w:tcPr>
            <w:tcW w:w="100" w:type="dxa"/>
            <w:vAlign w:val="bottom"/>
            <w:shd w:val="clear" w:color="auto" w:fill="EEEEEE"/>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2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176,458</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167,146</w:t>
            </w:r>
          </w:p>
        </w:tc>
        <w:tc>
          <w:tcPr>
            <w:tcW w:w="100" w:type="dxa"/>
            <w:vAlign w:val="bottom"/>
          </w:tcPr>
          <w:p>
            <w:pPr>
              <w:spacing w:after="0"/>
              <w:rPr>
                <w:sz w:val="18"/>
                <w:szCs w:val="18"/>
                <w:color w:val="auto"/>
              </w:rPr>
            </w:pPr>
          </w:p>
        </w:tc>
      </w:tr>
      <w:tr>
        <w:trPr>
          <w:trHeight w:val="216"/>
        </w:trPr>
        <w:tc>
          <w:tcPr>
            <w:tcW w:w="5100" w:type="dxa"/>
            <w:vAlign w:val="bottom"/>
            <w:shd w:val="clear" w:color="auto" w:fill="EEEEEE"/>
          </w:tcPr>
          <w:p>
            <w:pPr>
              <w:spacing w:after="0"/>
              <w:rPr>
                <w:sz w:val="18"/>
                <w:szCs w:val="18"/>
                <w:color w:val="auto"/>
              </w:rPr>
            </w:pPr>
          </w:p>
        </w:tc>
        <w:tc>
          <w:tcPr>
            <w:tcW w:w="22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2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r>
      <w:tr>
        <w:trPr>
          <w:trHeight w:val="216"/>
        </w:trPr>
        <w:tc>
          <w:tcPr>
            <w:tcW w:w="5100" w:type="dxa"/>
            <w:vAlign w:val="bottom"/>
            <w:shd w:val="clear" w:color="auto" w:fill="EEEEEE"/>
          </w:tcPr>
          <w:p>
            <w:pPr>
              <w:spacing w:after="0"/>
              <w:rPr>
                <w:sz w:val="20"/>
                <w:szCs w:val="20"/>
                <w:color w:val="auto"/>
              </w:rPr>
            </w:pPr>
            <w:r>
              <w:rPr>
                <w:rFonts w:ascii="Arial" w:cs="Arial" w:eastAsia="Arial" w:hAnsi="Arial"/>
                <w:sz w:val="18"/>
                <w:szCs w:val="18"/>
                <w:color w:val="auto"/>
              </w:rPr>
              <w:t>Number of Sales staff</w:t>
            </w:r>
          </w:p>
        </w:tc>
        <w:tc>
          <w:tcPr>
            <w:tcW w:w="22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EEEEEE"/>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2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448</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8"/>
                <w:szCs w:val="18"/>
                <w:color w:val="auto"/>
              </w:rPr>
            </w:pPr>
          </w:p>
        </w:tc>
      </w:tr>
      <w:tr>
        <w:trPr>
          <w:trHeight w:val="216"/>
        </w:trPr>
        <w:tc>
          <w:tcPr>
            <w:tcW w:w="51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2220" w:type="dxa"/>
            <w:vAlign w:val="bottom"/>
            <w:tcBorders>
              <w:bottom w:val="single" w:sz="8" w:color="EEEEEE"/>
            </w:tcBorders>
            <w:shd w:val="clear" w:color="auto" w:fill="EEEEEE"/>
          </w:tcPr>
          <w:p>
            <w:pPr>
              <w:spacing w:after="0"/>
              <w:rPr>
                <w:sz w:val="18"/>
                <w:szCs w:val="18"/>
                <w:color w:val="auto"/>
              </w:rPr>
            </w:pPr>
          </w:p>
        </w:tc>
        <w:tc>
          <w:tcPr>
            <w:tcW w:w="1100" w:type="dxa"/>
            <w:vAlign w:val="bottom"/>
            <w:tcBorders>
              <w:bottom w:val="single" w:sz="8" w:color="auto"/>
            </w:tcBorders>
            <w:shd w:val="clear" w:color="auto" w:fill="EEEEEE"/>
          </w:tcPr>
          <w:p>
            <w:pPr>
              <w:spacing w:after="0"/>
              <w:rPr>
                <w:sz w:val="18"/>
                <w:szCs w:val="18"/>
                <w:color w:val="auto"/>
              </w:rPr>
            </w:pPr>
          </w:p>
        </w:tc>
        <w:tc>
          <w:tcPr>
            <w:tcW w:w="6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w:t>
            </w:r>
          </w:p>
        </w:tc>
        <w:tc>
          <w:tcPr>
            <w:tcW w:w="240" w:type="dxa"/>
            <w:vAlign w:val="bottom"/>
            <w:tcBorders>
              <w:bottom w:val="single" w:sz="8" w:color="EEEEEE"/>
            </w:tcBorders>
            <w:shd w:val="clear" w:color="auto" w:fill="EEEEEE"/>
          </w:tcPr>
          <w:p>
            <w:pPr>
              <w:spacing w:after="0"/>
              <w:rPr>
                <w:sz w:val="18"/>
                <w:szCs w:val="18"/>
                <w:color w:val="auto"/>
              </w:rPr>
            </w:pPr>
          </w:p>
        </w:tc>
        <w:tc>
          <w:tcPr>
            <w:tcW w:w="1140" w:type="dxa"/>
            <w:vAlign w:val="bottom"/>
            <w:tcBorders>
              <w:bottom w:val="single" w:sz="8" w:color="auto"/>
            </w:tcBorders>
            <w:shd w:val="clear" w:color="auto" w:fill="EEEEEE"/>
          </w:tcPr>
          <w:p>
            <w:pPr>
              <w:spacing w:after="0"/>
              <w:rPr>
                <w:sz w:val="18"/>
                <w:szCs w:val="18"/>
                <w:color w:val="auto"/>
              </w:rPr>
            </w:pPr>
          </w:p>
        </w:tc>
        <w:tc>
          <w:tcPr>
            <w:tcW w:w="6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EEEEEE"/>
            </w:tcBorders>
            <w:shd w:val="clear" w:color="auto" w:fill="EEEEEE"/>
          </w:tcPr>
          <w:p>
            <w:pPr>
              <w:spacing w:after="0"/>
              <w:rPr>
                <w:sz w:val="18"/>
                <w:szCs w:val="18"/>
                <w:color w:val="auto"/>
              </w:rPr>
            </w:pPr>
          </w:p>
        </w:tc>
      </w:tr>
      <w:tr>
        <w:trPr>
          <w:trHeight w:val="237"/>
        </w:trPr>
        <w:tc>
          <w:tcPr>
            <w:tcW w:w="510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22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2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0"/>
                <w:szCs w:val="20"/>
                <w:color w:val="auto"/>
              </w:rPr>
            </w:pPr>
          </w:p>
        </w:tc>
      </w:tr>
      <w:tr>
        <w:trPr>
          <w:trHeight w:val="20"/>
        </w:trPr>
        <w:tc>
          <w:tcPr>
            <w:tcW w:w="5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was $11.8 million, an increase of $3.5 million from $8.3 million in the prior year period.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jc w:val="both"/>
        <w:ind w:firstLine="162"/>
        <w:spacing w:after="0" w:line="277" w:lineRule="auto"/>
        <w:rPr>
          <w:sz w:val="20"/>
          <w:szCs w:val="20"/>
          <w:color w:val="auto"/>
        </w:rPr>
      </w:pPr>
      <w:r>
        <w:rPr>
          <w:rFonts w:ascii="Arial" w:cs="Arial" w:eastAsia="Arial" w:hAnsi="Arial"/>
          <w:sz w:val="18"/>
          <w:szCs w:val="18"/>
          <w:color w:val="auto"/>
        </w:rPr>
        <w:t>Interest expense for the three months ended June 30, 2023 was $35.7 million and represented 53.9% of total operating expenses, compared to $18.8 million in the previous year, when it was 39.3% of total operating expenses.</w:t>
      </w:r>
    </w:p>
    <w:p>
      <w:pPr>
        <w:spacing w:after="0" w:line="170"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Interest on securitization trust debt increased by $13.4 million for the three months ended June 30, 2023 compared to the prior period. The average balance of securitization trust debt increased to $2,333.0 million for the three months ended June 30, 2023 compared to $2,037.3 million for the three months ended June 30, 2022. The annualized average rate on our securitization trust debt was 5.0% for the three months ended June 30, 2023 compared to 3.1% in the prior year period. The blended interest rates on new term securitizations have been increasing since 2022.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74" w:lineRule="exact"/>
        <w:rPr>
          <w:sz w:val="20"/>
          <w:szCs w:val="20"/>
          <w:color w:val="auto"/>
        </w:rPr>
      </w:pPr>
    </w:p>
    <w:tbl>
      <w:tblPr>
        <w:tblLayout w:type="fixed"/>
        <w:tblInd w:w="3260" w:type="dxa"/>
        <w:tblCellMar>
          <w:top w:w="0" w:type="dxa"/>
          <w:left w:w="0" w:type="dxa"/>
          <w:bottom w:w="0" w:type="dxa"/>
          <w:right w:w="0" w:type="dxa"/>
        </w:tblCellMar>
      </w:tblPr>
      <w:tr>
        <w:trPr>
          <w:trHeight w:val="234"/>
        </w:trPr>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Period</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Blended Cost of Funds</w:t>
            </w:r>
          </w:p>
        </w:tc>
      </w:tr>
      <w:tr>
        <w:trPr>
          <w:trHeight w:val="210"/>
        </w:trPr>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January 2020</w:t>
            </w:r>
          </w:p>
        </w:tc>
        <w:tc>
          <w:tcPr>
            <w:tcW w:w="246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93"/>
              </w:rPr>
              <w:t>3.08%</w:t>
            </w:r>
          </w:p>
        </w:tc>
      </w:tr>
      <w:tr>
        <w:trPr>
          <w:trHeight w:val="216"/>
        </w:trPr>
        <w:tc>
          <w:tcPr>
            <w:tcW w:w="2260" w:type="dxa"/>
            <w:vAlign w:val="bottom"/>
          </w:tcPr>
          <w:p>
            <w:pPr>
              <w:jc w:val="center"/>
              <w:spacing w:after="0"/>
              <w:rPr>
                <w:sz w:val="20"/>
                <w:szCs w:val="20"/>
                <w:color w:val="auto"/>
              </w:rPr>
            </w:pPr>
            <w:r>
              <w:rPr>
                <w:rFonts w:ascii="Arial" w:cs="Arial" w:eastAsia="Arial" w:hAnsi="Arial"/>
                <w:sz w:val="18"/>
                <w:szCs w:val="18"/>
                <w:color w:val="auto"/>
                <w:w w:val="87"/>
              </w:rPr>
              <w:t>June 2020</w:t>
            </w:r>
          </w:p>
        </w:tc>
        <w:tc>
          <w:tcPr>
            <w:tcW w:w="246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4.09%</w:t>
            </w:r>
          </w:p>
        </w:tc>
      </w:tr>
      <w:tr>
        <w:trPr>
          <w:trHeight w:val="216"/>
        </w:trPr>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September 2020</w:t>
            </w:r>
          </w:p>
        </w:tc>
        <w:tc>
          <w:tcPr>
            <w:tcW w:w="246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93"/>
              </w:rPr>
              <w:t>2.39%</w:t>
            </w:r>
          </w:p>
        </w:tc>
      </w:tr>
      <w:tr>
        <w:trPr>
          <w:trHeight w:val="216"/>
        </w:trPr>
        <w:tc>
          <w:tcPr>
            <w:tcW w:w="2260" w:type="dxa"/>
            <w:vAlign w:val="bottom"/>
          </w:tcPr>
          <w:p>
            <w:pPr>
              <w:jc w:val="center"/>
              <w:spacing w:after="0"/>
              <w:rPr>
                <w:sz w:val="20"/>
                <w:szCs w:val="20"/>
                <w:color w:val="auto"/>
              </w:rPr>
            </w:pPr>
            <w:r>
              <w:rPr>
                <w:rFonts w:ascii="Arial" w:cs="Arial" w:eastAsia="Arial" w:hAnsi="Arial"/>
                <w:sz w:val="18"/>
                <w:szCs w:val="18"/>
                <w:color w:val="auto"/>
                <w:w w:val="89"/>
              </w:rPr>
              <w:t>January 2021</w:t>
            </w:r>
          </w:p>
        </w:tc>
        <w:tc>
          <w:tcPr>
            <w:tcW w:w="2460" w:type="dxa"/>
            <w:vAlign w:val="bottom"/>
            <w:gridSpan w:val="2"/>
          </w:tcPr>
          <w:p>
            <w:pPr>
              <w:jc w:val="center"/>
              <w:ind w:left="130"/>
              <w:spacing w:after="0"/>
              <w:rPr>
                <w:sz w:val="20"/>
                <w:szCs w:val="20"/>
                <w:color w:val="auto"/>
              </w:rPr>
            </w:pPr>
            <w:r>
              <w:rPr>
                <w:rFonts w:ascii="Arial" w:cs="Arial" w:eastAsia="Arial" w:hAnsi="Arial"/>
                <w:sz w:val="18"/>
                <w:szCs w:val="18"/>
                <w:color w:val="auto"/>
                <w:w w:val="86"/>
              </w:rPr>
              <w:t>1.11%</w:t>
            </w:r>
          </w:p>
        </w:tc>
      </w:tr>
      <w:tr>
        <w:trPr>
          <w:trHeight w:val="216"/>
        </w:trPr>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6"/>
              </w:rPr>
              <w:t>April 2021</w:t>
            </w:r>
          </w:p>
        </w:tc>
        <w:tc>
          <w:tcPr>
            <w:tcW w:w="246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93"/>
              </w:rPr>
              <w:t>1.65%</w:t>
            </w:r>
          </w:p>
        </w:tc>
      </w:tr>
      <w:tr>
        <w:trPr>
          <w:trHeight w:val="216"/>
        </w:trPr>
        <w:tc>
          <w:tcPr>
            <w:tcW w:w="2260" w:type="dxa"/>
            <w:vAlign w:val="bottom"/>
          </w:tcPr>
          <w:p>
            <w:pPr>
              <w:jc w:val="center"/>
              <w:spacing w:after="0"/>
              <w:rPr>
                <w:sz w:val="20"/>
                <w:szCs w:val="20"/>
                <w:color w:val="auto"/>
              </w:rPr>
            </w:pPr>
            <w:r>
              <w:rPr>
                <w:rFonts w:ascii="Arial" w:cs="Arial" w:eastAsia="Arial" w:hAnsi="Arial"/>
                <w:sz w:val="18"/>
                <w:szCs w:val="18"/>
                <w:color w:val="auto"/>
                <w:w w:val="90"/>
              </w:rPr>
              <w:t>July 2021</w:t>
            </w:r>
          </w:p>
        </w:tc>
        <w:tc>
          <w:tcPr>
            <w:tcW w:w="246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1.55%</w:t>
            </w:r>
          </w:p>
        </w:tc>
      </w:tr>
      <w:tr>
        <w:trPr>
          <w:trHeight w:val="216"/>
        </w:trPr>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October 2021</w:t>
            </w:r>
          </w:p>
        </w:tc>
        <w:tc>
          <w:tcPr>
            <w:tcW w:w="246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93"/>
              </w:rPr>
              <w:t>2.09%</w:t>
            </w:r>
          </w:p>
        </w:tc>
      </w:tr>
      <w:tr>
        <w:trPr>
          <w:trHeight w:val="216"/>
        </w:trPr>
        <w:tc>
          <w:tcPr>
            <w:tcW w:w="2260" w:type="dxa"/>
            <w:vAlign w:val="bottom"/>
          </w:tcPr>
          <w:p>
            <w:pPr>
              <w:jc w:val="center"/>
              <w:spacing w:after="0"/>
              <w:rPr>
                <w:sz w:val="20"/>
                <w:szCs w:val="20"/>
                <w:color w:val="auto"/>
              </w:rPr>
            </w:pPr>
            <w:r>
              <w:rPr>
                <w:rFonts w:ascii="Arial" w:cs="Arial" w:eastAsia="Arial" w:hAnsi="Arial"/>
                <w:sz w:val="18"/>
                <w:szCs w:val="18"/>
                <w:color w:val="auto"/>
                <w:w w:val="89"/>
              </w:rPr>
              <w:t>January 2022</w:t>
            </w:r>
          </w:p>
        </w:tc>
        <w:tc>
          <w:tcPr>
            <w:tcW w:w="246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2.54%</w:t>
            </w:r>
          </w:p>
        </w:tc>
      </w:tr>
      <w:tr>
        <w:trPr>
          <w:trHeight w:val="216"/>
        </w:trPr>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6"/>
              </w:rPr>
              <w:t>April 2022</w:t>
            </w:r>
          </w:p>
        </w:tc>
        <w:tc>
          <w:tcPr>
            <w:tcW w:w="246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93"/>
              </w:rPr>
              <w:t>4.83%</w:t>
            </w:r>
          </w:p>
        </w:tc>
      </w:tr>
      <w:tr>
        <w:trPr>
          <w:trHeight w:val="216"/>
        </w:trPr>
        <w:tc>
          <w:tcPr>
            <w:tcW w:w="2260" w:type="dxa"/>
            <w:vAlign w:val="bottom"/>
          </w:tcPr>
          <w:p>
            <w:pPr>
              <w:jc w:val="center"/>
              <w:spacing w:after="0"/>
              <w:rPr>
                <w:sz w:val="20"/>
                <w:szCs w:val="20"/>
                <w:color w:val="auto"/>
              </w:rPr>
            </w:pPr>
            <w:r>
              <w:rPr>
                <w:rFonts w:ascii="Arial" w:cs="Arial" w:eastAsia="Arial" w:hAnsi="Arial"/>
                <w:sz w:val="18"/>
                <w:szCs w:val="18"/>
                <w:color w:val="auto"/>
                <w:w w:val="90"/>
              </w:rPr>
              <w:t>July 2022</w:t>
            </w:r>
          </w:p>
        </w:tc>
        <w:tc>
          <w:tcPr>
            <w:tcW w:w="246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6.02%</w:t>
            </w:r>
          </w:p>
        </w:tc>
      </w:tr>
      <w:tr>
        <w:trPr>
          <w:trHeight w:val="216"/>
        </w:trPr>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October 2022</w:t>
            </w:r>
          </w:p>
        </w:tc>
        <w:tc>
          <w:tcPr>
            <w:tcW w:w="246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93"/>
              </w:rPr>
              <w:t>8.48%</w:t>
            </w:r>
          </w:p>
        </w:tc>
      </w:tr>
      <w:tr>
        <w:trPr>
          <w:trHeight w:val="216"/>
        </w:trPr>
        <w:tc>
          <w:tcPr>
            <w:tcW w:w="2260" w:type="dxa"/>
            <w:vAlign w:val="bottom"/>
          </w:tcPr>
          <w:p>
            <w:pPr>
              <w:jc w:val="center"/>
              <w:spacing w:after="0"/>
              <w:rPr>
                <w:sz w:val="20"/>
                <w:szCs w:val="20"/>
                <w:color w:val="auto"/>
              </w:rPr>
            </w:pPr>
            <w:r>
              <w:rPr>
                <w:rFonts w:ascii="Arial" w:cs="Arial" w:eastAsia="Arial" w:hAnsi="Arial"/>
                <w:sz w:val="18"/>
                <w:szCs w:val="18"/>
                <w:color w:val="auto"/>
                <w:w w:val="89"/>
              </w:rPr>
              <w:t>January 2023</w:t>
            </w:r>
          </w:p>
        </w:tc>
        <w:tc>
          <w:tcPr>
            <w:tcW w:w="246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6.48%</w:t>
            </w:r>
          </w:p>
        </w:tc>
      </w:tr>
      <w:tr>
        <w:trPr>
          <w:trHeight w:val="216"/>
        </w:trPr>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6"/>
              </w:rPr>
              <w:t>April 2023</w:t>
            </w:r>
          </w:p>
        </w:tc>
        <w:tc>
          <w:tcPr>
            <w:tcW w:w="246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93"/>
              </w:rPr>
              <w:t>7.17%</w:t>
            </w:r>
          </w:p>
        </w:tc>
      </w:tr>
    </w:tbl>
    <w:p>
      <w:pPr>
        <w:spacing w:after="0" w:line="20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Interest expense on warehouse credit line debt increased by $3.6 million to $5.0 million for the three months ended June 30, 2023 compared to $1.4 million in the prior year period. The increase was due to the higher utilization of our credit lines and higher rates on credit line debt during the quarter compared to last year. The average balance of our warehouse debt was $193.4 million during the three months ended June 30, 2023 compared to $85.6 million for the same period in 2022. The annualized average rate on our credit line debt was 10.4% for the three months ended June 30, 2023 compared to 6.5% in the prior year period.</w:t>
      </w:r>
    </w:p>
    <w:p>
      <w:pPr>
        <w:spacing w:after="0" w:line="188"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Interest expense on subordinated renewable notes was $477,000 for the three months ended June 30, 2023. The average balance of the outstanding subordinated debt decreased by $4.5 million to $22.2 million for the three months ended June 30, 2023 compared to $26.7 million for the prior year. The average yield of subordinated notes decreased to 8.6% compared to 8.8% in the prior period.</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June 2021, we completed a residual interest financing of our residual interests from previously issued securitizations in the amount of $50.0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on this residual interest financing was $1.1 million for the three months ended June 30, 2023 and 2022.</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ind w:left="180"/>
        <w:spacing w:after="0"/>
        <w:rPr>
          <w:sz w:val="20"/>
          <w:szCs w:val="20"/>
          <w:color w:val="auto"/>
        </w:rPr>
      </w:pPr>
      <w:r>
        <w:rPr>
          <w:rFonts w:ascii="Arial" w:cs="Arial" w:eastAsia="Arial" w:hAnsi="Arial"/>
          <w:sz w:val="16"/>
          <w:szCs w:val="16"/>
          <w:color w:val="auto"/>
        </w:rPr>
        <w:t>The following table presents the components of interest income and interest expense and a net interest yield analysis for the three-month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2023 and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5"/>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6"/>
          </w:tcPr>
          <w:p>
            <w:pPr>
              <w:jc w:val="right"/>
              <w:ind w:right="700"/>
              <w:spacing w:after="0"/>
              <w:rPr>
                <w:sz w:val="20"/>
                <w:szCs w:val="20"/>
                <w:color w:val="auto"/>
              </w:rPr>
            </w:pPr>
            <w:r>
              <w:rPr>
                <w:rFonts w:ascii="Arial" w:cs="Arial" w:eastAsia="Arial" w:hAnsi="Arial"/>
                <w:sz w:val="16"/>
                <w:szCs w:val="16"/>
                <w:b w:val="1"/>
                <w:bCs w:val="1"/>
                <w:color w:val="auto"/>
              </w:rPr>
              <w:t>(Dollars in thousands)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Annualized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Annualized</w:t>
            </w:r>
          </w:p>
        </w:tc>
      </w:tr>
      <w:tr>
        <w:trPr>
          <w:trHeight w:val="203"/>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39"/>
              <w:spacing w:after="0"/>
              <w:rPr>
                <w:sz w:val="20"/>
                <w:szCs w:val="20"/>
                <w:color w:val="auto"/>
              </w:rPr>
            </w:pPr>
            <w:r>
              <w:rPr>
                <w:rFonts w:ascii="Arial" w:cs="Arial" w:eastAsia="Arial" w:hAnsi="Arial"/>
                <w:sz w:val="16"/>
                <w:szCs w:val="16"/>
                <w:b w:val="1"/>
                <w:bCs w:val="1"/>
                <w:color w:val="auto"/>
              </w:rPr>
              <w:t>Average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Average</w:t>
            </w:r>
          </w:p>
        </w:tc>
      </w:tr>
      <w:tr>
        <w:trPr>
          <w:trHeight w:val="213"/>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w w:val="98"/>
              </w:rPr>
              <w:t>Balance (1)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Interest</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Yield/Rate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8"/>
              </w:rPr>
              <w:t>Balance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Interest</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Yield/Rate</w:t>
            </w:r>
          </w:p>
        </w:tc>
      </w:tr>
      <w:tr>
        <w:trPr>
          <w:trHeight w:val="158"/>
        </w:trPr>
        <w:tc>
          <w:tcPr>
            <w:tcW w:w="3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2140" w:type="dxa"/>
            <w:vAlign w:val="bottom"/>
            <w:gridSpan w:val="3"/>
            <w:shd w:val="clear" w:color="auto" w:fill="EEEEEE"/>
          </w:tcPr>
          <w:p>
            <w:pPr>
              <w:jc w:val="center"/>
              <w:ind w:right="540"/>
              <w:spacing w:after="0" w:line="158" w:lineRule="exact"/>
              <w:rPr>
                <w:sz w:val="20"/>
                <w:szCs w:val="20"/>
                <w:color w:val="auto"/>
              </w:rPr>
            </w:pPr>
            <w:r>
              <w:rPr>
                <w:rFonts w:ascii="Arial" w:cs="Arial" w:eastAsia="Arial" w:hAnsi="Arial"/>
                <w:sz w:val="16"/>
                <w:szCs w:val="16"/>
                <w:b w:val="1"/>
                <w:bCs w:val="1"/>
                <w:color w:val="auto"/>
                <w:w w:val="89"/>
              </w:rPr>
              <w:t>Interest Earning Assets</w:t>
            </w:r>
          </w:p>
        </w:tc>
        <w:tc>
          <w:tcPr>
            <w:tcW w:w="160" w:type="dxa"/>
            <w:vAlign w:val="bottom"/>
            <w:tcBorders>
              <w:top w:val="single" w:sz="8" w:color="auto"/>
            </w:tcBorders>
            <w:shd w:val="clear" w:color="auto" w:fill="EEEEEE"/>
          </w:tcPr>
          <w:p>
            <w:pPr>
              <w:spacing w:after="0"/>
              <w:rPr>
                <w:sz w:val="13"/>
                <w:szCs w:val="13"/>
                <w:color w:val="auto"/>
              </w:rPr>
            </w:pPr>
          </w:p>
        </w:tc>
        <w:tc>
          <w:tcPr>
            <w:tcW w:w="1080" w:type="dxa"/>
            <w:vAlign w:val="bottom"/>
            <w:tcBorders>
              <w:top w:val="single" w:sz="8" w:color="auto"/>
            </w:tcBorders>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200" w:type="dxa"/>
            <w:vAlign w:val="bottom"/>
            <w:tcBorders>
              <w:top w:val="single" w:sz="8" w:color="auto"/>
            </w:tcBorders>
            <w:shd w:val="clear" w:color="auto" w:fill="EEEEEE"/>
          </w:tcPr>
          <w:p>
            <w:pPr>
              <w:spacing w:after="0"/>
              <w:rPr>
                <w:sz w:val="13"/>
                <w:szCs w:val="13"/>
                <w:color w:val="auto"/>
              </w:rPr>
            </w:pPr>
          </w:p>
        </w:tc>
        <w:tc>
          <w:tcPr>
            <w:tcW w:w="1020" w:type="dxa"/>
            <w:vAlign w:val="bottom"/>
            <w:tcBorders>
              <w:top w:val="single" w:sz="8" w:color="auto"/>
            </w:tcBorders>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1220" w:type="dxa"/>
            <w:vAlign w:val="bottom"/>
            <w:tcBorders>
              <w:top w:val="single" w:sz="8" w:color="auto"/>
            </w:tcBorders>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40" w:type="dxa"/>
            <w:vAlign w:val="bottom"/>
            <w:tcBorders>
              <w:top w:val="single" w:sz="8" w:color="auto"/>
            </w:tcBorders>
            <w:shd w:val="clear" w:color="auto" w:fill="EEEEEE"/>
          </w:tcPr>
          <w:p>
            <w:pPr>
              <w:spacing w:after="0"/>
              <w:rPr>
                <w:sz w:val="13"/>
                <w:szCs w:val="13"/>
                <w:color w:val="auto"/>
              </w:rPr>
            </w:pPr>
          </w:p>
        </w:tc>
        <w:tc>
          <w:tcPr>
            <w:tcW w:w="1080" w:type="dxa"/>
            <w:vAlign w:val="bottom"/>
            <w:tcBorders>
              <w:top w:val="single" w:sz="8" w:color="auto"/>
            </w:tcBorders>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200" w:type="dxa"/>
            <w:vAlign w:val="bottom"/>
            <w:tcBorders>
              <w:top w:val="single" w:sz="8" w:color="auto"/>
            </w:tcBorders>
            <w:shd w:val="clear" w:color="auto" w:fill="EEEEEE"/>
          </w:tcPr>
          <w:p>
            <w:pPr>
              <w:spacing w:after="0"/>
              <w:rPr>
                <w:sz w:val="13"/>
                <w:szCs w:val="13"/>
                <w:color w:val="auto"/>
              </w:rPr>
            </w:pPr>
          </w:p>
        </w:tc>
        <w:tc>
          <w:tcPr>
            <w:tcW w:w="1020" w:type="dxa"/>
            <w:vAlign w:val="bottom"/>
            <w:tcBorders>
              <w:top w:val="single" w:sz="8" w:color="auto"/>
            </w:tcBorders>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260" w:type="dxa"/>
            <w:vAlign w:val="bottom"/>
            <w:tcBorders>
              <w:top w:val="single" w:sz="8" w:color="auto"/>
            </w:tcBorders>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r>
      <w:tr>
        <w:trPr>
          <w:trHeight w:val="21"/>
        </w:trPr>
        <w:tc>
          <w:tcPr>
            <w:tcW w:w="3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60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r>
      <w:tr>
        <w:trPr>
          <w:trHeight w:val="203"/>
        </w:trPr>
        <w:tc>
          <w:tcPr>
            <w:tcW w:w="2580" w:type="dxa"/>
            <w:vAlign w:val="bottom"/>
            <w:gridSpan w:val="5"/>
          </w:tcPr>
          <w:p>
            <w:pPr>
              <w:spacing w:after="0"/>
              <w:rPr>
                <w:sz w:val="20"/>
                <w:szCs w:val="20"/>
                <w:color w:val="auto"/>
              </w:rPr>
            </w:pPr>
            <w:r>
              <w:rPr>
                <w:rFonts w:ascii="Arial" w:cs="Arial" w:eastAsia="Arial" w:hAnsi="Arial"/>
                <w:sz w:val="16"/>
                <w:szCs w:val="16"/>
                <w:color w:val="auto"/>
              </w:rPr>
              <w:t>Loan Portfolio</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2,903,988</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82,637</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11.4%</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2,469,955</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75,670</w:t>
            </w:r>
          </w:p>
        </w:tc>
        <w:tc>
          <w:tcPr>
            <w:tcW w:w="126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7"/>
                <w:szCs w:val="17"/>
                <w:color w:val="auto"/>
              </w:rPr>
            </w:pPr>
          </w:p>
        </w:tc>
      </w:tr>
      <w:tr>
        <w:trPr>
          <w:trHeight w:val="203"/>
        </w:trPr>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162"/>
        </w:trPr>
        <w:tc>
          <w:tcPr>
            <w:tcW w:w="2580" w:type="dxa"/>
            <w:vAlign w:val="bottom"/>
            <w:gridSpan w:val="5"/>
          </w:tcPr>
          <w:p>
            <w:pPr>
              <w:jc w:val="center"/>
              <w:ind w:right="80"/>
              <w:spacing w:after="0" w:line="162" w:lineRule="exact"/>
              <w:rPr>
                <w:sz w:val="20"/>
                <w:szCs w:val="20"/>
                <w:color w:val="auto"/>
              </w:rPr>
            </w:pPr>
            <w:r>
              <w:rPr>
                <w:rFonts w:ascii="Arial" w:cs="Arial" w:eastAsia="Arial" w:hAnsi="Arial"/>
                <w:sz w:val="16"/>
                <w:szCs w:val="16"/>
                <w:b w:val="1"/>
                <w:bCs w:val="1"/>
                <w:color w:val="auto"/>
                <w:w w:val="92"/>
              </w:rPr>
              <w:t>Interest Bearing Liabilities</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
        </w:trPr>
        <w:tc>
          <w:tcPr>
            <w:tcW w:w="3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580" w:type="dxa"/>
            <w:vAlign w:val="bottom"/>
            <w:gridSpan w:val="5"/>
            <w:shd w:val="clear" w:color="auto" w:fill="EEEEEE"/>
          </w:tcPr>
          <w:p>
            <w:pPr>
              <w:spacing w:after="0"/>
              <w:rPr>
                <w:sz w:val="20"/>
                <w:szCs w:val="20"/>
                <w:color w:val="auto"/>
              </w:rPr>
            </w:pPr>
            <w:r>
              <w:rPr>
                <w:rFonts w:ascii="Arial" w:cs="Arial" w:eastAsia="Arial" w:hAnsi="Arial"/>
                <w:sz w:val="16"/>
                <w:szCs w:val="16"/>
                <w:color w:val="auto"/>
              </w:rPr>
              <w:t>Warehouse lines of credit</w:t>
            </w:r>
          </w:p>
        </w:tc>
        <w:tc>
          <w:tcPr>
            <w:tcW w:w="1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193,408</w:t>
            </w: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5,008</w:t>
            </w: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10.4%</w:t>
            </w:r>
          </w:p>
        </w:tc>
        <w:tc>
          <w:tcPr>
            <w:tcW w:w="26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85,598</w:t>
            </w:r>
          </w:p>
        </w:tc>
        <w:tc>
          <w:tcPr>
            <w:tcW w:w="3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1,387</w:t>
            </w:r>
          </w:p>
        </w:tc>
        <w:tc>
          <w:tcPr>
            <w:tcW w:w="12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EEEEEE"/>
          </w:tcPr>
          <w:p>
            <w:pPr>
              <w:spacing w:after="0"/>
              <w:rPr>
                <w:sz w:val="17"/>
                <w:szCs w:val="17"/>
                <w:color w:val="auto"/>
              </w:rPr>
            </w:pPr>
          </w:p>
        </w:tc>
      </w:tr>
      <w:tr>
        <w:trPr>
          <w:trHeight w:val="203"/>
        </w:trPr>
        <w:tc>
          <w:tcPr>
            <w:tcW w:w="2580" w:type="dxa"/>
            <w:vAlign w:val="bottom"/>
            <w:gridSpan w:val="5"/>
          </w:tcPr>
          <w:p>
            <w:pPr>
              <w:spacing w:after="0"/>
              <w:rPr>
                <w:sz w:val="20"/>
                <w:szCs w:val="20"/>
                <w:color w:val="auto"/>
              </w:rPr>
            </w:pPr>
            <w:r>
              <w:rPr>
                <w:rFonts w:ascii="Arial" w:cs="Arial" w:eastAsia="Arial" w:hAnsi="Arial"/>
                <w:sz w:val="16"/>
                <w:szCs w:val="16"/>
                <w:color w:val="auto"/>
              </w:rPr>
              <w:t>Residual interest financing</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50,000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1,050</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1,050</w:t>
            </w:r>
          </w:p>
        </w:tc>
        <w:tc>
          <w:tcPr>
            <w:tcW w:w="126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7"/>
                <w:szCs w:val="17"/>
                <w:color w:val="auto"/>
              </w:rPr>
            </w:pPr>
          </w:p>
        </w:tc>
      </w:tr>
      <w:tr>
        <w:trPr>
          <w:trHeight w:val="203"/>
        </w:trPr>
        <w:tc>
          <w:tcPr>
            <w:tcW w:w="2580" w:type="dxa"/>
            <w:vAlign w:val="bottom"/>
            <w:gridSpan w:val="5"/>
            <w:shd w:val="clear" w:color="auto" w:fill="EEEEEE"/>
          </w:tcPr>
          <w:p>
            <w:pPr>
              <w:spacing w:after="0"/>
              <w:rPr>
                <w:sz w:val="20"/>
                <w:szCs w:val="20"/>
                <w:color w:val="auto"/>
              </w:rPr>
            </w:pPr>
            <w:r>
              <w:rPr>
                <w:rFonts w:ascii="Arial" w:cs="Arial" w:eastAsia="Arial" w:hAnsi="Arial"/>
                <w:sz w:val="16"/>
                <w:szCs w:val="16"/>
                <w:color w:val="auto"/>
              </w:rPr>
              <w:t>Securitization trust debt</w:t>
            </w:r>
          </w:p>
        </w:tc>
        <w:tc>
          <w:tcPr>
            <w:tcW w:w="160" w:type="dxa"/>
            <w:vAlign w:val="bottom"/>
            <w:shd w:val="clear" w:color="auto" w:fill="EEEEEE"/>
          </w:tcPr>
          <w:p>
            <w:pPr>
              <w:spacing w:after="0"/>
              <w:rPr>
                <w:sz w:val="17"/>
                <w:szCs w:val="17"/>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2,332,997</w:t>
            </w:r>
          </w:p>
        </w:tc>
        <w:tc>
          <w:tcPr>
            <w:tcW w:w="2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29,171</w:t>
            </w: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5.0%</w:t>
            </w: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2,037,327</w:t>
            </w: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15,745</w:t>
            </w:r>
          </w:p>
        </w:tc>
        <w:tc>
          <w:tcPr>
            <w:tcW w:w="12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EEEEEE"/>
          </w:tcPr>
          <w:p>
            <w:pPr>
              <w:spacing w:after="0"/>
              <w:rPr>
                <w:sz w:val="17"/>
                <w:szCs w:val="17"/>
                <w:color w:val="auto"/>
              </w:rPr>
            </w:pPr>
          </w:p>
        </w:tc>
      </w:tr>
      <w:tr>
        <w:trPr>
          <w:trHeight w:val="213"/>
        </w:trPr>
        <w:tc>
          <w:tcPr>
            <w:tcW w:w="2580" w:type="dxa"/>
            <w:vAlign w:val="bottom"/>
            <w:gridSpan w:val="5"/>
          </w:tcPr>
          <w:p>
            <w:pPr>
              <w:spacing w:after="0"/>
              <w:rPr>
                <w:sz w:val="20"/>
                <w:szCs w:val="20"/>
                <w:color w:val="auto"/>
              </w:rPr>
            </w:pPr>
            <w:r>
              <w:rPr>
                <w:rFonts w:ascii="Arial" w:cs="Arial" w:eastAsia="Arial" w:hAnsi="Arial"/>
                <w:sz w:val="16"/>
                <w:szCs w:val="16"/>
                <w:color w:val="auto"/>
              </w:rPr>
              <w:t>Subordinated renewable notes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22,208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477</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26,688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590</w:t>
            </w:r>
          </w:p>
        </w:tc>
        <w:tc>
          <w:tcPr>
            <w:tcW w:w="126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320" w:type="dxa"/>
            <w:vAlign w:val="bottom"/>
            <w:shd w:val="clear" w:color="auto" w:fill="EEEEEE"/>
          </w:tcPr>
          <w:p>
            <w:pPr>
              <w:spacing w:after="0"/>
              <w:rPr>
                <w:sz w:val="22"/>
                <w:szCs w:val="22"/>
                <w:color w:val="auto"/>
              </w:rPr>
            </w:pPr>
          </w:p>
        </w:tc>
        <w:tc>
          <w:tcPr>
            <w:tcW w:w="120" w:type="dxa"/>
            <w:vAlign w:val="bottom"/>
            <w:shd w:val="clear" w:color="auto" w:fill="EEEEEE"/>
          </w:tcPr>
          <w:p>
            <w:pPr>
              <w:spacing w:after="0"/>
              <w:rPr>
                <w:sz w:val="22"/>
                <w:szCs w:val="22"/>
                <w:color w:val="auto"/>
              </w:rPr>
            </w:pPr>
          </w:p>
        </w:tc>
        <w:tc>
          <w:tcPr>
            <w:tcW w:w="1600" w:type="dxa"/>
            <w:vAlign w:val="bottom"/>
            <w:shd w:val="clear" w:color="auto" w:fill="EEEEEE"/>
          </w:tcPr>
          <w:p>
            <w:pPr>
              <w:spacing w:after="0"/>
              <w:rPr>
                <w:sz w:val="22"/>
                <w:szCs w:val="22"/>
                <w:color w:val="auto"/>
              </w:rPr>
            </w:pPr>
          </w:p>
        </w:tc>
        <w:tc>
          <w:tcPr>
            <w:tcW w:w="140" w:type="dxa"/>
            <w:vAlign w:val="bottom"/>
            <w:shd w:val="clear" w:color="auto" w:fill="EEEEEE"/>
          </w:tcPr>
          <w:p>
            <w:pPr>
              <w:spacing w:after="0"/>
              <w:rPr>
                <w:sz w:val="22"/>
                <w:szCs w:val="22"/>
                <w:color w:val="auto"/>
              </w:rPr>
            </w:pPr>
          </w:p>
        </w:tc>
        <w:tc>
          <w:tcPr>
            <w:tcW w:w="400" w:type="dxa"/>
            <w:vAlign w:val="bottom"/>
            <w:shd w:val="clear" w:color="auto" w:fill="EEEEEE"/>
          </w:tcPr>
          <w:p>
            <w:pPr>
              <w:spacing w:after="0"/>
              <w:rPr>
                <w:sz w:val="22"/>
                <w:szCs w:val="22"/>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2,598,613</w:t>
            </w:r>
          </w:p>
        </w:tc>
        <w:tc>
          <w:tcPr>
            <w:tcW w:w="240" w:type="dxa"/>
            <w:vAlign w:val="bottom"/>
            <w:shd w:val="clear" w:color="auto" w:fill="EEEEEE"/>
          </w:tcPr>
          <w:p>
            <w:pPr>
              <w:spacing w:after="0"/>
              <w:rPr>
                <w:sz w:val="22"/>
                <w:szCs w:val="22"/>
                <w:color w:val="auto"/>
              </w:rPr>
            </w:pPr>
          </w:p>
        </w:tc>
        <w:tc>
          <w:tcPr>
            <w:tcW w:w="200" w:type="dxa"/>
            <w:vAlign w:val="bottom"/>
            <w:shd w:val="clear" w:color="auto" w:fill="EEEEEE"/>
          </w:tcPr>
          <w:p>
            <w:pPr>
              <w:spacing w:after="0"/>
              <w:rPr>
                <w:sz w:val="22"/>
                <w:szCs w:val="22"/>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35,706</w:t>
            </w: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5.5%</w:t>
            </w:r>
          </w:p>
        </w:tc>
        <w:tc>
          <w:tcPr>
            <w:tcW w:w="26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2,199,613</w:t>
            </w:r>
          </w:p>
        </w:tc>
        <w:tc>
          <w:tcPr>
            <w:tcW w:w="120" w:type="dxa"/>
            <w:vAlign w:val="bottom"/>
            <w:shd w:val="clear" w:color="auto" w:fill="EEEEEE"/>
          </w:tcPr>
          <w:p>
            <w:pPr>
              <w:spacing w:after="0"/>
              <w:rPr>
                <w:sz w:val="22"/>
                <w:szCs w:val="22"/>
                <w:color w:val="auto"/>
              </w:rPr>
            </w:pPr>
          </w:p>
        </w:tc>
        <w:tc>
          <w:tcPr>
            <w:tcW w:w="200" w:type="dxa"/>
            <w:vAlign w:val="bottom"/>
            <w:shd w:val="clear" w:color="auto" w:fill="EEEEEE"/>
          </w:tcPr>
          <w:p>
            <w:pPr>
              <w:spacing w:after="0"/>
              <w:rPr>
                <w:sz w:val="22"/>
                <w:szCs w:val="22"/>
                <w:color w:val="auto"/>
              </w:rPr>
            </w:pP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18,772</w:t>
            </w:r>
          </w:p>
        </w:tc>
        <w:tc>
          <w:tcPr>
            <w:tcW w:w="12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EEEEEE"/>
          </w:tcPr>
          <w:p>
            <w:pPr>
              <w:spacing w:after="0"/>
              <w:rPr>
                <w:sz w:val="22"/>
                <w:szCs w:val="22"/>
                <w:color w:val="auto"/>
              </w:rPr>
            </w:pPr>
          </w:p>
        </w:tc>
      </w:tr>
      <w:tr>
        <w:trPr>
          <w:trHeight w:val="199"/>
        </w:trPr>
        <w:tc>
          <w:tcPr>
            <w:tcW w:w="320" w:type="dxa"/>
            <w:vAlign w:val="bottom"/>
            <w:tcBorders>
              <w:top w:val="single" w:sz="8" w:color="EEEEEE"/>
              <w:bottom w:val="single" w:sz="8" w:color="EEEEEE"/>
            </w:tcBorders>
          </w:tcPr>
          <w:p>
            <w:pPr>
              <w:spacing w:after="0"/>
              <w:rPr>
                <w:sz w:val="17"/>
                <w:szCs w:val="17"/>
                <w:color w:val="auto"/>
              </w:rPr>
            </w:pPr>
          </w:p>
        </w:tc>
        <w:tc>
          <w:tcPr>
            <w:tcW w:w="120" w:type="dxa"/>
            <w:vAlign w:val="bottom"/>
            <w:tcBorders>
              <w:top w:val="single" w:sz="8" w:color="EEEEEE"/>
              <w:bottom w:val="single" w:sz="8" w:color="EEEEEE"/>
            </w:tcBorders>
          </w:tcPr>
          <w:p>
            <w:pPr>
              <w:spacing w:after="0"/>
              <w:rPr>
                <w:sz w:val="17"/>
                <w:szCs w:val="17"/>
                <w:color w:val="auto"/>
              </w:rPr>
            </w:pPr>
          </w:p>
        </w:tc>
        <w:tc>
          <w:tcPr>
            <w:tcW w:w="1600" w:type="dxa"/>
            <w:vAlign w:val="bottom"/>
            <w:tcBorders>
              <w:top w:val="single" w:sz="8" w:color="EEEEEE"/>
              <w:bottom w:val="single" w:sz="8" w:color="EEEEEE"/>
            </w:tcBorders>
          </w:tcPr>
          <w:p>
            <w:pPr>
              <w:spacing w:after="0"/>
              <w:rPr>
                <w:sz w:val="17"/>
                <w:szCs w:val="17"/>
                <w:color w:val="auto"/>
              </w:rPr>
            </w:pPr>
          </w:p>
        </w:tc>
        <w:tc>
          <w:tcPr>
            <w:tcW w:w="140" w:type="dxa"/>
            <w:vAlign w:val="bottom"/>
            <w:tcBorders>
              <w:top w:val="single" w:sz="8" w:color="EEEEEE"/>
              <w:bottom w:val="single" w:sz="8" w:color="EEEEEE"/>
            </w:tcBorders>
          </w:tcPr>
          <w:p>
            <w:pPr>
              <w:spacing w:after="0"/>
              <w:rPr>
                <w:sz w:val="17"/>
                <w:szCs w:val="17"/>
                <w:color w:val="auto"/>
              </w:rPr>
            </w:pPr>
          </w:p>
        </w:tc>
        <w:tc>
          <w:tcPr>
            <w:tcW w:w="400" w:type="dxa"/>
            <w:vAlign w:val="bottom"/>
            <w:tcBorders>
              <w:top w:val="single" w:sz="8" w:color="EEEEEE"/>
              <w:bottom w:val="single" w:sz="8" w:color="EEEEEE"/>
            </w:tcBorders>
          </w:tcPr>
          <w:p>
            <w:pPr>
              <w:spacing w:after="0"/>
              <w:rPr>
                <w:sz w:val="17"/>
                <w:szCs w:val="17"/>
                <w:color w:val="auto"/>
              </w:rPr>
            </w:pPr>
          </w:p>
        </w:tc>
        <w:tc>
          <w:tcPr>
            <w:tcW w:w="160" w:type="dxa"/>
            <w:vAlign w:val="bottom"/>
            <w:tcBorders>
              <w:top w:val="single" w:sz="8" w:color="auto"/>
              <w:bottom w:val="single" w:sz="8" w:color="EEEEEE"/>
            </w:tcBorders>
          </w:tcPr>
          <w:p>
            <w:pPr>
              <w:spacing w:after="0"/>
              <w:rPr>
                <w:sz w:val="17"/>
                <w:szCs w:val="17"/>
                <w:color w:val="auto"/>
              </w:rPr>
            </w:pPr>
          </w:p>
        </w:tc>
        <w:tc>
          <w:tcPr>
            <w:tcW w:w="1080" w:type="dxa"/>
            <w:vAlign w:val="bottom"/>
            <w:tcBorders>
              <w:top w:val="single" w:sz="8" w:color="auto"/>
              <w:bottom w:val="single" w:sz="8" w:color="EEEEEE"/>
            </w:tcBorders>
          </w:tcPr>
          <w:p>
            <w:pPr>
              <w:spacing w:after="0"/>
              <w:rPr>
                <w:sz w:val="17"/>
                <w:szCs w:val="17"/>
                <w:color w:val="auto"/>
              </w:rPr>
            </w:pPr>
          </w:p>
        </w:tc>
        <w:tc>
          <w:tcPr>
            <w:tcW w:w="240" w:type="dxa"/>
            <w:vAlign w:val="bottom"/>
            <w:tcBorders>
              <w:top w:val="single" w:sz="8" w:color="EEEEEE"/>
              <w:bottom w:val="single" w:sz="8" w:color="EEEEEE"/>
            </w:tcBorders>
          </w:tcPr>
          <w:p>
            <w:pPr>
              <w:spacing w:after="0"/>
              <w:rPr>
                <w:sz w:val="17"/>
                <w:szCs w:val="17"/>
                <w:color w:val="auto"/>
              </w:rPr>
            </w:pPr>
          </w:p>
        </w:tc>
        <w:tc>
          <w:tcPr>
            <w:tcW w:w="200" w:type="dxa"/>
            <w:vAlign w:val="bottom"/>
            <w:tcBorders>
              <w:top w:val="single" w:sz="8" w:color="EEEEEE"/>
              <w:bottom w:val="single" w:sz="8" w:color="auto"/>
            </w:tcBorders>
          </w:tcPr>
          <w:p>
            <w:pPr>
              <w:spacing w:after="0"/>
              <w:rPr>
                <w:sz w:val="17"/>
                <w:szCs w:val="17"/>
                <w:color w:val="auto"/>
              </w:rPr>
            </w:pPr>
          </w:p>
        </w:tc>
        <w:tc>
          <w:tcPr>
            <w:tcW w:w="1020" w:type="dxa"/>
            <w:vAlign w:val="bottom"/>
            <w:tcBorders>
              <w:top w:val="single" w:sz="8" w:color="EEEEEE"/>
              <w:bottom w:val="single" w:sz="8" w:color="auto"/>
            </w:tcBorders>
          </w:tcPr>
          <w:p>
            <w:pPr>
              <w:spacing w:after="0"/>
              <w:rPr>
                <w:sz w:val="17"/>
                <w:szCs w:val="17"/>
                <w:color w:val="auto"/>
              </w:rPr>
            </w:pPr>
          </w:p>
        </w:tc>
        <w:tc>
          <w:tcPr>
            <w:tcW w:w="240" w:type="dxa"/>
            <w:vAlign w:val="bottom"/>
            <w:tcBorders>
              <w:top w:val="single" w:sz="8" w:color="EEEEEE"/>
              <w:bottom w:val="single" w:sz="8" w:color="EEEEEE"/>
            </w:tcBorders>
          </w:tcPr>
          <w:p>
            <w:pPr>
              <w:spacing w:after="0"/>
              <w:rPr>
                <w:sz w:val="17"/>
                <w:szCs w:val="17"/>
                <w:color w:val="auto"/>
              </w:rPr>
            </w:pPr>
          </w:p>
        </w:tc>
        <w:tc>
          <w:tcPr>
            <w:tcW w:w="1220" w:type="dxa"/>
            <w:vAlign w:val="bottom"/>
            <w:tcBorders>
              <w:top w:val="single" w:sz="8" w:color="EEEEEE"/>
              <w:bottom w:val="single" w:sz="8" w:color="EEEEEE"/>
            </w:tcBorders>
          </w:tcPr>
          <w:p>
            <w:pPr>
              <w:spacing w:after="0"/>
              <w:rPr>
                <w:sz w:val="17"/>
                <w:szCs w:val="17"/>
                <w:color w:val="auto"/>
              </w:rPr>
            </w:pPr>
          </w:p>
        </w:tc>
        <w:tc>
          <w:tcPr>
            <w:tcW w:w="120" w:type="dxa"/>
            <w:vAlign w:val="bottom"/>
            <w:tcBorders>
              <w:top w:val="single" w:sz="8" w:color="EEEEEE"/>
              <w:bottom w:val="single" w:sz="8" w:color="EEEEEE"/>
            </w:tcBorders>
          </w:tcPr>
          <w:p>
            <w:pPr>
              <w:spacing w:after="0"/>
              <w:rPr>
                <w:sz w:val="17"/>
                <w:szCs w:val="17"/>
                <w:color w:val="auto"/>
              </w:rPr>
            </w:pPr>
          </w:p>
        </w:tc>
        <w:tc>
          <w:tcPr>
            <w:tcW w:w="120" w:type="dxa"/>
            <w:vAlign w:val="bottom"/>
            <w:tcBorders>
              <w:top w:val="single" w:sz="8" w:color="EEEEEE"/>
              <w:bottom w:val="single" w:sz="8" w:color="EEEEEE"/>
            </w:tcBorders>
          </w:tcPr>
          <w:p>
            <w:pPr>
              <w:spacing w:after="0"/>
              <w:rPr>
                <w:sz w:val="17"/>
                <w:szCs w:val="17"/>
                <w:color w:val="auto"/>
              </w:rPr>
            </w:pPr>
          </w:p>
        </w:tc>
        <w:tc>
          <w:tcPr>
            <w:tcW w:w="140" w:type="dxa"/>
            <w:vAlign w:val="bottom"/>
            <w:tcBorders>
              <w:top w:val="single" w:sz="8" w:color="auto"/>
              <w:bottom w:val="single" w:sz="8" w:color="EEEEEE"/>
            </w:tcBorders>
          </w:tcPr>
          <w:p>
            <w:pPr>
              <w:spacing w:after="0"/>
              <w:rPr>
                <w:sz w:val="17"/>
                <w:szCs w:val="17"/>
                <w:color w:val="auto"/>
              </w:rPr>
            </w:pPr>
          </w:p>
        </w:tc>
        <w:tc>
          <w:tcPr>
            <w:tcW w:w="1080" w:type="dxa"/>
            <w:vAlign w:val="bottom"/>
            <w:tcBorders>
              <w:top w:val="single" w:sz="8" w:color="auto"/>
              <w:bottom w:val="single" w:sz="8" w:color="EEEEEE"/>
            </w:tcBorders>
          </w:tcPr>
          <w:p>
            <w:pPr>
              <w:spacing w:after="0"/>
              <w:rPr>
                <w:sz w:val="17"/>
                <w:szCs w:val="17"/>
                <w:color w:val="auto"/>
              </w:rPr>
            </w:pPr>
          </w:p>
        </w:tc>
        <w:tc>
          <w:tcPr>
            <w:tcW w:w="120" w:type="dxa"/>
            <w:vAlign w:val="bottom"/>
            <w:tcBorders>
              <w:top w:val="single" w:sz="8" w:color="EEEEEE"/>
              <w:bottom w:val="single" w:sz="8" w:color="EEEEEE"/>
            </w:tcBorders>
          </w:tcPr>
          <w:p>
            <w:pPr>
              <w:spacing w:after="0"/>
              <w:rPr>
                <w:sz w:val="17"/>
                <w:szCs w:val="17"/>
                <w:color w:val="auto"/>
              </w:rPr>
            </w:pPr>
          </w:p>
        </w:tc>
        <w:tc>
          <w:tcPr>
            <w:tcW w:w="120" w:type="dxa"/>
            <w:vAlign w:val="bottom"/>
            <w:tcBorders>
              <w:top w:val="single" w:sz="8" w:color="EEEEEE"/>
              <w:bottom w:val="single" w:sz="8" w:color="EEEEEE"/>
            </w:tcBorders>
          </w:tcPr>
          <w:p>
            <w:pPr>
              <w:spacing w:after="0"/>
              <w:rPr>
                <w:sz w:val="17"/>
                <w:szCs w:val="17"/>
                <w:color w:val="auto"/>
              </w:rPr>
            </w:pPr>
          </w:p>
        </w:tc>
        <w:tc>
          <w:tcPr>
            <w:tcW w:w="200" w:type="dxa"/>
            <w:vAlign w:val="bottom"/>
            <w:tcBorders>
              <w:top w:val="single" w:sz="8" w:color="EEEEEE"/>
              <w:bottom w:val="single" w:sz="8" w:color="auto"/>
            </w:tcBorders>
          </w:tcPr>
          <w:p>
            <w:pPr>
              <w:spacing w:after="0"/>
              <w:rPr>
                <w:sz w:val="17"/>
                <w:szCs w:val="17"/>
                <w:color w:val="auto"/>
              </w:rPr>
            </w:pPr>
          </w:p>
        </w:tc>
        <w:tc>
          <w:tcPr>
            <w:tcW w:w="1020" w:type="dxa"/>
            <w:vAlign w:val="bottom"/>
            <w:tcBorders>
              <w:top w:val="single" w:sz="8" w:color="EEEEEE"/>
              <w:bottom w:val="single" w:sz="8" w:color="auto"/>
            </w:tcBorders>
          </w:tcPr>
          <w:p>
            <w:pPr>
              <w:spacing w:after="0"/>
              <w:rPr>
                <w:sz w:val="17"/>
                <w:szCs w:val="17"/>
                <w:color w:val="auto"/>
              </w:rPr>
            </w:pPr>
          </w:p>
        </w:tc>
        <w:tc>
          <w:tcPr>
            <w:tcW w:w="220" w:type="dxa"/>
            <w:vAlign w:val="bottom"/>
            <w:tcBorders>
              <w:top w:val="single" w:sz="8" w:color="EEEEEE"/>
              <w:bottom w:val="single" w:sz="8" w:color="EEEEEE"/>
            </w:tcBorders>
          </w:tcPr>
          <w:p>
            <w:pPr>
              <w:spacing w:after="0"/>
              <w:rPr>
                <w:sz w:val="17"/>
                <w:szCs w:val="17"/>
                <w:color w:val="auto"/>
              </w:rPr>
            </w:pPr>
          </w:p>
        </w:tc>
        <w:tc>
          <w:tcPr>
            <w:tcW w:w="1260" w:type="dxa"/>
            <w:vAlign w:val="bottom"/>
            <w:tcBorders>
              <w:top w:val="single" w:sz="8" w:color="EEEEEE"/>
              <w:bottom w:val="single" w:sz="8" w:color="EEEEEE"/>
            </w:tcBorders>
          </w:tcPr>
          <w:p>
            <w:pPr>
              <w:spacing w:after="0"/>
              <w:rPr>
                <w:sz w:val="17"/>
                <w:szCs w:val="17"/>
                <w:color w:val="auto"/>
              </w:rPr>
            </w:pPr>
          </w:p>
        </w:tc>
        <w:tc>
          <w:tcPr>
            <w:tcW w:w="100" w:type="dxa"/>
            <w:vAlign w:val="bottom"/>
            <w:tcBorders>
              <w:top w:val="single" w:sz="8" w:color="EEEEEE"/>
              <w:bottom w:val="single" w:sz="8" w:color="EEEEEE"/>
            </w:tcBorders>
          </w:tcPr>
          <w:p>
            <w:pPr>
              <w:spacing w:after="0"/>
              <w:rPr>
                <w:sz w:val="17"/>
                <w:szCs w:val="17"/>
                <w:color w:val="auto"/>
              </w:rPr>
            </w:pPr>
          </w:p>
        </w:tc>
      </w:tr>
      <w:tr>
        <w:trPr>
          <w:trHeight w:val="246"/>
        </w:trPr>
        <w:tc>
          <w:tcPr>
            <w:tcW w:w="2580" w:type="dxa"/>
            <w:vAlign w:val="bottom"/>
            <w:gridSpan w:val="5"/>
            <w:shd w:val="clear" w:color="auto" w:fill="EEEEEE"/>
          </w:tcPr>
          <w:p>
            <w:pPr>
              <w:spacing w:after="0"/>
              <w:rPr>
                <w:sz w:val="20"/>
                <w:szCs w:val="20"/>
                <w:color w:val="auto"/>
              </w:rPr>
            </w:pPr>
            <w:r>
              <w:rPr>
                <w:rFonts w:ascii="Arial" w:cs="Arial" w:eastAsia="Arial" w:hAnsi="Arial"/>
                <w:sz w:val="16"/>
                <w:szCs w:val="16"/>
                <w:color w:val="auto"/>
              </w:rPr>
              <w:t>Net interest income/spread</w:t>
            </w:r>
          </w:p>
        </w:tc>
        <w:tc>
          <w:tcPr>
            <w:tcW w:w="16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46,931</w:t>
            </w:r>
          </w:p>
        </w:tc>
        <w:tc>
          <w:tcPr>
            <w:tcW w:w="122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3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56,898</w:t>
            </w:r>
          </w:p>
        </w:tc>
        <w:tc>
          <w:tcPr>
            <w:tcW w:w="126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r>
      <w:tr>
        <w:trPr>
          <w:trHeight w:val="183"/>
        </w:trPr>
        <w:tc>
          <w:tcPr>
            <w:tcW w:w="2580" w:type="dxa"/>
            <w:vAlign w:val="bottom"/>
            <w:tcBorders>
              <w:top w:val="single" w:sz="8" w:color="EEEEEE"/>
            </w:tcBorders>
            <w:gridSpan w:val="5"/>
          </w:tcPr>
          <w:p>
            <w:pPr>
              <w:spacing w:after="0"/>
              <w:rPr>
                <w:sz w:val="20"/>
                <w:szCs w:val="20"/>
                <w:color w:val="auto"/>
              </w:rPr>
            </w:pPr>
            <w:r>
              <w:rPr>
                <w:rFonts w:ascii="Arial" w:cs="Arial" w:eastAsia="Arial" w:hAnsi="Arial"/>
                <w:sz w:val="16"/>
                <w:szCs w:val="16"/>
                <w:color w:val="auto"/>
              </w:rPr>
              <w:t>Net interest yield (2)</w:t>
            </w:r>
          </w:p>
        </w:tc>
        <w:tc>
          <w:tcPr>
            <w:tcW w:w="160" w:type="dxa"/>
            <w:vAlign w:val="bottom"/>
            <w:tcBorders>
              <w:top w:val="single" w:sz="8" w:color="EEEEEE"/>
            </w:tcBorders>
          </w:tcPr>
          <w:p>
            <w:pPr>
              <w:spacing w:after="0"/>
              <w:rPr>
                <w:sz w:val="15"/>
                <w:szCs w:val="15"/>
                <w:color w:val="auto"/>
              </w:rPr>
            </w:pPr>
          </w:p>
        </w:tc>
        <w:tc>
          <w:tcPr>
            <w:tcW w:w="1080" w:type="dxa"/>
            <w:vAlign w:val="bottom"/>
            <w:tcBorders>
              <w:top w:val="single" w:sz="8" w:color="EEEEEE"/>
            </w:tcBorders>
          </w:tcPr>
          <w:p>
            <w:pPr>
              <w:spacing w:after="0"/>
              <w:rPr>
                <w:sz w:val="15"/>
                <w:szCs w:val="15"/>
                <w:color w:val="auto"/>
              </w:rPr>
            </w:pPr>
          </w:p>
        </w:tc>
        <w:tc>
          <w:tcPr>
            <w:tcW w:w="240" w:type="dxa"/>
            <w:vAlign w:val="bottom"/>
            <w:tcBorders>
              <w:top w:val="single" w:sz="8" w:color="EEEEEE"/>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Borders>
              <w:top w:val="single" w:sz="8" w:color="EEEEEE"/>
            </w:tcBorders>
          </w:tcPr>
          <w:p>
            <w:pPr>
              <w:spacing w:after="0"/>
              <w:rPr>
                <w:sz w:val="15"/>
                <w:szCs w:val="15"/>
                <w:color w:val="auto"/>
              </w:rPr>
            </w:pPr>
          </w:p>
        </w:tc>
        <w:tc>
          <w:tcPr>
            <w:tcW w:w="1340" w:type="dxa"/>
            <w:vAlign w:val="bottom"/>
            <w:tcBorders>
              <w:top w:val="single" w:sz="8" w:color="EEEEEE"/>
            </w:tcBorders>
            <w:gridSpan w:val="2"/>
          </w:tcPr>
          <w:p>
            <w:pPr>
              <w:jc w:val="right"/>
              <w:ind w:right="120"/>
              <w:spacing w:after="0"/>
              <w:rPr>
                <w:sz w:val="20"/>
                <w:szCs w:val="20"/>
                <w:color w:val="auto"/>
              </w:rPr>
            </w:pPr>
            <w:r>
              <w:rPr>
                <w:rFonts w:ascii="Arial" w:cs="Arial" w:eastAsia="Arial" w:hAnsi="Arial"/>
                <w:sz w:val="16"/>
                <w:szCs w:val="16"/>
                <w:color w:val="auto"/>
              </w:rPr>
              <w:t>5.9%</w:t>
            </w:r>
          </w:p>
        </w:tc>
        <w:tc>
          <w:tcPr>
            <w:tcW w:w="120" w:type="dxa"/>
            <w:vAlign w:val="bottom"/>
            <w:tcBorders>
              <w:top w:val="single" w:sz="8" w:color="EEEEEE"/>
            </w:tcBorders>
          </w:tcPr>
          <w:p>
            <w:pPr>
              <w:spacing w:after="0"/>
              <w:rPr>
                <w:sz w:val="15"/>
                <w:szCs w:val="15"/>
                <w:color w:val="auto"/>
              </w:rPr>
            </w:pPr>
          </w:p>
        </w:tc>
        <w:tc>
          <w:tcPr>
            <w:tcW w:w="140" w:type="dxa"/>
            <w:vAlign w:val="bottom"/>
            <w:tcBorders>
              <w:top w:val="single" w:sz="8" w:color="EEEEEE"/>
            </w:tcBorders>
          </w:tcPr>
          <w:p>
            <w:pPr>
              <w:spacing w:after="0"/>
              <w:rPr>
                <w:sz w:val="15"/>
                <w:szCs w:val="15"/>
                <w:color w:val="auto"/>
              </w:rPr>
            </w:pPr>
          </w:p>
        </w:tc>
        <w:tc>
          <w:tcPr>
            <w:tcW w:w="1080" w:type="dxa"/>
            <w:vAlign w:val="bottom"/>
            <w:tcBorders>
              <w:top w:val="single" w:sz="8" w:color="EEEEEE"/>
            </w:tcBorders>
          </w:tcPr>
          <w:p>
            <w:pPr>
              <w:spacing w:after="0"/>
              <w:rPr>
                <w:sz w:val="15"/>
                <w:szCs w:val="15"/>
                <w:color w:val="auto"/>
              </w:rPr>
            </w:pPr>
          </w:p>
        </w:tc>
        <w:tc>
          <w:tcPr>
            <w:tcW w:w="120" w:type="dxa"/>
            <w:vAlign w:val="bottom"/>
            <w:tcBorders>
              <w:top w:val="single" w:sz="8" w:color="EEEEEE"/>
            </w:tcBorders>
          </w:tcPr>
          <w:p>
            <w:pPr>
              <w:spacing w:after="0"/>
              <w:rPr>
                <w:sz w:val="15"/>
                <w:szCs w:val="15"/>
                <w:color w:val="auto"/>
              </w:rPr>
            </w:pPr>
          </w:p>
        </w:tc>
        <w:tc>
          <w:tcPr>
            <w:tcW w:w="120" w:type="dxa"/>
            <w:vAlign w:val="bottom"/>
            <w:tcBorders>
              <w:top w:val="single" w:sz="8" w:color="EEEEEE"/>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EEEEEE"/>
            </w:tcBorders>
          </w:tcPr>
          <w:p>
            <w:pPr>
              <w:spacing w:after="0"/>
              <w:rPr>
                <w:sz w:val="15"/>
                <w:szCs w:val="15"/>
                <w:color w:val="auto"/>
              </w:rPr>
            </w:pPr>
          </w:p>
        </w:tc>
        <w:tc>
          <w:tcPr>
            <w:tcW w:w="1260" w:type="dxa"/>
            <w:vAlign w:val="bottom"/>
            <w:tcBorders>
              <w:top w:val="single" w:sz="8" w:color="EEEEEE"/>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top w:val="single" w:sz="8" w:color="EEEEEE"/>
            </w:tcBorders>
          </w:tcPr>
          <w:p>
            <w:pPr>
              <w:spacing w:after="0"/>
              <w:rPr>
                <w:sz w:val="15"/>
                <w:szCs w:val="15"/>
                <w:color w:val="auto"/>
              </w:rPr>
            </w:pPr>
          </w:p>
        </w:tc>
      </w:tr>
      <w:tr>
        <w:trPr>
          <w:trHeight w:val="206"/>
        </w:trPr>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193"/>
        </w:trPr>
        <w:tc>
          <w:tcPr>
            <w:tcW w:w="2580" w:type="dxa"/>
            <w:vAlign w:val="bottom"/>
            <w:gridSpan w:val="5"/>
          </w:tcPr>
          <w:p>
            <w:pPr>
              <w:spacing w:after="0"/>
              <w:rPr>
                <w:sz w:val="20"/>
                <w:szCs w:val="20"/>
                <w:color w:val="auto"/>
              </w:rPr>
            </w:pPr>
            <w:r>
              <w:rPr>
                <w:rFonts w:ascii="Arial" w:cs="Arial" w:eastAsia="Arial" w:hAnsi="Arial"/>
                <w:sz w:val="16"/>
                <w:szCs w:val="16"/>
                <w:color w:val="auto"/>
              </w:rPr>
              <w:t>Ratio of average interest earning</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580" w:type="dxa"/>
            <w:vAlign w:val="bottom"/>
            <w:gridSpan w:val="5"/>
          </w:tcPr>
          <w:p>
            <w:pPr>
              <w:jc w:val="center"/>
              <w:ind w:right="80"/>
              <w:spacing w:after="0"/>
              <w:rPr>
                <w:sz w:val="20"/>
                <w:szCs w:val="20"/>
                <w:color w:val="auto"/>
              </w:rPr>
            </w:pPr>
            <w:r>
              <w:rPr>
                <w:rFonts w:ascii="Arial" w:cs="Arial" w:eastAsia="Arial" w:hAnsi="Arial"/>
                <w:sz w:val="16"/>
                <w:szCs w:val="16"/>
                <w:color w:val="auto"/>
                <w:w w:val="88"/>
              </w:rPr>
              <w:t>assets to average interest bearing</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2580" w:type="dxa"/>
            <w:vAlign w:val="bottom"/>
            <w:gridSpan w:val="5"/>
          </w:tcPr>
          <w:p>
            <w:pPr>
              <w:ind w:left="180"/>
              <w:spacing w:after="0"/>
              <w:rPr>
                <w:sz w:val="20"/>
                <w:szCs w:val="20"/>
                <w:color w:val="auto"/>
              </w:rPr>
            </w:pPr>
            <w:r>
              <w:rPr>
                <w:rFonts w:ascii="Arial" w:cs="Arial" w:eastAsia="Arial" w:hAnsi="Arial"/>
                <w:sz w:val="16"/>
                <w:szCs w:val="16"/>
                <w:color w:val="auto"/>
              </w:rPr>
              <w:t>liabilities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7"/>
                <w:szCs w:val="17"/>
                <w:color w:val="auto"/>
              </w:rPr>
            </w:pPr>
          </w:p>
        </w:tc>
      </w:tr>
    </w:tbl>
    <w:p>
      <w:pPr>
        <w:spacing w:after="0" w:line="235" w:lineRule="exact"/>
        <w:rPr>
          <w:sz w:val="20"/>
          <w:szCs w:val="20"/>
          <w:color w:val="auto"/>
        </w:rPr>
      </w:pPr>
    </w:p>
    <w:p>
      <w:pPr>
        <w:ind w:left="540" w:hanging="307"/>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540" w:hanging="307"/>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60" w:type="dxa"/>
            <w:vAlign w:val="bottom"/>
            <w:gridSpan w:val="8"/>
          </w:tcPr>
          <w:p>
            <w:pPr>
              <w:jc w:val="center"/>
              <w:ind w:right="340"/>
              <w:spacing w:after="0"/>
              <w:rPr>
                <w:sz w:val="20"/>
                <w:szCs w:val="20"/>
                <w:color w:val="auto"/>
              </w:rPr>
            </w:pPr>
            <w:r>
              <w:rPr>
                <w:rFonts w:ascii="Arial" w:cs="Arial" w:eastAsia="Arial" w:hAnsi="Arial"/>
                <w:sz w:val="16"/>
                <w:szCs w:val="16"/>
                <w:b w:val="1"/>
                <w:bCs w:val="1"/>
                <w:color w:val="auto"/>
                <w:w w:val="91"/>
              </w:rPr>
              <w:t>Three Months Ended June 30, 2023</w:t>
            </w:r>
          </w:p>
        </w:tc>
      </w:tr>
      <w:tr>
        <w:trPr>
          <w:trHeight w:val="210"/>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center"/>
              <w:ind w:left="779"/>
              <w:spacing w:after="0"/>
              <w:rPr>
                <w:sz w:val="20"/>
                <w:szCs w:val="20"/>
                <w:color w:val="auto"/>
              </w:rPr>
            </w:pPr>
            <w:r>
              <w:rPr>
                <w:rFonts w:ascii="Arial" w:cs="Arial" w:eastAsia="Arial" w:hAnsi="Arial"/>
                <w:sz w:val="16"/>
                <w:szCs w:val="16"/>
                <w:b w:val="1"/>
                <w:bCs w:val="1"/>
                <w:color w:val="auto"/>
                <w:w w:val="90"/>
              </w:rPr>
              <w:t>Compared to June 30, 2022</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Change Due</w:t>
            </w:r>
          </w:p>
        </w:tc>
        <w:tc>
          <w:tcPr>
            <w:tcW w:w="160" w:type="dxa"/>
            <w:vAlign w:val="bottom"/>
          </w:tcPr>
          <w:p>
            <w:pPr>
              <w:spacing w:after="0"/>
              <w:rPr>
                <w:sz w:val="17"/>
                <w:szCs w:val="17"/>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w w:val="94"/>
              </w:rPr>
              <w:t>Change Due</w:t>
            </w:r>
          </w:p>
        </w:tc>
        <w:tc>
          <w:tcPr>
            <w:tcW w:w="120" w:type="dxa"/>
            <w:vAlign w:val="bottom"/>
          </w:tcPr>
          <w:p>
            <w:pPr>
              <w:spacing w:after="0"/>
              <w:rPr>
                <w:sz w:val="17"/>
                <w:szCs w:val="17"/>
                <w:color w:val="auto"/>
              </w:rPr>
            </w:pPr>
          </w:p>
        </w:tc>
      </w:tr>
      <w:tr>
        <w:trPr>
          <w:trHeight w:val="210"/>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to Volume</w:t>
            </w: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to Rate</w:t>
            </w:r>
          </w:p>
        </w:tc>
      </w:tr>
      <w:tr>
        <w:trPr>
          <w:trHeight w:val="202"/>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0"/>
              </w:rPr>
              <w:t>(In thousands)</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3"/>
        </w:trPr>
        <w:tc>
          <w:tcPr>
            <w:tcW w:w="300" w:type="dxa"/>
            <w:vAlign w:val="bottom"/>
            <w:tcBorders>
              <w:bottom w:val="single" w:sz="8" w:color="EEEEEE"/>
            </w:tcBorders>
            <w:shd w:val="clear" w:color="auto" w:fill="EEEEEE"/>
          </w:tcPr>
          <w:p>
            <w:pPr>
              <w:spacing w:after="0"/>
              <w:rPr>
                <w:sz w:val="15"/>
                <w:szCs w:val="15"/>
                <w:color w:val="auto"/>
              </w:rPr>
            </w:pPr>
          </w:p>
        </w:tc>
        <w:tc>
          <w:tcPr>
            <w:tcW w:w="140" w:type="dxa"/>
            <w:vAlign w:val="bottom"/>
            <w:tcBorders>
              <w:bottom w:val="single" w:sz="8" w:color="EEEEEE"/>
            </w:tcBorders>
            <w:shd w:val="clear" w:color="auto" w:fill="EEEEEE"/>
          </w:tcPr>
          <w:p>
            <w:pPr>
              <w:spacing w:after="0"/>
              <w:rPr>
                <w:sz w:val="15"/>
                <w:szCs w:val="15"/>
                <w:color w:val="auto"/>
              </w:rPr>
            </w:pPr>
          </w:p>
        </w:tc>
        <w:tc>
          <w:tcPr>
            <w:tcW w:w="1600" w:type="dxa"/>
            <w:vAlign w:val="bottom"/>
            <w:tcBorders>
              <w:bottom w:val="single" w:sz="8" w:color="auto"/>
            </w:tcBorders>
            <w:shd w:val="clear" w:color="auto" w:fill="EEEEEE"/>
          </w:tcPr>
          <w:p>
            <w:pPr>
              <w:jc w:val="center"/>
              <w:spacing w:after="0" w:line="162" w:lineRule="exact"/>
              <w:rPr>
                <w:sz w:val="20"/>
                <w:szCs w:val="20"/>
                <w:color w:val="auto"/>
              </w:rPr>
            </w:pPr>
            <w:r>
              <w:rPr>
                <w:rFonts w:ascii="Arial" w:cs="Arial" w:eastAsia="Arial" w:hAnsi="Arial"/>
                <w:sz w:val="16"/>
                <w:szCs w:val="16"/>
                <w:b w:val="1"/>
                <w:bCs w:val="1"/>
                <w:color w:val="auto"/>
                <w:w w:val="89"/>
              </w:rPr>
              <w:t>Interest Earning Assets</w:t>
            </w:r>
          </w:p>
        </w:tc>
        <w:tc>
          <w:tcPr>
            <w:tcW w:w="540" w:type="dxa"/>
            <w:vAlign w:val="bottom"/>
            <w:tcBorders>
              <w:bottom w:val="single" w:sz="8" w:color="EEEEEE"/>
            </w:tcBorders>
            <w:gridSpan w:val="2"/>
            <w:shd w:val="clear" w:color="auto" w:fill="EEEEEE"/>
          </w:tcPr>
          <w:p>
            <w:pPr>
              <w:spacing w:after="0"/>
              <w:rPr>
                <w:sz w:val="15"/>
                <w:szCs w:val="15"/>
                <w:color w:val="auto"/>
              </w:rPr>
            </w:pPr>
          </w:p>
        </w:tc>
        <w:tc>
          <w:tcPr>
            <w:tcW w:w="220" w:type="dxa"/>
            <w:vAlign w:val="bottom"/>
            <w:tcBorders>
              <w:bottom w:val="single" w:sz="8" w:color="EEEEEE"/>
            </w:tcBorders>
            <w:shd w:val="clear" w:color="auto" w:fill="EEEEEE"/>
          </w:tcPr>
          <w:p>
            <w:pPr>
              <w:spacing w:after="0"/>
              <w:rPr>
                <w:sz w:val="15"/>
                <w:szCs w:val="15"/>
                <w:color w:val="auto"/>
              </w:rPr>
            </w:pPr>
          </w:p>
        </w:tc>
        <w:tc>
          <w:tcPr>
            <w:tcW w:w="1020" w:type="dxa"/>
            <w:vAlign w:val="bottom"/>
            <w:tcBorders>
              <w:bottom w:val="single" w:sz="8" w:color="EEEEEE"/>
            </w:tcBorders>
            <w:shd w:val="clear" w:color="auto" w:fill="EEEEEE"/>
          </w:tcPr>
          <w:p>
            <w:pPr>
              <w:spacing w:after="0"/>
              <w:rPr>
                <w:sz w:val="15"/>
                <w:szCs w:val="15"/>
                <w:color w:val="auto"/>
              </w:rPr>
            </w:pPr>
          </w:p>
        </w:tc>
        <w:tc>
          <w:tcPr>
            <w:tcW w:w="220" w:type="dxa"/>
            <w:vAlign w:val="bottom"/>
            <w:tcBorders>
              <w:bottom w:val="single" w:sz="8" w:color="EEEEEE"/>
            </w:tcBorders>
            <w:shd w:val="clear" w:color="auto" w:fill="EEEEEE"/>
          </w:tcPr>
          <w:p>
            <w:pPr>
              <w:spacing w:after="0"/>
              <w:rPr>
                <w:sz w:val="15"/>
                <w:szCs w:val="15"/>
                <w:color w:val="auto"/>
              </w:rPr>
            </w:pPr>
          </w:p>
        </w:tc>
        <w:tc>
          <w:tcPr>
            <w:tcW w:w="100" w:type="dxa"/>
            <w:vAlign w:val="bottom"/>
            <w:tcBorders>
              <w:bottom w:val="single" w:sz="8" w:color="EEEEEE"/>
            </w:tcBorders>
            <w:shd w:val="clear" w:color="auto" w:fill="EEEEEE"/>
          </w:tcPr>
          <w:p>
            <w:pPr>
              <w:spacing w:after="0"/>
              <w:rPr>
                <w:sz w:val="15"/>
                <w:szCs w:val="15"/>
                <w:color w:val="auto"/>
              </w:rPr>
            </w:pPr>
          </w:p>
        </w:tc>
        <w:tc>
          <w:tcPr>
            <w:tcW w:w="1140" w:type="dxa"/>
            <w:vAlign w:val="bottom"/>
            <w:tcBorders>
              <w:bottom w:val="single" w:sz="8" w:color="EEEEEE"/>
            </w:tcBorders>
            <w:shd w:val="clear" w:color="auto" w:fill="EEEEEE"/>
          </w:tcPr>
          <w:p>
            <w:pPr>
              <w:spacing w:after="0"/>
              <w:rPr>
                <w:sz w:val="15"/>
                <w:szCs w:val="15"/>
                <w:color w:val="auto"/>
              </w:rPr>
            </w:pPr>
          </w:p>
        </w:tc>
        <w:tc>
          <w:tcPr>
            <w:tcW w:w="220" w:type="dxa"/>
            <w:vAlign w:val="bottom"/>
            <w:tcBorders>
              <w:bottom w:val="single" w:sz="8" w:color="EEEEEE"/>
            </w:tcBorders>
            <w:shd w:val="clear" w:color="auto" w:fill="EEEEEE"/>
          </w:tcPr>
          <w:p>
            <w:pPr>
              <w:spacing w:after="0"/>
              <w:rPr>
                <w:sz w:val="15"/>
                <w:szCs w:val="15"/>
                <w:color w:val="auto"/>
              </w:rPr>
            </w:pPr>
          </w:p>
        </w:tc>
        <w:tc>
          <w:tcPr>
            <w:tcW w:w="160" w:type="dxa"/>
            <w:vAlign w:val="bottom"/>
            <w:tcBorders>
              <w:bottom w:val="single" w:sz="8" w:color="EEEEEE"/>
            </w:tcBorders>
            <w:shd w:val="clear" w:color="auto" w:fill="EEEEEE"/>
          </w:tcPr>
          <w:p>
            <w:pPr>
              <w:spacing w:after="0"/>
              <w:rPr>
                <w:sz w:val="15"/>
                <w:szCs w:val="15"/>
                <w:color w:val="auto"/>
              </w:rPr>
            </w:pPr>
          </w:p>
        </w:tc>
        <w:tc>
          <w:tcPr>
            <w:tcW w:w="1080" w:type="dxa"/>
            <w:vAlign w:val="bottom"/>
            <w:tcBorders>
              <w:bottom w:val="single" w:sz="8" w:color="EEEEEE"/>
            </w:tcBorders>
            <w:shd w:val="clear" w:color="auto" w:fill="EEEEEE"/>
          </w:tcPr>
          <w:p>
            <w:pPr>
              <w:spacing w:after="0"/>
              <w:rPr>
                <w:sz w:val="15"/>
                <w:szCs w:val="15"/>
                <w:color w:val="auto"/>
              </w:rPr>
            </w:pPr>
          </w:p>
        </w:tc>
        <w:tc>
          <w:tcPr>
            <w:tcW w:w="120" w:type="dxa"/>
            <w:vAlign w:val="bottom"/>
            <w:tcBorders>
              <w:bottom w:val="single" w:sz="8" w:color="EEEEEE"/>
            </w:tcBorders>
            <w:shd w:val="clear" w:color="auto" w:fill="EEEEEE"/>
          </w:tcPr>
          <w:p>
            <w:pPr>
              <w:spacing w:after="0"/>
              <w:rPr>
                <w:sz w:val="15"/>
                <w:szCs w:val="15"/>
                <w:color w:val="auto"/>
              </w:rPr>
            </w:pPr>
          </w:p>
        </w:tc>
      </w:tr>
      <w:tr>
        <w:trPr>
          <w:trHeight w:val="203"/>
        </w:trPr>
        <w:tc>
          <w:tcPr>
            <w:tcW w:w="2580" w:type="dxa"/>
            <w:vAlign w:val="bottom"/>
            <w:gridSpan w:val="5"/>
          </w:tcPr>
          <w:p>
            <w:pPr>
              <w:spacing w:after="0"/>
              <w:rPr>
                <w:sz w:val="20"/>
                <w:szCs w:val="20"/>
                <w:color w:val="auto"/>
              </w:rPr>
            </w:pPr>
            <w:r>
              <w:rPr>
                <w:rFonts w:ascii="Arial" w:cs="Arial" w:eastAsia="Arial" w:hAnsi="Arial"/>
                <w:sz w:val="16"/>
                <w:szCs w:val="16"/>
                <w:color w:val="auto"/>
              </w:rPr>
              <w:t>Loan Portfolio</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6,967</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8,894</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(1,927)</w:t>
            </w:r>
          </w:p>
        </w:tc>
      </w:tr>
      <w:tr>
        <w:trPr>
          <w:trHeight w:val="203"/>
        </w:trPr>
        <w:tc>
          <w:tcPr>
            <w:tcW w:w="3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r>
      <w:tr>
        <w:trPr>
          <w:trHeight w:val="162"/>
        </w:trPr>
        <w:tc>
          <w:tcPr>
            <w:tcW w:w="2580" w:type="dxa"/>
            <w:vAlign w:val="bottom"/>
            <w:gridSpan w:val="5"/>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Interest Bearing Liabilities</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3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2580" w:type="dxa"/>
            <w:vAlign w:val="bottom"/>
            <w:gridSpan w:val="5"/>
            <w:shd w:val="clear" w:color="auto" w:fill="EEEEEE"/>
          </w:tcPr>
          <w:p>
            <w:pPr>
              <w:spacing w:after="0"/>
              <w:rPr>
                <w:sz w:val="20"/>
                <w:szCs w:val="20"/>
                <w:color w:val="auto"/>
              </w:rPr>
            </w:pPr>
            <w:r>
              <w:rPr>
                <w:rFonts w:ascii="Arial" w:cs="Arial" w:eastAsia="Arial" w:hAnsi="Arial"/>
                <w:sz w:val="16"/>
                <w:szCs w:val="16"/>
                <w:color w:val="auto"/>
              </w:rPr>
              <w:t>Warehouse lines of credit</w:t>
            </w: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3,621</w:t>
            </w: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1,735</w:t>
            </w: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1,886</w:t>
            </w:r>
          </w:p>
        </w:tc>
      </w:tr>
      <w:tr>
        <w:trPr>
          <w:trHeight w:val="203"/>
        </w:trPr>
        <w:tc>
          <w:tcPr>
            <w:tcW w:w="2580" w:type="dxa"/>
            <w:vAlign w:val="bottom"/>
            <w:gridSpan w:val="5"/>
          </w:tcPr>
          <w:p>
            <w:pPr>
              <w:spacing w:after="0"/>
              <w:rPr>
                <w:sz w:val="20"/>
                <w:szCs w:val="20"/>
                <w:color w:val="auto"/>
              </w:rPr>
            </w:pPr>
            <w:r>
              <w:rPr>
                <w:rFonts w:ascii="Arial" w:cs="Arial" w:eastAsia="Arial" w:hAnsi="Arial"/>
                <w:sz w:val="16"/>
                <w:szCs w:val="16"/>
                <w:color w:val="auto"/>
              </w:rPr>
              <w:t>Residual interest financing</w:t>
            </w:r>
          </w:p>
        </w:tc>
        <w:tc>
          <w:tcPr>
            <w:tcW w:w="2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2580" w:type="dxa"/>
            <w:vAlign w:val="bottom"/>
            <w:gridSpan w:val="5"/>
            <w:shd w:val="clear" w:color="auto" w:fill="EEEEEE"/>
          </w:tcPr>
          <w:p>
            <w:pPr>
              <w:spacing w:after="0"/>
              <w:rPr>
                <w:sz w:val="20"/>
                <w:szCs w:val="20"/>
                <w:color w:val="auto"/>
              </w:rPr>
            </w:pPr>
            <w:r>
              <w:rPr>
                <w:rFonts w:ascii="Arial" w:cs="Arial" w:eastAsia="Arial" w:hAnsi="Arial"/>
                <w:sz w:val="16"/>
                <w:szCs w:val="16"/>
                <w:color w:val="auto"/>
              </w:rPr>
              <w:t>Securitization trust debt</w:t>
            </w: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13,426</w:t>
            </w: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2,344</w:t>
            </w: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11,082</w:t>
            </w:r>
          </w:p>
        </w:tc>
      </w:tr>
      <w:tr>
        <w:trPr>
          <w:trHeight w:val="213"/>
        </w:trPr>
        <w:tc>
          <w:tcPr>
            <w:tcW w:w="2580" w:type="dxa"/>
            <w:vAlign w:val="bottom"/>
            <w:gridSpan w:val="5"/>
          </w:tcPr>
          <w:p>
            <w:pPr>
              <w:spacing w:after="0"/>
              <w:rPr>
                <w:sz w:val="20"/>
                <w:szCs w:val="20"/>
                <w:color w:val="auto"/>
              </w:rPr>
            </w:pPr>
            <w:r>
              <w:rPr>
                <w:rFonts w:ascii="Arial" w:cs="Arial" w:eastAsia="Arial" w:hAnsi="Arial"/>
                <w:sz w:val="16"/>
                <w:szCs w:val="16"/>
                <w:color w:val="auto"/>
              </w:rPr>
              <w:t>Subordinated renewable notes</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(102)</w:t>
            </w:r>
          </w:p>
        </w:tc>
        <w:tc>
          <w:tcPr>
            <w:tcW w:w="1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r>
      <w:tr>
        <w:trPr>
          <w:trHeight w:val="199"/>
        </w:trPr>
        <w:tc>
          <w:tcPr>
            <w:tcW w:w="300" w:type="dxa"/>
            <w:vAlign w:val="bottom"/>
            <w:tcBorders>
              <w:top w:val="single" w:sz="8" w:color="EEEEEE"/>
              <w:bottom w:val="single" w:sz="8" w:color="EEEEEE"/>
            </w:tcBorders>
            <w:shd w:val="clear" w:color="auto" w:fill="EEEEEE"/>
          </w:tcPr>
          <w:p>
            <w:pPr>
              <w:spacing w:after="0"/>
              <w:rPr>
                <w:sz w:val="17"/>
                <w:szCs w:val="17"/>
                <w:color w:val="auto"/>
              </w:rPr>
            </w:pPr>
          </w:p>
        </w:tc>
        <w:tc>
          <w:tcPr>
            <w:tcW w:w="140" w:type="dxa"/>
            <w:vAlign w:val="bottom"/>
            <w:tcBorders>
              <w:top w:val="single" w:sz="8" w:color="EEEEEE"/>
              <w:bottom w:val="single" w:sz="8" w:color="EEEEEE"/>
            </w:tcBorders>
            <w:shd w:val="clear" w:color="auto" w:fill="EEEEEE"/>
          </w:tcPr>
          <w:p>
            <w:pPr>
              <w:spacing w:after="0"/>
              <w:rPr>
                <w:sz w:val="17"/>
                <w:szCs w:val="17"/>
                <w:color w:val="auto"/>
              </w:rPr>
            </w:pPr>
          </w:p>
        </w:tc>
        <w:tc>
          <w:tcPr>
            <w:tcW w:w="1600" w:type="dxa"/>
            <w:vAlign w:val="bottom"/>
            <w:tcBorders>
              <w:top w:val="single" w:sz="8" w:color="EEEEEE"/>
              <w:bottom w:val="single" w:sz="8" w:color="EEEEEE"/>
            </w:tcBorders>
            <w:shd w:val="clear" w:color="auto" w:fill="EEEEEE"/>
          </w:tcPr>
          <w:p>
            <w:pPr>
              <w:spacing w:after="0"/>
              <w:rPr>
                <w:sz w:val="17"/>
                <w:szCs w:val="17"/>
                <w:color w:val="auto"/>
              </w:rPr>
            </w:pPr>
          </w:p>
        </w:tc>
        <w:tc>
          <w:tcPr>
            <w:tcW w:w="120" w:type="dxa"/>
            <w:vAlign w:val="bottom"/>
            <w:tcBorders>
              <w:top w:val="single" w:sz="8" w:color="EEEEEE"/>
              <w:bottom w:val="single" w:sz="8" w:color="EEEEEE"/>
            </w:tcBorders>
            <w:shd w:val="clear" w:color="auto" w:fill="EEEEEE"/>
          </w:tcPr>
          <w:p>
            <w:pPr>
              <w:spacing w:after="0"/>
              <w:rPr>
                <w:sz w:val="17"/>
                <w:szCs w:val="17"/>
                <w:color w:val="auto"/>
              </w:rPr>
            </w:pPr>
          </w:p>
        </w:tc>
        <w:tc>
          <w:tcPr>
            <w:tcW w:w="420" w:type="dxa"/>
            <w:vAlign w:val="bottom"/>
            <w:tcBorders>
              <w:top w:val="single" w:sz="8" w:color="EEEEEE"/>
              <w:bottom w:val="single" w:sz="8" w:color="EEEEEE"/>
            </w:tcBorders>
            <w:shd w:val="clear" w:color="auto" w:fill="EEEEEE"/>
          </w:tcPr>
          <w:p>
            <w:pPr>
              <w:spacing w:after="0"/>
              <w:rPr>
                <w:sz w:val="17"/>
                <w:szCs w:val="17"/>
                <w:color w:val="auto"/>
              </w:rPr>
            </w:pPr>
          </w:p>
        </w:tc>
        <w:tc>
          <w:tcPr>
            <w:tcW w:w="220" w:type="dxa"/>
            <w:vAlign w:val="bottom"/>
            <w:tcBorders>
              <w:top w:val="single" w:sz="8" w:color="auto"/>
              <w:bottom w:val="single" w:sz="8" w:color="auto"/>
            </w:tcBorders>
            <w:shd w:val="clear" w:color="auto" w:fill="EEEEEE"/>
          </w:tcPr>
          <w:p>
            <w:pPr>
              <w:spacing w:after="0"/>
              <w:rPr>
                <w:sz w:val="17"/>
                <w:szCs w:val="17"/>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16,934</w:t>
            </w:r>
          </w:p>
        </w:tc>
        <w:tc>
          <w:tcPr>
            <w:tcW w:w="220" w:type="dxa"/>
            <w:vAlign w:val="bottom"/>
            <w:tcBorders>
              <w:top w:val="single" w:sz="8" w:color="EEEEEE"/>
              <w:bottom w:val="single" w:sz="8" w:color="EEEEEE"/>
            </w:tcBorders>
            <w:shd w:val="clear" w:color="auto" w:fill="EEEEEE"/>
          </w:tcPr>
          <w:p>
            <w:pPr>
              <w:spacing w:after="0"/>
              <w:rPr>
                <w:sz w:val="17"/>
                <w:szCs w:val="17"/>
                <w:color w:val="auto"/>
              </w:rPr>
            </w:pPr>
          </w:p>
        </w:tc>
        <w:tc>
          <w:tcPr>
            <w:tcW w:w="100" w:type="dxa"/>
            <w:vAlign w:val="bottom"/>
            <w:tcBorders>
              <w:top w:val="single" w:sz="8" w:color="auto"/>
              <w:bottom w:val="single" w:sz="8" w:color="auto"/>
            </w:tcBorders>
            <w:shd w:val="clear" w:color="auto" w:fill="EEEEEE"/>
          </w:tcPr>
          <w:p>
            <w:pPr>
              <w:spacing w:after="0"/>
              <w:rPr>
                <w:sz w:val="17"/>
                <w:szCs w:val="17"/>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3,977</w:t>
            </w:r>
          </w:p>
        </w:tc>
        <w:tc>
          <w:tcPr>
            <w:tcW w:w="220" w:type="dxa"/>
            <w:vAlign w:val="bottom"/>
            <w:tcBorders>
              <w:top w:val="single" w:sz="8" w:color="EEEEEE"/>
              <w:bottom w:val="single" w:sz="8" w:color="EEEEEE"/>
            </w:tcBorders>
            <w:shd w:val="clear" w:color="auto" w:fill="EEEEEE"/>
          </w:tcPr>
          <w:p>
            <w:pPr>
              <w:spacing w:after="0"/>
              <w:rPr>
                <w:sz w:val="17"/>
                <w:szCs w:val="17"/>
                <w:color w:val="auto"/>
              </w:rPr>
            </w:pPr>
          </w:p>
        </w:tc>
        <w:tc>
          <w:tcPr>
            <w:tcW w:w="160" w:type="dxa"/>
            <w:vAlign w:val="bottom"/>
            <w:tcBorders>
              <w:top w:val="single" w:sz="8" w:color="auto"/>
              <w:bottom w:val="single" w:sz="8" w:color="auto"/>
            </w:tcBorders>
            <w:shd w:val="clear" w:color="auto" w:fill="EEEEEE"/>
          </w:tcPr>
          <w:p>
            <w:pPr>
              <w:spacing w:after="0"/>
              <w:rPr>
                <w:sz w:val="17"/>
                <w:szCs w:val="17"/>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12,957</w:t>
            </w:r>
          </w:p>
        </w:tc>
        <w:tc>
          <w:tcPr>
            <w:tcW w:w="120" w:type="dxa"/>
            <w:vAlign w:val="bottom"/>
            <w:tcBorders>
              <w:top w:val="single" w:sz="8" w:color="EEEEEE"/>
              <w:bottom w:val="single" w:sz="8" w:color="EEEEEE"/>
            </w:tcBorders>
            <w:shd w:val="clear" w:color="auto" w:fill="EEEEEE"/>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7"/>
        </w:trPr>
        <w:tc>
          <w:tcPr>
            <w:tcW w:w="2580" w:type="dxa"/>
            <w:vAlign w:val="bottom"/>
            <w:gridSpan w:val="5"/>
            <w:shd w:val="clear" w:color="auto" w:fill="EEEEEE"/>
          </w:tcPr>
          <w:p>
            <w:pPr>
              <w:spacing w:after="0"/>
              <w:rPr>
                <w:sz w:val="20"/>
                <w:szCs w:val="20"/>
                <w:color w:val="auto"/>
              </w:rPr>
            </w:pPr>
            <w:r>
              <w:rPr>
                <w:rFonts w:ascii="Arial" w:cs="Arial" w:eastAsia="Arial" w:hAnsi="Arial"/>
                <w:sz w:val="16"/>
                <w:szCs w:val="16"/>
                <w:color w:val="auto"/>
              </w:rPr>
              <w:t>Net interest income/spread</w:t>
            </w:r>
          </w:p>
        </w:tc>
        <w:tc>
          <w:tcPr>
            <w:tcW w:w="220" w:type="dxa"/>
            <w:vAlign w:val="bottom"/>
            <w:shd w:val="clear" w:color="auto" w:fill="EEEEEE"/>
          </w:tcPr>
          <w:p>
            <w:pPr>
              <w:jc w:val="right"/>
              <w:ind w:right="6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(9,967)</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4,917</w:t>
            </w:r>
          </w:p>
        </w:tc>
        <w:tc>
          <w:tcPr>
            <w:tcW w:w="220" w:type="dxa"/>
            <w:vAlign w:val="bottom"/>
            <w:shd w:val="clear" w:color="auto" w:fill="EEEEEE"/>
          </w:tcPr>
          <w:p>
            <w:pPr>
              <w:spacing w:after="0"/>
              <w:rPr>
                <w:sz w:val="21"/>
                <w:szCs w:val="21"/>
                <w:color w:val="auto"/>
              </w:rPr>
            </w:pPr>
          </w:p>
        </w:tc>
        <w:tc>
          <w:tcPr>
            <w:tcW w:w="160" w:type="dxa"/>
            <w:vAlign w:val="bottom"/>
            <w:shd w:val="clear" w:color="auto" w:fill="EEEEEE"/>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(14,884)</w:t>
            </w:r>
          </w:p>
        </w:tc>
      </w:tr>
      <w:tr>
        <w:trPr>
          <w:trHeight w:val="20"/>
        </w:trPr>
        <w:tc>
          <w:tcPr>
            <w:tcW w:w="3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2" w:name="page33"/>
    <w:bookmarkEnd w:id="32"/>
    <w:p>
      <w:pPr>
        <w:jc w:val="both"/>
        <w:ind w:firstLine="162"/>
        <w:spacing w:after="0" w:line="259" w:lineRule="auto"/>
        <w:rPr>
          <w:sz w:val="20"/>
          <w:szCs w:val="20"/>
          <w:color w:val="auto"/>
        </w:rPr>
      </w:pPr>
      <w:r>
        <w:rPr>
          <w:rFonts w:ascii="Arial" w:cs="Arial" w:eastAsia="Arial" w:hAnsi="Arial"/>
          <w:sz w:val="18"/>
          <w:szCs w:val="18"/>
          <w:color w:val="auto"/>
        </w:rPr>
        <w:t>For the three months ended June 30, 2023, we recorded a reduction to provision for credit losses on finance receivables in the amount of $9.7 million. The reserve decrease was primarily due to a decrease in lifetime expected credit losses resulting from improved credit performance as our previous estimates for future losses exceeded actual incurred losses. This compares to $8.0 million in reductions to provision for credit losses for the three months ended June 30, 2022.</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evaluation of the allowance for credit losses indicated that the reserves against future losses are adequate as of June 30, 2023.</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16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Sales expense decreased to $5.5 million during the three months ended June 30, 2023 from $5.8 million in the same quarter in 2022. We purchased $318.4 million of new contracts during the three months ended June 30, 2023 compared to $548.1 million in the prior year period.</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Occupancy expenses was $1.6 million for the three months ending June 30, 2023, which is down from the $1.9 million in the first quarter of 2022.</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 expenses decreased to $211,000 compared to $385,000 in the previous year.</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For the three months ended June 30, 2023, we recorded income tax expense of $4.6 million, representing a 25% effective tax rate. In the prior period, our income tax expense was $8.9 million, representing a 26% effective tax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six months ended June 30, 2023 with the six months ended June 30, 2022</w:t>
      </w:r>
    </w:p>
    <w:p>
      <w:pPr>
        <w:spacing w:after="0" w:line="225"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During the six months ended June 30, 2023, our revenues were $168.0 million, an increase of $11.6 million, or 7.4%, from the prior year</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of $156.4 million. The primary reason for the increase in revenues is the increase in interest income resulting from the increase in the average outstanding balance of finance receivables measured at fair value. Revenues for the prior year period include a $7.1 million mark up to the recorded value of the finance receivables measured at fair value. The marks are estimates based on our evaluation of the appropriate fair value and future earnings rate of existing receivables compared to recently acquired receivables and increases or decreases in our estimates of future net losses. Our evaluation of the finance receivables measured at fair value resulted in no mark up or mark down to the fair value portfolio in the current year period.</w:t>
      </w:r>
    </w:p>
    <w:p>
      <w:pPr>
        <w:spacing w:after="0" w:line="164"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Interest income for the six months ended June 30, 2023 increased $17.0 million, or 11.6%, to $162.7 million from $145.7 million in the prior year. The primary reason for the increase in interest income is the 21.4% increase in the average balance of our loan portfolio over the prior year period. The interest yield on our total loan portfolio decreased from 12.3% in the prior year period to 11.3% in the current year period. The receivables measured at fair value make up a larger portion of our total loan portfolio in the current year period and this is the primary reason for the decrease in total interest yield. The interest yield on receivables measured at fair value is reduced to take account of expected losses and is therefore less than the yield on other finance receivables. The table below shows the average balance and interest yield of our loan portfolio for the six months ended June 30, 2023 and 2022: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8"/>
                <w:szCs w:val="18"/>
                <w:b w:val="1"/>
                <w:bCs w:val="1"/>
                <w:color w:val="auto"/>
                <w:w w:val="90"/>
              </w:rPr>
              <w:t>Six Months Ended June 30,</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jc w:val="center"/>
              <w:ind w:right="14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ind w:left="120"/>
              <w:spacing w:after="0"/>
              <w:rPr>
                <w:sz w:val="20"/>
                <w:szCs w:val="20"/>
                <w:color w:val="auto"/>
              </w:rPr>
            </w:pPr>
            <w:r>
              <w:rPr>
                <w:rFonts w:ascii="Arial" w:cs="Arial" w:eastAsia="Arial" w:hAnsi="Arial"/>
                <w:sz w:val="18"/>
                <w:szCs w:val="18"/>
                <w:b w:val="1"/>
                <w:bCs w:val="1"/>
                <w:color w:val="auto"/>
              </w:rPr>
              <w:t>Average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9"/>
              </w:rPr>
              <w:t>Interest</w:t>
            </w: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Interest</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Interest Earning Assets</w:t>
            </w:r>
          </w:p>
        </w:tc>
        <w:tc>
          <w:tcPr>
            <w:tcW w:w="20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Arial" w:cs="Arial" w:eastAsia="Arial" w:hAnsi="Arial"/>
                <w:sz w:val="18"/>
                <w:szCs w:val="18"/>
                <w:b w:val="1"/>
                <w:bCs w:val="1"/>
                <w:color w:val="auto"/>
              </w:rPr>
              <w:t>Balance</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Interest</w:t>
            </w:r>
          </w:p>
        </w:tc>
        <w:tc>
          <w:tcPr>
            <w:tcW w:w="16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7"/>
              </w:rPr>
              <w:t>Yield</w:t>
            </w: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Interest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Yield</w:t>
            </w: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5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Loan Portfolio</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2,880,293</w:t>
            </w: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162,699</w:t>
            </w:r>
          </w:p>
        </w:tc>
        <w:tc>
          <w:tcPr>
            <w:tcW w:w="16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11.3%   $</w:t>
            </w:r>
          </w:p>
        </w:tc>
        <w:tc>
          <w:tcPr>
            <w:tcW w:w="11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2,371,719</w:t>
            </w:r>
          </w:p>
        </w:tc>
        <w:tc>
          <w:tcPr>
            <w:tcW w:w="3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145,730</w:t>
            </w: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3" w:name="page34"/>
    <w:bookmarkEnd w:id="33"/>
    <w:p>
      <w:pPr>
        <w:jc w:val="both"/>
        <w:ind w:firstLine="162"/>
        <w:spacing w:after="0" w:line="263" w:lineRule="auto"/>
        <w:rPr>
          <w:sz w:val="20"/>
          <w:szCs w:val="20"/>
          <w:color w:val="auto"/>
        </w:rPr>
      </w:pPr>
      <w:r>
        <w:rPr>
          <w:rFonts w:ascii="Arial" w:cs="Arial" w:eastAsia="Arial" w:hAnsi="Arial"/>
          <w:sz w:val="18"/>
          <w:szCs w:val="18"/>
          <w:color w:val="auto"/>
        </w:rPr>
        <w:t>Other income was $5.3 million for the six months ended June 30, 2023 compared to $3.6 million for the comparable period in 2022. This 48.0% increase was primarily driven by the increase in origination and servicing fees we earned from third party receivables. These fees were $4.6 million for the six months ended June 30, 2023 compared to $2.3 million in the prior year period.</w:t>
      </w:r>
    </w:p>
    <w:p>
      <w:pPr>
        <w:spacing w:after="0" w:line="184"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interest expense, provision for credit losses, employee costs, sales and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internal rate of return or the recorded value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2"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spacing w:after="0" w:line="18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Total operating expenses were $130.9 million for the six months ended June 30, 2023, compared to $92.8 million for the prior period, an increase of $38.1 million, or 41.0%. The increase is primarily due to increases in interest expense and general and administrative expenses.</w:t>
      </w:r>
    </w:p>
    <w:p>
      <w:pPr>
        <w:spacing w:after="0" w:line="170"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Employee costs were $43.2 million during the six months ended June 30, 2023 compared to $42.7 million for the same period in the prior year. The table below summarizes our employees by category as well as contract purchases and units in our managed portfolio as of, and for the six-month periods ended, June 30, 2023 and 2022:</w:t>
      </w:r>
    </w:p>
    <w:p>
      <w:pPr>
        <w:spacing w:after="0" w:line="193" w:lineRule="exact"/>
        <w:rPr>
          <w:sz w:val="20"/>
          <w:szCs w:val="20"/>
          <w:color w:val="auto"/>
        </w:rPr>
      </w:pPr>
    </w:p>
    <w:tbl>
      <w:tblPr>
        <w:tblLayout w:type="fixed"/>
        <w:tblInd w:w="118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9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Six Months Ended June 30,</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6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52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(Dollars</w:t>
            </w:r>
          </w:p>
        </w:tc>
        <w:tc>
          <w:tcPr>
            <w:tcW w:w="340" w:type="dxa"/>
            <w:vAlign w:val="bottom"/>
          </w:tcPr>
          <w:p>
            <w:pPr>
              <w:ind w:left="60"/>
              <w:spacing w:after="0"/>
              <w:rPr>
                <w:sz w:val="20"/>
                <w:szCs w:val="20"/>
                <w:color w:val="auto"/>
              </w:rPr>
            </w:pPr>
            <w:r>
              <w:rPr>
                <w:rFonts w:ascii="Arial" w:cs="Arial" w:eastAsia="Arial" w:hAnsi="Arial"/>
                <w:sz w:val="18"/>
                <w:szCs w:val="18"/>
                <w:b w:val="1"/>
                <w:bCs w:val="1"/>
                <w:color w:val="auto"/>
              </w:rPr>
              <w:t>in</w:t>
            </w:r>
          </w:p>
        </w:tc>
        <w:tc>
          <w:tcPr>
            <w:tcW w:w="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millions)</w:t>
            </w: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980" w:type="dxa"/>
            <w:vAlign w:val="bottom"/>
            <w:shd w:val="clear" w:color="auto" w:fill="EEEEEE"/>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733.5</w:t>
            </w:r>
          </w:p>
        </w:tc>
        <w:tc>
          <w:tcPr>
            <w:tcW w:w="1320" w:type="dxa"/>
            <w:vAlign w:val="bottom"/>
            <w:gridSpan w:val="2"/>
            <w:shd w:val="clear" w:color="auto" w:fill="EEEEEE"/>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958.1</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36,184</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41,059</w:t>
            </w: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980" w:type="dxa"/>
            <w:vAlign w:val="bottom"/>
            <w:shd w:val="clear" w:color="auto" w:fill="EEEEEE"/>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6"/>
              </w:rPr>
              <w:t>2,910.3</w:t>
            </w:r>
          </w:p>
        </w:tc>
        <w:tc>
          <w:tcPr>
            <w:tcW w:w="1320" w:type="dxa"/>
            <w:vAlign w:val="bottom"/>
            <w:gridSpan w:val="2"/>
            <w:shd w:val="clear" w:color="auto" w:fill="EEEEEE"/>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93"/>
              </w:rPr>
              <w:t>2,650.9</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176,458</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167,146</w:t>
            </w:r>
          </w:p>
        </w:tc>
      </w:tr>
      <w:tr>
        <w:trPr>
          <w:trHeight w:val="216"/>
        </w:trPr>
        <w:tc>
          <w:tcPr>
            <w:tcW w:w="52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165</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194</w:t>
            </w: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Number of Sales staff</w:t>
            </w: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102</w:t>
            </w:r>
          </w:p>
        </w:tc>
        <w:tc>
          <w:tcPr>
            <w:tcW w:w="3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132</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448</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405</w:t>
            </w: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w:t>
            </w:r>
          </w:p>
        </w:tc>
        <w:tc>
          <w:tcPr>
            <w:tcW w:w="3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68</w:t>
            </w:r>
          </w:p>
        </w:tc>
      </w:tr>
      <w:tr>
        <w:trPr>
          <w:trHeight w:val="20"/>
        </w:trPr>
        <w:tc>
          <w:tcPr>
            <w:tcW w:w="5280" w:type="dxa"/>
            <w:vAlign w:val="bottom"/>
            <w:shd w:val="clear" w:color="auto" w:fill="EEEEEE"/>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803</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799</w:t>
            </w:r>
          </w:p>
        </w:tc>
      </w:tr>
      <w:tr>
        <w:trPr>
          <w:trHeight w:val="20"/>
        </w:trPr>
        <w:tc>
          <w:tcPr>
            <w:tcW w:w="5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was $23.2 million for the six months ended June 30, 2023, an increase of $6.7 million from $16.5 million in the prior year period.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34" w:name="page35"/>
    <w:bookmarkEnd w:id="34"/>
    <w:p>
      <w:pPr>
        <w:ind w:left="180"/>
        <w:spacing w:after="0"/>
        <w:rPr>
          <w:sz w:val="20"/>
          <w:szCs w:val="20"/>
          <w:color w:val="auto"/>
        </w:rPr>
      </w:pPr>
      <w:r>
        <w:rPr>
          <w:rFonts w:ascii="Arial" w:cs="Arial" w:eastAsia="Arial" w:hAnsi="Arial"/>
          <w:sz w:val="16"/>
          <w:szCs w:val="16"/>
          <w:color w:val="auto"/>
        </w:rPr>
        <w:t>Interest expense for the six months ended June 30, 2023 was $68.5 million, compared to $35.2 million in the previous year, an increase of $33.3 million.</w:t>
      </w:r>
    </w:p>
    <w:p>
      <w:pPr>
        <w:spacing w:after="0" w:line="248"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Interest on securitization trust debt increased by $26.3 million for the six months ended June 30, 2023 compared to the prior period. The average balance of securitization trust debt increased to $2,308.0 million for the six months ended June 30, 2023 compared to $1,922.9 million for the six months ended June 30, 2022. The annualized average rate on our securitization trust debt was 4.8% for the six months ended June 30, 2023 compared to 3.0% in the prior year period. The blended interest rates on new term securitizations have been increasing since 2022.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Blended Cost of Funds on Recent Asset-Backed Term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Securitizations</w:t>
      </w:r>
    </w:p>
    <w:p>
      <w:pPr>
        <w:spacing w:after="0" w:line="207" w:lineRule="exact"/>
        <w:rPr>
          <w:sz w:val="20"/>
          <w:szCs w:val="20"/>
          <w:color w:val="auto"/>
        </w:rPr>
      </w:pPr>
    </w:p>
    <w:tbl>
      <w:tblPr>
        <w:tblLayout w:type="fixed"/>
        <w:tblInd w:w="3260" w:type="dxa"/>
        <w:tblCellMar>
          <w:top w:w="0" w:type="dxa"/>
          <w:left w:w="0" w:type="dxa"/>
          <w:bottom w:w="0" w:type="dxa"/>
          <w:right w:w="0" w:type="dxa"/>
        </w:tblCellMar>
      </w:tblPr>
      <w:tr>
        <w:trPr>
          <w:trHeight w:val="234"/>
        </w:trPr>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Period</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Blended Cost of Funds</w:t>
            </w:r>
          </w:p>
        </w:tc>
      </w:tr>
      <w:tr>
        <w:trPr>
          <w:trHeight w:val="210"/>
        </w:trPr>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January 2020</w:t>
            </w:r>
          </w:p>
        </w:tc>
        <w:tc>
          <w:tcPr>
            <w:tcW w:w="246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93"/>
              </w:rPr>
              <w:t>3.08%</w:t>
            </w:r>
          </w:p>
        </w:tc>
      </w:tr>
      <w:tr>
        <w:trPr>
          <w:trHeight w:val="216"/>
        </w:trPr>
        <w:tc>
          <w:tcPr>
            <w:tcW w:w="2260" w:type="dxa"/>
            <w:vAlign w:val="bottom"/>
          </w:tcPr>
          <w:p>
            <w:pPr>
              <w:jc w:val="center"/>
              <w:spacing w:after="0"/>
              <w:rPr>
                <w:sz w:val="20"/>
                <w:szCs w:val="20"/>
                <w:color w:val="auto"/>
              </w:rPr>
            </w:pPr>
            <w:r>
              <w:rPr>
                <w:rFonts w:ascii="Arial" w:cs="Arial" w:eastAsia="Arial" w:hAnsi="Arial"/>
                <w:sz w:val="18"/>
                <w:szCs w:val="18"/>
                <w:color w:val="auto"/>
                <w:w w:val="87"/>
              </w:rPr>
              <w:t>June 2020</w:t>
            </w:r>
          </w:p>
        </w:tc>
        <w:tc>
          <w:tcPr>
            <w:tcW w:w="246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4.09%</w:t>
            </w:r>
          </w:p>
        </w:tc>
      </w:tr>
      <w:tr>
        <w:trPr>
          <w:trHeight w:val="216"/>
        </w:trPr>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September 2020</w:t>
            </w:r>
          </w:p>
        </w:tc>
        <w:tc>
          <w:tcPr>
            <w:tcW w:w="246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93"/>
              </w:rPr>
              <w:t>2.39%</w:t>
            </w:r>
          </w:p>
        </w:tc>
      </w:tr>
      <w:tr>
        <w:trPr>
          <w:trHeight w:val="216"/>
        </w:trPr>
        <w:tc>
          <w:tcPr>
            <w:tcW w:w="2260" w:type="dxa"/>
            <w:vAlign w:val="bottom"/>
          </w:tcPr>
          <w:p>
            <w:pPr>
              <w:jc w:val="center"/>
              <w:spacing w:after="0"/>
              <w:rPr>
                <w:sz w:val="20"/>
                <w:szCs w:val="20"/>
                <w:color w:val="auto"/>
              </w:rPr>
            </w:pPr>
            <w:r>
              <w:rPr>
                <w:rFonts w:ascii="Arial" w:cs="Arial" w:eastAsia="Arial" w:hAnsi="Arial"/>
                <w:sz w:val="18"/>
                <w:szCs w:val="18"/>
                <w:color w:val="auto"/>
                <w:w w:val="89"/>
              </w:rPr>
              <w:t>January 2021</w:t>
            </w:r>
          </w:p>
        </w:tc>
        <w:tc>
          <w:tcPr>
            <w:tcW w:w="2460" w:type="dxa"/>
            <w:vAlign w:val="bottom"/>
            <w:gridSpan w:val="2"/>
          </w:tcPr>
          <w:p>
            <w:pPr>
              <w:jc w:val="center"/>
              <w:ind w:left="130"/>
              <w:spacing w:after="0"/>
              <w:rPr>
                <w:sz w:val="20"/>
                <w:szCs w:val="20"/>
                <w:color w:val="auto"/>
              </w:rPr>
            </w:pPr>
            <w:r>
              <w:rPr>
                <w:rFonts w:ascii="Arial" w:cs="Arial" w:eastAsia="Arial" w:hAnsi="Arial"/>
                <w:sz w:val="18"/>
                <w:szCs w:val="18"/>
                <w:color w:val="auto"/>
                <w:w w:val="86"/>
              </w:rPr>
              <w:t>1.11%</w:t>
            </w:r>
          </w:p>
        </w:tc>
      </w:tr>
      <w:tr>
        <w:trPr>
          <w:trHeight w:val="216"/>
        </w:trPr>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6"/>
              </w:rPr>
              <w:t>April 2021</w:t>
            </w:r>
          </w:p>
        </w:tc>
        <w:tc>
          <w:tcPr>
            <w:tcW w:w="246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93"/>
              </w:rPr>
              <w:t>1.65%</w:t>
            </w:r>
          </w:p>
        </w:tc>
      </w:tr>
      <w:tr>
        <w:trPr>
          <w:trHeight w:val="216"/>
        </w:trPr>
        <w:tc>
          <w:tcPr>
            <w:tcW w:w="2260" w:type="dxa"/>
            <w:vAlign w:val="bottom"/>
          </w:tcPr>
          <w:p>
            <w:pPr>
              <w:jc w:val="center"/>
              <w:spacing w:after="0"/>
              <w:rPr>
                <w:sz w:val="20"/>
                <w:szCs w:val="20"/>
                <w:color w:val="auto"/>
              </w:rPr>
            </w:pPr>
            <w:r>
              <w:rPr>
                <w:rFonts w:ascii="Arial" w:cs="Arial" w:eastAsia="Arial" w:hAnsi="Arial"/>
                <w:sz w:val="18"/>
                <w:szCs w:val="18"/>
                <w:color w:val="auto"/>
                <w:w w:val="90"/>
              </w:rPr>
              <w:t>July 2021</w:t>
            </w:r>
          </w:p>
        </w:tc>
        <w:tc>
          <w:tcPr>
            <w:tcW w:w="246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1.55%</w:t>
            </w:r>
          </w:p>
        </w:tc>
      </w:tr>
      <w:tr>
        <w:trPr>
          <w:trHeight w:val="216"/>
        </w:trPr>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October 2021</w:t>
            </w:r>
          </w:p>
        </w:tc>
        <w:tc>
          <w:tcPr>
            <w:tcW w:w="246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93"/>
              </w:rPr>
              <w:t>2.09%</w:t>
            </w:r>
          </w:p>
        </w:tc>
      </w:tr>
      <w:tr>
        <w:trPr>
          <w:trHeight w:val="216"/>
        </w:trPr>
        <w:tc>
          <w:tcPr>
            <w:tcW w:w="2260" w:type="dxa"/>
            <w:vAlign w:val="bottom"/>
          </w:tcPr>
          <w:p>
            <w:pPr>
              <w:jc w:val="center"/>
              <w:spacing w:after="0"/>
              <w:rPr>
                <w:sz w:val="20"/>
                <w:szCs w:val="20"/>
                <w:color w:val="auto"/>
              </w:rPr>
            </w:pPr>
            <w:r>
              <w:rPr>
                <w:rFonts w:ascii="Arial" w:cs="Arial" w:eastAsia="Arial" w:hAnsi="Arial"/>
                <w:sz w:val="18"/>
                <w:szCs w:val="18"/>
                <w:color w:val="auto"/>
                <w:w w:val="89"/>
              </w:rPr>
              <w:t>January 2022</w:t>
            </w:r>
          </w:p>
        </w:tc>
        <w:tc>
          <w:tcPr>
            <w:tcW w:w="246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2.54%</w:t>
            </w:r>
          </w:p>
        </w:tc>
      </w:tr>
      <w:tr>
        <w:trPr>
          <w:trHeight w:val="216"/>
        </w:trPr>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6"/>
              </w:rPr>
              <w:t>April 2022</w:t>
            </w:r>
          </w:p>
        </w:tc>
        <w:tc>
          <w:tcPr>
            <w:tcW w:w="246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93"/>
              </w:rPr>
              <w:t>4.83%</w:t>
            </w:r>
          </w:p>
        </w:tc>
      </w:tr>
      <w:tr>
        <w:trPr>
          <w:trHeight w:val="216"/>
        </w:trPr>
        <w:tc>
          <w:tcPr>
            <w:tcW w:w="2260" w:type="dxa"/>
            <w:vAlign w:val="bottom"/>
          </w:tcPr>
          <w:p>
            <w:pPr>
              <w:jc w:val="center"/>
              <w:spacing w:after="0"/>
              <w:rPr>
                <w:sz w:val="20"/>
                <w:szCs w:val="20"/>
                <w:color w:val="auto"/>
              </w:rPr>
            </w:pPr>
            <w:r>
              <w:rPr>
                <w:rFonts w:ascii="Arial" w:cs="Arial" w:eastAsia="Arial" w:hAnsi="Arial"/>
                <w:sz w:val="18"/>
                <w:szCs w:val="18"/>
                <w:color w:val="auto"/>
                <w:w w:val="90"/>
              </w:rPr>
              <w:t>July 2022</w:t>
            </w:r>
          </w:p>
        </w:tc>
        <w:tc>
          <w:tcPr>
            <w:tcW w:w="246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6.02%</w:t>
            </w:r>
          </w:p>
        </w:tc>
      </w:tr>
      <w:tr>
        <w:trPr>
          <w:trHeight w:val="216"/>
        </w:trPr>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October 2022</w:t>
            </w:r>
          </w:p>
        </w:tc>
        <w:tc>
          <w:tcPr>
            <w:tcW w:w="246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93"/>
              </w:rPr>
              <w:t>8.48%</w:t>
            </w:r>
          </w:p>
        </w:tc>
      </w:tr>
      <w:tr>
        <w:trPr>
          <w:trHeight w:val="216"/>
        </w:trPr>
        <w:tc>
          <w:tcPr>
            <w:tcW w:w="2260" w:type="dxa"/>
            <w:vAlign w:val="bottom"/>
          </w:tcPr>
          <w:p>
            <w:pPr>
              <w:jc w:val="center"/>
              <w:spacing w:after="0"/>
              <w:rPr>
                <w:sz w:val="20"/>
                <w:szCs w:val="20"/>
                <w:color w:val="auto"/>
              </w:rPr>
            </w:pPr>
            <w:r>
              <w:rPr>
                <w:rFonts w:ascii="Arial" w:cs="Arial" w:eastAsia="Arial" w:hAnsi="Arial"/>
                <w:sz w:val="18"/>
                <w:szCs w:val="18"/>
                <w:color w:val="auto"/>
                <w:w w:val="89"/>
              </w:rPr>
              <w:t>January 2023</w:t>
            </w:r>
          </w:p>
        </w:tc>
        <w:tc>
          <w:tcPr>
            <w:tcW w:w="246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6.48%</w:t>
            </w:r>
          </w:p>
        </w:tc>
      </w:tr>
      <w:tr>
        <w:trPr>
          <w:trHeight w:val="216"/>
        </w:trPr>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6"/>
              </w:rPr>
              <w:t>April 2023</w:t>
            </w:r>
          </w:p>
        </w:tc>
        <w:tc>
          <w:tcPr>
            <w:tcW w:w="2460" w:type="dxa"/>
            <w:vAlign w:val="bottom"/>
            <w:gridSpan w:val="2"/>
            <w:shd w:val="clear" w:color="auto" w:fill="EEEEEE"/>
          </w:tcPr>
          <w:p>
            <w:pPr>
              <w:jc w:val="center"/>
              <w:ind w:left="130"/>
              <w:spacing w:after="0"/>
              <w:rPr>
                <w:sz w:val="20"/>
                <w:szCs w:val="20"/>
                <w:color w:val="auto"/>
              </w:rPr>
            </w:pPr>
            <w:r>
              <w:rPr>
                <w:rFonts w:ascii="Arial" w:cs="Arial" w:eastAsia="Arial" w:hAnsi="Arial"/>
                <w:sz w:val="18"/>
                <w:szCs w:val="18"/>
                <w:color w:val="auto"/>
                <w:w w:val="93"/>
              </w:rPr>
              <w:t>7.17%</w:t>
            </w:r>
          </w:p>
        </w:tc>
      </w:tr>
    </w:tbl>
    <w:p>
      <w:pPr>
        <w:spacing w:after="0" w:line="200" w:lineRule="exact"/>
        <w:rPr>
          <w:sz w:val="20"/>
          <w:szCs w:val="20"/>
          <w:color w:val="auto"/>
        </w:rPr>
      </w:pPr>
    </w:p>
    <w:p>
      <w:pPr>
        <w:spacing w:after="0" w:line="21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Interest expense on warehouse credit line debt increased by $7.3 million to $9.9 million for the six months ended June 30, 2023 compared to $2.5 million in the prior year period. The increase was due to the higher utilization of our credit lines and higher rates on the debt during the six month period compared to last year. The average balance of our warehouse debt was $194.2 million during the six months ended June 30, 2023 compared to $76.1 million for the same period in 2022. The annualized average rate on our credit line debt was 10.2% for the six months ended June 30, 2023 compared to 6.7% in the prior year period.</w:t>
      </w:r>
    </w:p>
    <w:p>
      <w:pPr>
        <w:spacing w:after="0" w:line="188"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Interest expense on subordinated renewable notes was $985,000 for the six months ended June 30, 2023. The average balance of the outstanding subordinated debt decreased by $3.5 million to $23.2 million for the six months ended June 30, 2023 compared to $26.6 million for the prior year. The average yield of subordinated notes decreased to 8.5% compared to 9.1% in the prior period.</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June 2021, we completed a residual interest financing of our residual interests from previously issued securitizations in the amount of $50.0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on this residual interest financing was $2.1 million for the six months ended June 30, 2023 and 2022.</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5" w:name="page36"/>
    <w:bookmarkEnd w:id="35"/>
    <w:p>
      <w:pPr>
        <w:ind w:left="180"/>
        <w:spacing w:after="0"/>
        <w:rPr>
          <w:sz w:val="20"/>
          <w:szCs w:val="20"/>
          <w:color w:val="auto"/>
        </w:rPr>
      </w:pPr>
      <w:r>
        <w:rPr>
          <w:rFonts w:ascii="Arial" w:cs="Arial" w:eastAsia="Arial" w:hAnsi="Arial"/>
          <w:sz w:val="16"/>
          <w:szCs w:val="16"/>
          <w:color w:val="auto"/>
        </w:rPr>
        <w:t>The following table presents the components of interest income and interest expense and a net interest yield analysis for the six-month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2023 and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6"/>
                <w:szCs w:val="16"/>
                <w:b w:val="1"/>
                <w:bCs w:val="1"/>
                <w:color w:val="auto"/>
              </w:rPr>
              <w:t>Six Months Ended June 30,</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5"/>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6"/>
          </w:tcPr>
          <w:p>
            <w:pPr>
              <w:jc w:val="right"/>
              <w:ind w:right="700"/>
              <w:spacing w:after="0"/>
              <w:rPr>
                <w:sz w:val="20"/>
                <w:szCs w:val="20"/>
                <w:color w:val="auto"/>
              </w:rPr>
            </w:pPr>
            <w:r>
              <w:rPr>
                <w:rFonts w:ascii="Arial" w:cs="Arial" w:eastAsia="Arial" w:hAnsi="Arial"/>
                <w:sz w:val="16"/>
                <w:szCs w:val="16"/>
                <w:b w:val="1"/>
                <w:bCs w:val="1"/>
                <w:color w:val="auto"/>
              </w:rPr>
              <w:t>(Dollars in thousands)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Annualized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Annualized</w:t>
            </w:r>
          </w:p>
        </w:tc>
      </w:tr>
      <w:tr>
        <w:trPr>
          <w:trHeight w:val="203"/>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39"/>
              <w:spacing w:after="0"/>
              <w:rPr>
                <w:sz w:val="20"/>
                <w:szCs w:val="20"/>
                <w:color w:val="auto"/>
              </w:rPr>
            </w:pPr>
            <w:r>
              <w:rPr>
                <w:rFonts w:ascii="Arial" w:cs="Arial" w:eastAsia="Arial" w:hAnsi="Arial"/>
                <w:sz w:val="16"/>
                <w:szCs w:val="16"/>
                <w:b w:val="1"/>
                <w:bCs w:val="1"/>
                <w:color w:val="auto"/>
              </w:rPr>
              <w:t>Average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Average</w:t>
            </w:r>
          </w:p>
        </w:tc>
      </w:tr>
      <w:tr>
        <w:trPr>
          <w:trHeight w:val="213"/>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w w:val="98"/>
              </w:rPr>
              <w:t>Balance (1)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Interest</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Yield/Rate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8"/>
              </w:rPr>
              <w:t>Balance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Interest</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Yield/Rate</w:t>
            </w:r>
          </w:p>
        </w:tc>
      </w:tr>
      <w:tr>
        <w:trPr>
          <w:trHeight w:val="158"/>
        </w:trPr>
        <w:tc>
          <w:tcPr>
            <w:tcW w:w="3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2140" w:type="dxa"/>
            <w:vAlign w:val="bottom"/>
            <w:gridSpan w:val="3"/>
            <w:shd w:val="clear" w:color="auto" w:fill="EEEEEE"/>
          </w:tcPr>
          <w:p>
            <w:pPr>
              <w:jc w:val="center"/>
              <w:ind w:right="540"/>
              <w:spacing w:after="0" w:line="158" w:lineRule="exact"/>
              <w:rPr>
                <w:sz w:val="20"/>
                <w:szCs w:val="20"/>
                <w:color w:val="auto"/>
              </w:rPr>
            </w:pPr>
            <w:r>
              <w:rPr>
                <w:rFonts w:ascii="Arial" w:cs="Arial" w:eastAsia="Arial" w:hAnsi="Arial"/>
                <w:sz w:val="16"/>
                <w:szCs w:val="16"/>
                <w:b w:val="1"/>
                <w:bCs w:val="1"/>
                <w:color w:val="auto"/>
                <w:w w:val="89"/>
              </w:rPr>
              <w:t>Interest Earning Assets</w:t>
            </w:r>
          </w:p>
        </w:tc>
        <w:tc>
          <w:tcPr>
            <w:tcW w:w="160" w:type="dxa"/>
            <w:vAlign w:val="bottom"/>
            <w:tcBorders>
              <w:top w:val="single" w:sz="8" w:color="auto"/>
            </w:tcBorders>
            <w:shd w:val="clear" w:color="auto" w:fill="EEEEEE"/>
          </w:tcPr>
          <w:p>
            <w:pPr>
              <w:spacing w:after="0"/>
              <w:rPr>
                <w:sz w:val="13"/>
                <w:szCs w:val="13"/>
                <w:color w:val="auto"/>
              </w:rPr>
            </w:pPr>
          </w:p>
        </w:tc>
        <w:tc>
          <w:tcPr>
            <w:tcW w:w="1080" w:type="dxa"/>
            <w:vAlign w:val="bottom"/>
            <w:tcBorders>
              <w:top w:val="single" w:sz="8" w:color="auto"/>
            </w:tcBorders>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200" w:type="dxa"/>
            <w:vAlign w:val="bottom"/>
            <w:tcBorders>
              <w:top w:val="single" w:sz="8" w:color="auto"/>
            </w:tcBorders>
            <w:shd w:val="clear" w:color="auto" w:fill="EEEEEE"/>
          </w:tcPr>
          <w:p>
            <w:pPr>
              <w:spacing w:after="0"/>
              <w:rPr>
                <w:sz w:val="13"/>
                <w:szCs w:val="13"/>
                <w:color w:val="auto"/>
              </w:rPr>
            </w:pPr>
          </w:p>
        </w:tc>
        <w:tc>
          <w:tcPr>
            <w:tcW w:w="1020" w:type="dxa"/>
            <w:vAlign w:val="bottom"/>
            <w:tcBorders>
              <w:top w:val="single" w:sz="8" w:color="auto"/>
            </w:tcBorders>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1220" w:type="dxa"/>
            <w:vAlign w:val="bottom"/>
            <w:tcBorders>
              <w:top w:val="single" w:sz="8" w:color="auto"/>
            </w:tcBorders>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40" w:type="dxa"/>
            <w:vAlign w:val="bottom"/>
            <w:tcBorders>
              <w:top w:val="single" w:sz="8" w:color="auto"/>
            </w:tcBorders>
            <w:shd w:val="clear" w:color="auto" w:fill="EEEEEE"/>
          </w:tcPr>
          <w:p>
            <w:pPr>
              <w:spacing w:after="0"/>
              <w:rPr>
                <w:sz w:val="13"/>
                <w:szCs w:val="13"/>
                <w:color w:val="auto"/>
              </w:rPr>
            </w:pPr>
          </w:p>
        </w:tc>
        <w:tc>
          <w:tcPr>
            <w:tcW w:w="1080" w:type="dxa"/>
            <w:vAlign w:val="bottom"/>
            <w:tcBorders>
              <w:top w:val="single" w:sz="8" w:color="auto"/>
            </w:tcBorders>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200" w:type="dxa"/>
            <w:vAlign w:val="bottom"/>
            <w:tcBorders>
              <w:top w:val="single" w:sz="8" w:color="auto"/>
            </w:tcBorders>
            <w:shd w:val="clear" w:color="auto" w:fill="EEEEEE"/>
          </w:tcPr>
          <w:p>
            <w:pPr>
              <w:spacing w:after="0"/>
              <w:rPr>
                <w:sz w:val="13"/>
                <w:szCs w:val="13"/>
                <w:color w:val="auto"/>
              </w:rPr>
            </w:pPr>
          </w:p>
        </w:tc>
        <w:tc>
          <w:tcPr>
            <w:tcW w:w="1020" w:type="dxa"/>
            <w:vAlign w:val="bottom"/>
            <w:tcBorders>
              <w:top w:val="single" w:sz="8" w:color="auto"/>
            </w:tcBorders>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1260" w:type="dxa"/>
            <w:vAlign w:val="bottom"/>
            <w:tcBorders>
              <w:top w:val="single" w:sz="8" w:color="auto"/>
            </w:tcBorders>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r>
      <w:tr>
        <w:trPr>
          <w:trHeight w:val="21"/>
        </w:trPr>
        <w:tc>
          <w:tcPr>
            <w:tcW w:w="3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60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r>
      <w:tr>
        <w:trPr>
          <w:trHeight w:val="203"/>
        </w:trPr>
        <w:tc>
          <w:tcPr>
            <w:tcW w:w="2580" w:type="dxa"/>
            <w:vAlign w:val="bottom"/>
            <w:gridSpan w:val="5"/>
          </w:tcPr>
          <w:p>
            <w:pPr>
              <w:spacing w:after="0"/>
              <w:rPr>
                <w:sz w:val="20"/>
                <w:szCs w:val="20"/>
                <w:color w:val="auto"/>
              </w:rPr>
            </w:pPr>
            <w:r>
              <w:rPr>
                <w:rFonts w:ascii="Arial" w:cs="Arial" w:eastAsia="Arial" w:hAnsi="Arial"/>
                <w:sz w:val="16"/>
                <w:szCs w:val="16"/>
                <w:color w:val="auto"/>
              </w:rPr>
              <w:t>Loan portfolio</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2,880,293</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162,699</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11.3%</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2,371,719</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145,730</w:t>
            </w:r>
          </w:p>
        </w:tc>
        <w:tc>
          <w:tcPr>
            <w:tcW w:w="126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7"/>
                <w:szCs w:val="17"/>
                <w:color w:val="auto"/>
              </w:rPr>
            </w:pPr>
          </w:p>
        </w:tc>
      </w:tr>
      <w:tr>
        <w:trPr>
          <w:trHeight w:val="203"/>
        </w:trPr>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162"/>
        </w:trPr>
        <w:tc>
          <w:tcPr>
            <w:tcW w:w="2580" w:type="dxa"/>
            <w:vAlign w:val="bottom"/>
            <w:gridSpan w:val="5"/>
          </w:tcPr>
          <w:p>
            <w:pPr>
              <w:jc w:val="center"/>
              <w:ind w:right="80"/>
              <w:spacing w:after="0" w:line="162" w:lineRule="exact"/>
              <w:rPr>
                <w:sz w:val="20"/>
                <w:szCs w:val="20"/>
                <w:color w:val="auto"/>
              </w:rPr>
            </w:pPr>
            <w:r>
              <w:rPr>
                <w:rFonts w:ascii="Arial" w:cs="Arial" w:eastAsia="Arial" w:hAnsi="Arial"/>
                <w:sz w:val="16"/>
                <w:szCs w:val="16"/>
                <w:b w:val="1"/>
                <w:bCs w:val="1"/>
                <w:color w:val="auto"/>
                <w:w w:val="92"/>
              </w:rPr>
              <w:t>Interest Bearing Liabilities</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
        </w:trPr>
        <w:tc>
          <w:tcPr>
            <w:tcW w:w="3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580" w:type="dxa"/>
            <w:vAlign w:val="bottom"/>
            <w:gridSpan w:val="5"/>
            <w:shd w:val="clear" w:color="auto" w:fill="EEEEEE"/>
          </w:tcPr>
          <w:p>
            <w:pPr>
              <w:spacing w:after="0"/>
              <w:rPr>
                <w:sz w:val="20"/>
                <w:szCs w:val="20"/>
                <w:color w:val="auto"/>
              </w:rPr>
            </w:pPr>
            <w:r>
              <w:rPr>
                <w:rFonts w:ascii="Arial" w:cs="Arial" w:eastAsia="Arial" w:hAnsi="Arial"/>
                <w:sz w:val="16"/>
                <w:szCs w:val="16"/>
                <w:color w:val="auto"/>
              </w:rPr>
              <w:t>Warehouse lines of credit</w:t>
            </w:r>
          </w:p>
        </w:tc>
        <w:tc>
          <w:tcPr>
            <w:tcW w:w="1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194,159</w:t>
            </w:r>
          </w:p>
        </w:tc>
        <w:tc>
          <w:tcPr>
            <w:tcW w:w="2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9,856</w:t>
            </w: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10.2%</w:t>
            </w:r>
          </w:p>
        </w:tc>
        <w:tc>
          <w:tcPr>
            <w:tcW w:w="26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76,085</w:t>
            </w: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2,544</w:t>
            </w:r>
          </w:p>
        </w:tc>
        <w:tc>
          <w:tcPr>
            <w:tcW w:w="12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EEEEEE"/>
          </w:tcPr>
          <w:p>
            <w:pPr>
              <w:spacing w:after="0"/>
              <w:rPr>
                <w:sz w:val="17"/>
                <w:szCs w:val="17"/>
                <w:color w:val="auto"/>
              </w:rPr>
            </w:pPr>
          </w:p>
        </w:tc>
      </w:tr>
      <w:tr>
        <w:trPr>
          <w:trHeight w:val="203"/>
        </w:trPr>
        <w:tc>
          <w:tcPr>
            <w:tcW w:w="2580" w:type="dxa"/>
            <w:vAlign w:val="bottom"/>
            <w:gridSpan w:val="5"/>
          </w:tcPr>
          <w:p>
            <w:pPr>
              <w:spacing w:after="0"/>
              <w:rPr>
                <w:sz w:val="20"/>
                <w:szCs w:val="20"/>
                <w:color w:val="auto"/>
              </w:rPr>
            </w:pPr>
            <w:r>
              <w:rPr>
                <w:rFonts w:ascii="Arial" w:cs="Arial" w:eastAsia="Arial" w:hAnsi="Arial"/>
                <w:sz w:val="16"/>
                <w:szCs w:val="16"/>
                <w:color w:val="auto"/>
              </w:rPr>
              <w:t>Residual interest financing</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50,000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2,100</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50,984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2,144</w:t>
            </w:r>
          </w:p>
        </w:tc>
        <w:tc>
          <w:tcPr>
            <w:tcW w:w="126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7"/>
                <w:szCs w:val="17"/>
                <w:color w:val="auto"/>
              </w:rPr>
            </w:pPr>
          </w:p>
        </w:tc>
      </w:tr>
      <w:tr>
        <w:trPr>
          <w:trHeight w:val="203"/>
        </w:trPr>
        <w:tc>
          <w:tcPr>
            <w:tcW w:w="2580" w:type="dxa"/>
            <w:vAlign w:val="bottom"/>
            <w:gridSpan w:val="5"/>
            <w:shd w:val="clear" w:color="auto" w:fill="EEEEEE"/>
          </w:tcPr>
          <w:p>
            <w:pPr>
              <w:spacing w:after="0"/>
              <w:rPr>
                <w:sz w:val="20"/>
                <w:szCs w:val="20"/>
                <w:color w:val="auto"/>
              </w:rPr>
            </w:pPr>
            <w:r>
              <w:rPr>
                <w:rFonts w:ascii="Arial" w:cs="Arial" w:eastAsia="Arial" w:hAnsi="Arial"/>
                <w:sz w:val="16"/>
                <w:szCs w:val="16"/>
                <w:color w:val="auto"/>
              </w:rPr>
              <w:t>Securitization trust debt</w:t>
            </w:r>
          </w:p>
        </w:tc>
        <w:tc>
          <w:tcPr>
            <w:tcW w:w="160" w:type="dxa"/>
            <w:vAlign w:val="bottom"/>
            <w:shd w:val="clear" w:color="auto" w:fill="EEEEEE"/>
          </w:tcPr>
          <w:p>
            <w:pPr>
              <w:spacing w:after="0"/>
              <w:rPr>
                <w:sz w:val="17"/>
                <w:szCs w:val="17"/>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2,308,128</w:t>
            </w:r>
          </w:p>
        </w:tc>
        <w:tc>
          <w:tcPr>
            <w:tcW w:w="2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55,524</w:t>
            </w: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4.8%</w:t>
            </w: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1,922,914</w:t>
            </w: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29,273</w:t>
            </w:r>
          </w:p>
        </w:tc>
        <w:tc>
          <w:tcPr>
            <w:tcW w:w="12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EEEEEE"/>
          </w:tcPr>
          <w:p>
            <w:pPr>
              <w:spacing w:after="0"/>
              <w:rPr>
                <w:sz w:val="17"/>
                <w:szCs w:val="17"/>
                <w:color w:val="auto"/>
              </w:rPr>
            </w:pPr>
          </w:p>
        </w:tc>
      </w:tr>
      <w:tr>
        <w:trPr>
          <w:trHeight w:val="213"/>
        </w:trPr>
        <w:tc>
          <w:tcPr>
            <w:tcW w:w="2580" w:type="dxa"/>
            <w:vAlign w:val="bottom"/>
            <w:gridSpan w:val="5"/>
          </w:tcPr>
          <w:p>
            <w:pPr>
              <w:spacing w:after="0"/>
              <w:rPr>
                <w:sz w:val="20"/>
                <w:szCs w:val="20"/>
                <w:color w:val="auto"/>
              </w:rPr>
            </w:pPr>
            <w:r>
              <w:rPr>
                <w:rFonts w:ascii="Arial" w:cs="Arial" w:eastAsia="Arial" w:hAnsi="Arial"/>
                <w:sz w:val="16"/>
                <w:szCs w:val="16"/>
                <w:color w:val="auto"/>
              </w:rPr>
              <w:t>Subordinated renewable notes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23,158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985</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26,607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1,210</w:t>
            </w:r>
          </w:p>
        </w:tc>
        <w:tc>
          <w:tcPr>
            <w:tcW w:w="126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320" w:type="dxa"/>
            <w:vAlign w:val="bottom"/>
            <w:shd w:val="clear" w:color="auto" w:fill="EEEEEE"/>
          </w:tcPr>
          <w:p>
            <w:pPr>
              <w:spacing w:after="0"/>
              <w:rPr>
                <w:sz w:val="22"/>
                <w:szCs w:val="22"/>
                <w:color w:val="auto"/>
              </w:rPr>
            </w:pPr>
          </w:p>
        </w:tc>
        <w:tc>
          <w:tcPr>
            <w:tcW w:w="120" w:type="dxa"/>
            <w:vAlign w:val="bottom"/>
            <w:shd w:val="clear" w:color="auto" w:fill="EEEEEE"/>
          </w:tcPr>
          <w:p>
            <w:pPr>
              <w:spacing w:after="0"/>
              <w:rPr>
                <w:sz w:val="22"/>
                <w:szCs w:val="22"/>
                <w:color w:val="auto"/>
              </w:rPr>
            </w:pPr>
          </w:p>
        </w:tc>
        <w:tc>
          <w:tcPr>
            <w:tcW w:w="1600" w:type="dxa"/>
            <w:vAlign w:val="bottom"/>
            <w:shd w:val="clear" w:color="auto" w:fill="EEEEEE"/>
          </w:tcPr>
          <w:p>
            <w:pPr>
              <w:spacing w:after="0"/>
              <w:rPr>
                <w:sz w:val="22"/>
                <w:szCs w:val="22"/>
                <w:color w:val="auto"/>
              </w:rPr>
            </w:pPr>
          </w:p>
        </w:tc>
        <w:tc>
          <w:tcPr>
            <w:tcW w:w="140" w:type="dxa"/>
            <w:vAlign w:val="bottom"/>
            <w:shd w:val="clear" w:color="auto" w:fill="EEEEEE"/>
          </w:tcPr>
          <w:p>
            <w:pPr>
              <w:spacing w:after="0"/>
              <w:rPr>
                <w:sz w:val="22"/>
                <w:szCs w:val="22"/>
                <w:color w:val="auto"/>
              </w:rPr>
            </w:pPr>
          </w:p>
        </w:tc>
        <w:tc>
          <w:tcPr>
            <w:tcW w:w="400" w:type="dxa"/>
            <w:vAlign w:val="bottom"/>
            <w:shd w:val="clear" w:color="auto" w:fill="EEEEEE"/>
          </w:tcPr>
          <w:p>
            <w:pPr>
              <w:spacing w:after="0"/>
              <w:rPr>
                <w:sz w:val="22"/>
                <w:szCs w:val="22"/>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2,575,445</w:t>
            </w:r>
          </w:p>
        </w:tc>
        <w:tc>
          <w:tcPr>
            <w:tcW w:w="240" w:type="dxa"/>
            <w:vAlign w:val="bottom"/>
            <w:shd w:val="clear" w:color="auto" w:fill="EEEEEE"/>
          </w:tcPr>
          <w:p>
            <w:pPr>
              <w:spacing w:after="0"/>
              <w:rPr>
                <w:sz w:val="22"/>
                <w:szCs w:val="22"/>
                <w:color w:val="auto"/>
              </w:rPr>
            </w:pPr>
          </w:p>
        </w:tc>
        <w:tc>
          <w:tcPr>
            <w:tcW w:w="200" w:type="dxa"/>
            <w:vAlign w:val="bottom"/>
            <w:shd w:val="clear" w:color="auto" w:fill="EEEEEE"/>
          </w:tcPr>
          <w:p>
            <w:pPr>
              <w:spacing w:after="0"/>
              <w:rPr>
                <w:sz w:val="22"/>
                <w:szCs w:val="22"/>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68,465</w:t>
            </w: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5.3%</w:t>
            </w:r>
          </w:p>
        </w:tc>
        <w:tc>
          <w:tcPr>
            <w:tcW w:w="26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2,076,590</w:t>
            </w:r>
          </w:p>
        </w:tc>
        <w:tc>
          <w:tcPr>
            <w:tcW w:w="120" w:type="dxa"/>
            <w:vAlign w:val="bottom"/>
            <w:shd w:val="clear" w:color="auto" w:fill="EEEEEE"/>
          </w:tcPr>
          <w:p>
            <w:pPr>
              <w:spacing w:after="0"/>
              <w:rPr>
                <w:sz w:val="22"/>
                <w:szCs w:val="22"/>
                <w:color w:val="auto"/>
              </w:rPr>
            </w:pPr>
          </w:p>
        </w:tc>
        <w:tc>
          <w:tcPr>
            <w:tcW w:w="200" w:type="dxa"/>
            <w:vAlign w:val="bottom"/>
            <w:shd w:val="clear" w:color="auto" w:fill="EEEEEE"/>
          </w:tcPr>
          <w:p>
            <w:pPr>
              <w:spacing w:after="0"/>
              <w:rPr>
                <w:sz w:val="22"/>
                <w:szCs w:val="22"/>
                <w:color w:val="auto"/>
              </w:rPr>
            </w:pP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35,171</w:t>
            </w:r>
          </w:p>
        </w:tc>
        <w:tc>
          <w:tcPr>
            <w:tcW w:w="12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EEEEEE"/>
          </w:tcPr>
          <w:p>
            <w:pPr>
              <w:spacing w:after="0"/>
              <w:rPr>
                <w:sz w:val="22"/>
                <w:szCs w:val="22"/>
                <w:color w:val="auto"/>
              </w:rPr>
            </w:pPr>
          </w:p>
        </w:tc>
      </w:tr>
      <w:tr>
        <w:trPr>
          <w:trHeight w:val="199"/>
        </w:trPr>
        <w:tc>
          <w:tcPr>
            <w:tcW w:w="320" w:type="dxa"/>
            <w:vAlign w:val="bottom"/>
            <w:tcBorders>
              <w:top w:val="single" w:sz="8" w:color="EEEEEE"/>
              <w:bottom w:val="single" w:sz="8" w:color="EEEEEE"/>
            </w:tcBorders>
          </w:tcPr>
          <w:p>
            <w:pPr>
              <w:spacing w:after="0"/>
              <w:rPr>
                <w:sz w:val="17"/>
                <w:szCs w:val="17"/>
                <w:color w:val="auto"/>
              </w:rPr>
            </w:pPr>
          </w:p>
        </w:tc>
        <w:tc>
          <w:tcPr>
            <w:tcW w:w="120" w:type="dxa"/>
            <w:vAlign w:val="bottom"/>
            <w:tcBorders>
              <w:top w:val="single" w:sz="8" w:color="EEEEEE"/>
              <w:bottom w:val="single" w:sz="8" w:color="EEEEEE"/>
            </w:tcBorders>
          </w:tcPr>
          <w:p>
            <w:pPr>
              <w:spacing w:after="0"/>
              <w:rPr>
                <w:sz w:val="17"/>
                <w:szCs w:val="17"/>
                <w:color w:val="auto"/>
              </w:rPr>
            </w:pPr>
          </w:p>
        </w:tc>
        <w:tc>
          <w:tcPr>
            <w:tcW w:w="1600" w:type="dxa"/>
            <w:vAlign w:val="bottom"/>
            <w:tcBorders>
              <w:top w:val="single" w:sz="8" w:color="EEEEEE"/>
              <w:bottom w:val="single" w:sz="8" w:color="EEEEEE"/>
            </w:tcBorders>
          </w:tcPr>
          <w:p>
            <w:pPr>
              <w:spacing w:after="0"/>
              <w:rPr>
                <w:sz w:val="17"/>
                <w:szCs w:val="17"/>
                <w:color w:val="auto"/>
              </w:rPr>
            </w:pPr>
          </w:p>
        </w:tc>
        <w:tc>
          <w:tcPr>
            <w:tcW w:w="140" w:type="dxa"/>
            <w:vAlign w:val="bottom"/>
            <w:tcBorders>
              <w:top w:val="single" w:sz="8" w:color="EEEEEE"/>
              <w:bottom w:val="single" w:sz="8" w:color="EEEEEE"/>
            </w:tcBorders>
          </w:tcPr>
          <w:p>
            <w:pPr>
              <w:spacing w:after="0"/>
              <w:rPr>
                <w:sz w:val="17"/>
                <w:szCs w:val="17"/>
                <w:color w:val="auto"/>
              </w:rPr>
            </w:pPr>
          </w:p>
        </w:tc>
        <w:tc>
          <w:tcPr>
            <w:tcW w:w="400" w:type="dxa"/>
            <w:vAlign w:val="bottom"/>
            <w:tcBorders>
              <w:top w:val="single" w:sz="8" w:color="EEEEEE"/>
              <w:bottom w:val="single" w:sz="8" w:color="EEEEEE"/>
            </w:tcBorders>
          </w:tcPr>
          <w:p>
            <w:pPr>
              <w:spacing w:after="0"/>
              <w:rPr>
                <w:sz w:val="17"/>
                <w:szCs w:val="17"/>
                <w:color w:val="auto"/>
              </w:rPr>
            </w:pPr>
          </w:p>
        </w:tc>
        <w:tc>
          <w:tcPr>
            <w:tcW w:w="160" w:type="dxa"/>
            <w:vAlign w:val="bottom"/>
            <w:tcBorders>
              <w:top w:val="single" w:sz="8" w:color="auto"/>
              <w:bottom w:val="single" w:sz="8" w:color="EEEEEE"/>
            </w:tcBorders>
          </w:tcPr>
          <w:p>
            <w:pPr>
              <w:spacing w:after="0"/>
              <w:rPr>
                <w:sz w:val="17"/>
                <w:szCs w:val="17"/>
                <w:color w:val="auto"/>
              </w:rPr>
            </w:pPr>
          </w:p>
        </w:tc>
        <w:tc>
          <w:tcPr>
            <w:tcW w:w="1080" w:type="dxa"/>
            <w:vAlign w:val="bottom"/>
            <w:tcBorders>
              <w:top w:val="single" w:sz="8" w:color="auto"/>
              <w:bottom w:val="single" w:sz="8" w:color="EEEEEE"/>
            </w:tcBorders>
          </w:tcPr>
          <w:p>
            <w:pPr>
              <w:spacing w:after="0"/>
              <w:rPr>
                <w:sz w:val="17"/>
                <w:szCs w:val="17"/>
                <w:color w:val="auto"/>
              </w:rPr>
            </w:pPr>
          </w:p>
        </w:tc>
        <w:tc>
          <w:tcPr>
            <w:tcW w:w="240" w:type="dxa"/>
            <w:vAlign w:val="bottom"/>
            <w:tcBorders>
              <w:top w:val="single" w:sz="8" w:color="EEEEEE"/>
              <w:bottom w:val="single" w:sz="8" w:color="EEEEEE"/>
            </w:tcBorders>
          </w:tcPr>
          <w:p>
            <w:pPr>
              <w:spacing w:after="0"/>
              <w:rPr>
                <w:sz w:val="17"/>
                <w:szCs w:val="17"/>
                <w:color w:val="auto"/>
              </w:rPr>
            </w:pPr>
          </w:p>
        </w:tc>
        <w:tc>
          <w:tcPr>
            <w:tcW w:w="200" w:type="dxa"/>
            <w:vAlign w:val="bottom"/>
            <w:tcBorders>
              <w:top w:val="single" w:sz="8" w:color="EEEEEE"/>
              <w:bottom w:val="single" w:sz="8" w:color="auto"/>
            </w:tcBorders>
          </w:tcPr>
          <w:p>
            <w:pPr>
              <w:spacing w:after="0"/>
              <w:rPr>
                <w:sz w:val="17"/>
                <w:szCs w:val="17"/>
                <w:color w:val="auto"/>
              </w:rPr>
            </w:pPr>
          </w:p>
        </w:tc>
        <w:tc>
          <w:tcPr>
            <w:tcW w:w="1020" w:type="dxa"/>
            <w:vAlign w:val="bottom"/>
            <w:tcBorders>
              <w:top w:val="single" w:sz="8" w:color="EEEEEE"/>
              <w:bottom w:val="single" w:sz="8" w:color="auto"/>
            </w:tcBorders>
          </w:tcPr>
          <w:p>
            <w:pPr>
              <w:spacing w:after="0"/>
              <w:rPr>
                <w:sz w:val="17"/>
                <w:szCs w:val="17"/>
                <w:color w:val="auto"/>
              </w:rPr>
            </w:pPr>
          </w:p>
        </w:tc>
        <w:tc>
          <w:tcPr>
            <w:tcW w:w="240" w:type="dxa"/>
            <w:vAlign w:val="bottom"/>
            <w:tcBorders>
              <w:top w:val="single" w:sz="8" w:color="EEEEEE"/>
              <w:bottom w:val="single" w:sz="8" w:color="EEEEEE"/>
            </w:tcBorders>
          </w:tcPr>
          <w:p>
            <w:pPr>
              <w:spacing w:after="0"/>
              <w:rPr>
                <w:sz w:val="17"/>
                <w:szCs w:val="17"/>
                <w:color w:val="auto"/>
              </w:rPr>
            </w:pPr>
          </w:p>
        </w:tc>
        <w:tc>
          <w:tcPr>
            <w:tcW w:w="1220" w:type="dxa"/>
            <w:vAlign w:val="bottom"/>
            <w:tcBorders>
              <w:top w:val="single" w:sz="8" w:color="EEEEEE"/>
              <w:bottom w:val="single" w:sz="8" w:color="EEEEEE"/>
            </w:tcBorders>
          </w:tcPr>
          <w:p>
            <w:pPr>
              <w:spacing w:after="0"/>
              <w:rPr>
                <w:sz w:val="17"/>
                <w:szCs w:val="17"/>
                <w:color w:val="auto"/>
              </w:rPr>
            </w:pPr>
          </w:p>
        </w:tc>
        <w:tc>
          <w:tcPr>
            <w:tcW w:w="120" w:type="dxa"/>
            <w:vAlign w:val="bottom"/>
            <w:tcBorders>
              <w:top w:val="single" w:sz="8" w:color="EEEEEE"/>
              <w:bottom w:val="single" w:sz="8" w:color="EEEEEE"/>
            </w:tcBorders>
          </w:tcPr>
          <w:p>
            <w:pPr>
              <w:spacing w:after="0"/>
              <w:rPr>
                <w:sz w:val="17"/>
                <w:szCs w:val="17"/>
                <w:color w:val="auto"/>
              </w:rPr>
            </w:pPr>
          </w:p>
        </w:tc>
        <w:tc>
          <w:tcPr>
            <w:tcW w:w="120" w:type="dxa"/>
            <w:vAlign w:val="bottom"/>
            <w:tcBorders>
              <w:top w:val="single" w:sz="8" w:color="EEEEEE"/>
              <w:bottom w:val="single" w:sz="8" w:color="EEEEEE"/>
            </w:tcBorders>
          </w:tcPr>
          <w:p>
            <w:pPr>
              <w:spacing w:after="0"/>
              <w:rPr>
                <w:sz w:val="17"/>
                <w:szCs w:val="17"/>
                <w:color w:val="auto"/>
              </w:rPr>
            </w:pPr>
          </w:p>
        </w:tc>
        <w:tc>
          <w:tcPr>
            <w:tcW w:w="140" w:type="dxa"/>
            <w:vAlign w:val="bottom"/>
            <w:tcBorders>
              <w:top w:val="single" w:sz="8" w:color="auto"/>
              <w:bottom w:val="single" w:sz="8" w:color="EEEEEE"/>
            </w:tcBorders>
          </w:tcPr>
          <w:p>
            <w:pPr>
              <w:spacing w:after="0"/>
              <w:rPr>
                <w:sz w:val="17"/>
                <w:szCs w:val="17"/>
                <w:color w:val="auto"/>
              </w:rPr>
            </w:pPr>
          </w:p>
        </w:tc>
        <w:tc>
          <w:tcPr>
            <w:tcW w:w="1080" w:type="dxa"/>
            <w:vAlign w:val="bottom"/>
            <w:tcBorders>
              <w:top w:val="single" w:sz="8" w:color="auto"/>
              <w:bottom w:val="single" w:sz="8" w:color="EEEEEE"/>
            </w:tcBorders>
          </w:tcPr>
          <w:p>
            <w:pPr>
              <w:spacing w:after="0"/>
              <w:rPr>
                <w:sz w:val="17"/>
                <w:szCs w:val="17"/>
                <w:color w:val="auto"/>
              </w:rPr>
            </w:pPr>
          </w:p>
        </w:tc>
        <w:tc>
          <w:tcPr>
            <w:tcW w:w="120" w:type="dxa"/>
            <w:vAlign w:val="bottom"/>
            <w:tcBorders>
              <w:top w:val="single" w:sz="8" w:color="EEEEEE"/>
              <w:bottom w:val="single" w:sz="8" w:color="EEEEEE"/>
            </w:tcBorders>
          </w:tcPr>
          <w:p>
            <w:pPr>
              <w:spacing w:after="0"/>
              <w:rPr>
                <w:sz w:val="17"/>
                <w:szCs w:val="17"/>
                <w:color w:val="auto"/>
              </w:rPr>
            </w:pPr>
          </w:p>
        </w:tc>
        <w:tc>
          <w:tcPr>
            <w:tcW w:w="120" w:type="dxa"/>
            <w:vAlign w:val="bottom"/>
            <w:tcBorders>
              <w:top w:val="single" w:sz="8" w:color="EEEEEE"/>
              <w:bottom w:val="single" w:sz="8" w:color="EEEEEE"/>
            </w:tcBorders>
          </w:tcPr>
          <w:p>
            <w:pPr>
              <w:spacing w:after="0"/>
              <w:rPr>
                <w:sz w:val="17"/>
                <w:szCs w:val="17"/>
                <w:color w:val="auto"/>
              </w:rPr>
            </w:pPr>
          </w:p>
        </w:tc>
        <w:tc>
          <w:tcPr>
            <w:tcW w:w="200" w:type="dxa"/>
            <w:vAlign w:val="bottom"/>
            <w:tcBorders>
              <w:top w:val="single" w:sz="8" w:color="EEEEEE"/>
              <w:bottom w:val="single" w:sz="8" w:color="auto"/>
            </w:tcBorders>
          </w:tcPr>
          <w:p>
            <w:pPr>
              <w:spacing w:after="0"/>
              <w:rPr>
                <w:sz w:val="17"/>
                <w:szCs w:val="17"/>
                <w:color w:val="auto"/>
              </w:rPr>
            </w:pPr>
          </w:p>
        </w:tc>
        <w:tc>
          <w:tcPr>
            <w:tcW w:w="1020" w:type="dxa"/>
            <w:vAlign w:val="bottom"/>
            <w:tcBorders>
              <w:top w:val="single" w:sz="8" w:color="EEEEEE"/>
              <w:bottom w:val="single" w:sz="8" w:color="auto"/>
            </w:tcBorders>
          </w:tcPr>
          <w:p>
            <w:pPr>
              <w:spacing w:after="0"/>
              <w:rPr>
                <w:sz w:val="17"/>
                <w:szCs w:val="17"/>
                <w:color w:val="auto"/>
              </w:rPr>
            </w:pPr>
          </w:p>
        </w:tc>
        <w:tc>
          <w:tcPr>
            <w:tcW w:w="220" w:type="dxa"/>
            <w:vAlign w:val="bottom"/>
            <w:tcBorders>
              <w:top w:val="single" w:sz="8" w:color="EEEEEE"/>
              <w:bottom w:val="single" w:sz="8" w:color="EEEEEE"/>
            </w:tcBorders>
          </w:tcPr>
          <w:p>
            <w:pPr>
              <w:spacing w:after="0"/>
              <w:rPr>
                <w:sz w:val="17"/>
                <w:szCs w:val="17"/>
                <w:color w:val="auto"/>
              </w:rPr>
            </w:pPr>
          </w:p>
        </w:tc>
        <w:tc>
          <w:tcPr>
            <w:tcW w:w="1260" w:type="dxa"/>
            <w:vAlign w:val="bottom"/>
            <w:tcBorders>
              <w:top w:val="single" w:sz="8" w:color="EEEEEE"/>
              <w:bottom w:val="single" w:sz="8" w:color="EEEEEE"/>
            </w:tcBorders>
          </w:tcPr>
          <w:p>
            <w:pPr>
              <w:spacing w:after="0"/>
              <w:rPr>
                <w:sz w:val="17"/>
                <w:szCs w:val="17"/>
                <w:color w:val="auto"/>
              </w:rPr>
            </w:pPr>
          </w:p>
        </w:tc>
        <w:tc>
          <w:tcPr>
            <w:tcW w:w="100" w:type="dxa"/>
            <w:vAlign w:val="bottom"/>
            <w:tcBorders>
              <w:top w:val="single" w:sz="8" w:color="EEEEEE"/>
              <w:bottom w:val="single" w:sz="8" w:color="EEEEEE"/>
            </w:tcBorders>
          </w:tcPr>
          <w:p>
            <w:pPr>
              <w:spacing w:after="0"/>
              <w:rPr>
                <w:sz w:val="17"/>
                <w:szCs w:val="17"/>
                <w:color w:val="auto"/>
              </w:rPr>
            </w:pPr>
          </w:p>
        </w:tc>
      </w:tr>
      <w:tr>
        <w:trPr>
          <w:trHeight w:val="246"/>
        </w:trPr>
        <w:tc>
          <w:tcPr>
            <w:tcW w:w="2580" w:type="dxa"/>
            <w:vAlign w:val="bottom"/>
            <w:gridSpan w:val="5"/>
            <w:shd w:val="clear" w:color="auto" w:fill="EEEEEE"/>
          </w:tcPr>
          <w:p>
            <w:pPr>
              <w:spacing w:after="0"/>
              <w:rPr>
                <w:sz w:val="20"/>
                <w:szCs w:val="20"/>
                <w:color w:val="auto"/>
              </w:rPr>
            </w:pPr>
            <w:r>
              <w:rPr>
                <w:rFonts w:ascii="Arial" w:cs="Arial" w:eastAsia="Arial" w:hAnsi="Arial"/>
                <w:sz w:val="16"/>
                <w:szCs w:val="16"/>
                <w:color w:val="auto"/>
              </w:rPr>
              <w:t>Net interest income/spread</w:t>
            </w:r>
          </w:p>
        </w:tc>
        <w:tc>
          <w:tcPr>
            <w:tcW w:w="16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94,234</w:t>
            </w:r>
          </w:p>
        </w:tc>
        <w:tc>
          <w:tcPr>
            <w:tcW w:w="122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3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110,559</w:t>
            </w:r>
          </w:p>
        </w:tc>
        <w:tc>
          <w:tcPr>
            <w:tcW w:w="126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r>
      <w:tr>
        <w:trPr>
          <w:trHeight w:val="183"/>
        </w:trPr>
        <w:tc>
          <w:tcPr>
            <w:tcW w:w="2580" w:type="dxa"/>
            <w:vAlign w:val="bottom"/>
            <w:tcBorders>
              <w:top w:val="single" w:sz="8" w:color="EEEEEE"/>
            </w:tcBorders>
            <w:gridSpan w:val="5"/>
          </w:tcPr>
          <w:p>
            <w:pPr>
              <w:spacing w:after="0"/>
              <w:rPr>
                <w:sz w:val="20"/>
                <w:szCs w:val="20"/>
                <w:color w:val="auto"/>
              </w:rPr>
            </w:pPr>
            <w:r>
              <w:rPr>
                <w:rFonts w:ascii="Arial" w:cs="Arial" w:eastAsia="Arial" w:hAnsi="Arial"/>
                <w:sz w:val="16"/>
                <w:szCs w:val="16"/>
                <w:color w:val="auto"/>
              </w:rPr>
              <w:t>Net interest yield (2)</w:t>
            </w:r>
          </w:p>
        </w:tc>
        <w:tc>
          <w:tcPr>
            <w:tcW w:w="160" w:type="dxa"/>
            <w:vAlign w:val="bottom"/>
            <w:tcBorders>
              <w:top w:val="single" w:sz="8" w:color="EEEEEE"/>
            </w:tcBorders>
          </w:tcPr>
          <w:p>
            <w:pPr>
              <w:spacing w:after="0"/>
              <w:rPr>
                <w:sz w:val="15"/>
                <w:szCs w:val="15"/>
                <w:color w:val="auto"/>
              </w:rPr>
            </w:pPr>
          </w:p>
        </w:tc>
        <w:tc>
          <w:tcPr>
            <w:tcW w:w="1080" w:type="dxa"/>
            <w:vAlign w:val="bottom"/>
            <w:tcBorders>
              <w:top w:val="single" w:sz="8" w:color="EEEEEE"/>
            </w:tcBorders>
          </w:tcPr>
          <w:p>
            <w:pPr>
              <w:spacing w:after="0"/>
              <w:rPr>
                <w:sz w:val="15"/>
                <w:szCs w:val="15"/>
                <w:color w:val="auto"/>
              </w:rPr>
            </w:pPr>
          </w:p>
        </w:tc>
        <w:tc>
          <w:tcPr>
            <w:tcW w:w="240" w:type="dxa"/>
            <w:vAlign w:val="bottom"/>
            <w:tcBorders>
              <w:top w:val="single" w:sz="8" w:color="EEEEEE"/>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Borders>
              <w:top w:val="single" w:sz="8" w:color="EEEEEE"/>
            </w:tcBorders>
          </w:tcPr>
          <w:p>
            <w:pPr>
              <w:spacing w:after="0"/>
              <w:rPr>
                <w:sz w:val="15"/>
                <w:szCs w:val="15"/>
                <w:color w:val="auto"/>
              </w:rPr>
            </w:pPr>
          </w:p>
        </w:tc>
        <w:tc>
          <w:tcPr>
            <w:tcW w:w="1340" w:type="dxa"/>
            <w:vAlign w:val="bottom"/>
            <w:tcBorders>
              <w:top w:val="single" w:sz="8" w:color="EEEEEE"/>
            </w:tcBorders>
            <w:gridSpan w:val="2"/>
          </w:tcPr>
          <w:p>
            <w:pPr>
              <w:jc w:val="right"/>
              <w:ind w:right="120"/>
              <w:spacing w:after="0"/>
              <w:rPr>
                <w:sz w:val="20"/>
                <w:szCs w:val="20"/>
                <w:color w:val="auto"/>
              </w:rPr>
            </w:pPr>
            <w:r>
              <w:rPr>
                <w:rFonts w:ascii="Arial" w:cs="Arial" w:eastAsia="Arial" w:hAnsi="Arial"/>
                <w:sz w:val="16"/>
                <w:szCs w:val="16"/>
                <w:color w:val="auto"/>
              </w:rPr>
              <w:t>6.0%</w:t>
            </w:r>
          </w:p>
        </w:tc>
        <w:tc>
          <w:tcPr>
            <w:tcW w:w="120" w:type="dxa"/>
            <w:vAlign w:val="bottom"/>
            <w:tcBorders>
              <w:top w:val="single" w:sz="8" w:color="EEEEEE"/>
            </w:tcBorders>
          </w:tcPr>
          <w:p>
            <w:pPr>
              <w:spacing w:after="0"/>
              <w:rPr>
                <w:sz w:val="15"/>
                <w:szCs w:val="15"/>
                <w:color w:val="auto"/>
              </w:rPr>
            </w:pPr>
          </w:p>
        </w:tc>
        <w:tc>
          <w:tcPr>
            <w:tcW w:w="140" w:type="dxa"/>
            <w:vAlign w:val="bottom"/>
            <w:tcBorders>
              <w:top w:val="single" w:sz="8" w:color="EEEEEE"/>
            </w:tcBorders>
          </w:tcPr>
          <w:p>
            <w:pPr>
              <w:spacing w:after="0"/>
              <w:rPr>
                <w:sz w:val="15"/>
                <w:szCs w:val="15"/>
                <w:color w:val="auto"/>
              </w:rPr>
            </w:pPr>
          </w:p>
        </w:tc>
        <w:tc>
          <w:tcPr>
            <w:tcW w:w="1080" w:type="dxa"/>
            <w:vAlign w:val="bottom"/>
            <w:tcBorders>
              <w:top w:val="single" w:sz="8" w:color="EEEEEE"/>
            </w:tcBorders>
          </w:tcPr>
          <w:p>
            <w:pPr>
              <w:spacing w:after="0"/>
              <w:rPr>
                <w:sz w:val="15"/>
                <w:szCs w:val="15"/>
                <w:color w:val="auto"/>
              </w:rPr>
            </w:pPr>
          </w:p>
        </w:tc>
        <w:tc>
          <w:tcPr>
            <w:tcW w:w="120" w:type="dxa"/>
            <w:vAlign w:val="bottom"/>
            <w:tcBorders>
              <w:top w:val="single" w:sz="8" w:color="EEEEEE"/>
            </w:tcBorders>
          </w:tcPr>
          <w:p>
            <w:pPr>
              <w:spacing w:after="0"/>
              <w:rPr>
                <w:sz w:val="15"/>
                <w:szCs w:val="15"/>
                <w:color w:val="auto"/>
              </w:rPr>
            </w:pPr>
          </w:p>
        </w:tc>
        <w:tc>
          <w:tcPr>
            <w:tcW w:w="120" w:type="dxa"/>
            <w:vAlign w:val="bottom"/>
            <w:tcBorders>
              <w:top w:val="single" w:sz="8" w:color="EEEEEE"/>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EEEEEE"/>
            </w:tcBorders>
          </w:tcPr>
          <w:p>
            <w:pPr>
              <w:spacing w:after="0"/>
              <w:rPr>
                <w:sz w:val="15"/>
                <w:szCs w:val="15"/>
                <w:color w:val="auto"/>
              </w:rPr>
            </w:pPr>
          </w:p>
        </w:tc>
        <w:tc>
          <w:tcPr>
            <w:tcW w:w="1260" w:type="dxa"/>
            <w:vAlign w:val="bottom"/>
            <w:tcBorders>
              <w:top w:val="single" w:sz="8" w:color="EEEEEE"/>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top w:val="single" w:sz="8" w:color="EEEEEE"/>
            </w:tcBorders>
          </w:tcPr>
          <w:p>
            <w:pPr>
              <w:spacing w:after="0"/>
              <w:rPr>
                <w:sz w:val="15"/>
                <w:szCs w:val="15"/>
                <w:color w:val="auto"/>
              </w:rPr>
            </w:pPr>
          </w:p>
        </w:tc>
      </w:tr>
      <w:tr>
        <w:trPr>
          <w:trHeight w:val="206"/>
        </w:trPr>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193"/>
        </w:trPr>
        <w:tc>
          <w:tcPr>
            <w:tcW w:w="2580" w:type="dxa"/>
            <w:vAlign w:val="bottom"/>
            <w:gridSpan w:val="5"/>
          </w:tcPr>
          <w:p>
            <w:pPr>
              <w:spacing w:after="0"/>
              <w:rPr>
                <w:sz w:val="20"/>
                <w:szCs w:val="20"/>
                <w:color w:val="auto"/>
              </w:rPr>
            </w:pPr>
            <w:r>
              <w:rPr>
                <w:rFonts w:ascii="Arial" w:cs="Arial" w:eastAsia="Arial" w:hAnsi="Arial"/>
                <w:sz w:val="16"/>
                <w:szCs w:val="16"/>
                <w:color w:val="auto"/>
              </w:rPr>
              <w:t>Ratio of average interest earning</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580" w:type="dxa"/>
            <w:vAlign w:val="bottom"/>
            <w:gridSpan w:val="5"/>
          </w:tcPr>
          <w:p>
            <w:pPr>
              <w:jc w:val="center"/>
              <w:ind w:right="80"/>
              <w:spacing w:after="0"/>
              <w:rPr>
                <w:sz w:val="20"/>
                <w:szCs w:val="20"/>
                <w:color w:val="auto"/>
              </w:rPr>
            </w:pPr>
            <w:r>
              <w:rPr>
                <w:rFonts w:ascii="Arial" w:cs="Arial" w:eastAsia="Arial" w:hAnsi="Arial"/>
                <w:sz w:val="16"/>
                <w:szCs w:val="16"/>
                <w:color w:val="auto"/>
                <w:w w:val="88"/>
              </w:rPr>
              <w:t>assets to average interest bearing</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2580" w:type="dxa"/>
            <w:vAlign w:val="bottom"/>
            <w:gridSpan w:val="5"/>
          </w:tcPr>
          <w:p>
            <w:pPr>
              <w:ind w:left="180"/>
              <w:spacing w:after="0"/>
              <w:rPr>
                <w:sz w:val="20"/>
                <w:szCs w:val="20"/>
                <w:color w:val="auto"/>
              </w:rPr>
            </w:pPr>
            <w:r>
              <w:rPr>
                <w:rFonts w:ascii="Arial" w:cs="Arial" w:eastAsia="Arial" w:hAnsi="Arial"/>
                <w:sz w:val="16"/>
                <w:szCs w:val="16"/>
                <w:color w:val="auto"/>
              </w:rPr>
              <w:t>liabilities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7"/>
                <w:szCs w:val="17"/>
                <w:color w:val="auto"/>
              </w:rPr>
            </w:pPr>
          </w:p>
        </w:tc>
      </w:tr>
    </w:tbl>
    <w:p>
      <w:pPr>
        <w:spacing w:after="0" w:line="235" w:lineRule="exact"/>
        <w:rPr>
          <w:sz w:val="20"/>
          <w:szCs w:val="20"/>
          <w:color w:val="auto"/>
        </w:rPr>
      </w:pPr>
    </w:p>
    <w:p>
      <w:pPr>
        <w:ind w:left="540" w:hanging="307"/>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540" w:hanging="307"/>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60" w:type="dxa"/>
            <w:vAlign w:val="bottom"/>
            <w:gridSpan w:val="10"/>
          </w:tcPr>
          <w:p>
            <w:pPr>
              <w:jc w:val="center"/>
              <w:ind w:right="239"/>
              <w:spacing w:after="0"/>
              <w:rPr>
                <w:sz w:val="20"/>
                <w:szCs w:val="20"/>
                <w:color w:val="auto"/>
              </w:rPr>
            </w:pPr>
            <w:r>
              <w:rPr>
                <w:rFonts w:ascii="Arial" w:cs="Arial" w:eastAsia="Arial" w:hAnsi="Arial"/>
                <w:sz w:val="16"/>
                <w:szCs w:val="16"/>
                <w:b w:val="1"/>
                <w:bCs w:val="1"/>
                <w:color w:val="auto"/>
                <w:w w:val="91"/>
              </w:rPr>
              <w:t>Six Months Ended June 30, 2023</w:t>
            </w:r>
          </w:p>
        </w:tc>
      </w:tr>
      <w:tr>
        <w:trPr>
          <w:trHeight w:val="210"/>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8"/>
          </w:tcPr>
          <w:p>
            <w:pPr>
              <w:jc w:val="center"/>
              <w:ind w:left="779"/>
              <w:spacing w:after="0"/>
              <w:rPr>
                <w:sz w:val="20"/>
                <w:szCs w:val="20"/>
                <w:color w:val="auto"/>
              </w:rPr>
            </w:pPr>
            <w:r>
              <w:rPr>
                <w:rFonts w:ascii="Arial" w:cs="Arial" w:eastAsia="Arial" w:hAnsi="Arial"/>
                <w:sz w:val="16"/>
                <w:szCs w:val="16"/>
                <w:b w:val="1"/>
                <w:bCs w:val="1"/>
                <w:color w:val="auto"/>
                <w:w w:val="90"/>
              </w:rPr>
              <w:t>Compared to June 30, 2022</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Change Due</w:t>
            </w:r>
          </w:p>
        </w:tc>
        <w:tc>
          <w:tcPr>
            <w:tcW w:w="160" w:type="dxa"/>
            <w:vAlign w:val="bottom"/>
          </w:tcPr>
          <w:p>
            <w:pPr>
              <w:spacing w:after="0"/>
              <w:rPr>
                <w:sz w:val="17"/>
                <w:szCs w:val="17"/>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w w:val="94"/>
              </w:rPr>
              <w:t>Change Due</w:t>
            </w:r>
          </w:p>
        </w:tc>
        <w:tc>
          <w:tcPr>
            <w:tcW w:w="120" w:type="dxa"/>
            <w:vAlign w:val="bottom"/>
          </w:tcPr>
          <w:p>
            <w:pPr>
              <w:spacing w:after="0"/>
              <w:rPr>
                <w:sz w:val="17"/>
                <w:szCs w:val="17"/>
                <w:color w:val="auto"/>
              </w:rPr>
            </w:pPr>
          </w:p>
        </w:tc>
      </w:tr>
      <w:tr>
        <w:trPr>
          <w:trHeight w:val="210"/>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to Volume</w:t>
            </w:r>
          </w:p>
        </w:tc>
        <w:tc>
          <w:tcPr>
            <w:tcW w:w="160" w:type="dxa"/>
            <w:vAlign w:val="bottom"/>
          </w:tcPr>
          <w:p>
            <w:pPr>
              <w:spacing w:after="0"/>
              <w:rPr>
                <w:sz w:val="18"/>
                <w:szCs w:val="18"/>
                <w:color w:val="auto"/>
              </w:rPr>
            </w:pPr>
          </w:p>
        </w:tc>
        <w:tc>
          <w:tcPr>
            <w:tcW w:w="120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to Rate</w:t>
            </w:r>
          </w:p>
        </w:tc>
      </w:tr>
      <w:tr>
        <w:trPr>
          <w:trHeight w:val="202"/>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0"/>
              </w:rPr>
              <w:t>(In thousands)</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62"/>
        </w:trPr>
        <w:tc>
          <w:tcPr>
            <w:tcW w:w="300" w:type="dxa"/>
            <w:vAlign w:val="bottom"/>
            <w:shd w:val="clear" w:color="auto" w:fill="EEEEEE"/>
          </w:tcPr>
          <w:p>
            <w:pPr>
              <w:spacing w:after="0"/>
              <w:rPr>
                <w:sz w:val="14"/>
                <w:szCs w:val="14"/>
                <w:color w:val="auto"/>
              </w:rPr>
            </w:pPr>
          </w:p>
        </w:tc>
        <w:tc>
          <w:tcPr>
            <w:tcW w:w="2280" w:type="dxa"/>
            <w:vAlign w:val="bottom"/>
            <w:gridSpan w:val="4"/>
            <w:shd w:val="clear" w:color="auto" w:fill="EEEEEE"/>
          </w:tcPr>
          <w:p>
            <w:pPr>
              <w:jc w:val="center"/>
              <w:ind w:right="400"/>
              <w:spacing w:after="0" w:line="162" w:lineRule="exact"/>
              <w:rPr>
                <w:sz w:val="20"/>
                <w:szCs w:val="20"/>
                <w:color w:val="auto"/>
              </w:rPr>
            </w:pPr>
            <w:r>
              <w:rPr>
                <w:rFonts w:ascii="Arial" w:cs="Arial" w:eastAsia="Arial" w:hAnsi="Arial"/>
                <w:sz w:val="16"/>
                <w:szCs w:val="16"/>
                <w:b w:val="1"/>
                <w:bCs w:val="1"/>
                <w:color w:val="auto"/>
                <w:w w:val="89"/>
              </w:rPr>
              <w:t>Interest Earning Assets</w:t>
            </w:r>
          </w:p>
        </w:tc>
        <w:tc>
          <w:tcPr>
            <w:tcW w:w="220" w:type="dxa"/>
            <w:vAlign w:val="bottom"/>
            <w:shd w:val="clear" w:color="auto" w:fill="EEEEEE"/>
          </w:tcPr>
          <w:p>
            <w:pPr>
              <w:spacing w:after="0"/>
              <w:rPr>
                <w:sz w:val="14"/>
                <w:szCs w:val="14"/>
                <w:color w:val="auto"/>
              </w:rPr>
            </w:pPr>
          </w:p>
        </w:tc>
        <w:tc>
          <w:tcPr>
            <w:tcW w:w="1020" w:type="dxa"/>
            <w:vAlign w:val="bottom"/>
            <w:shd w:val="clear" w:color="auto" w:fill="EEEEEE"/>
          </w:tcPr>
          <w:p>
            <w:pPr>
              <w:spacing w:after="0"/>
              <w:rPr>
                <w:sz w:val="14"/>
                <w:szCs w:val="14"/>
                <w:color w:val="auto"/>
              </w:rPr>
            </w:pPr>
          </w:p>
        </w:tc>
        <w:tc>
          <w:tcPr>
            <w:tcW w:w="2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14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08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r>
      <w:tr>
        <w:trPr>
          <w:trHeight w:val="20"/>
        </w:trPr>
        <w:tc>
          <w:tcPr>
            <w:tcW w:w="30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600" w:type="dxa"/>
            <w:vAlign w:val="bottom"/>
            <w:tcBorders>
              <w:top w:val="single" w:sz="8" w:color="auto"/>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r>
      <w:tr>
        <w:trPr>
          <w:trHeight w:val="203"/>
        </w:trPr>
        <w:tc>
          <w:tcPr>
            <w:tcW w:w="2580" w:type="dxa"/>
            <w:vAlign w:val="bottom"/>
            <w:gridSpan w:val="5"/>
          </w:tcPr>
          <w:p>
            <w:pPr>
              <w:spacing w:after="0"/>
              <w:rPr>
                <w:sz w:val="20"/>
                <w:szCs w:val="20"/>
                <w:color w:val="auto"/>
              </w:rPr>
            </w:pPr>
            <w:r>
              <w:rPr>
                <w:rFonts w:ascii="Arial" w:cs="Arial" w:eastAsia="Arial" w:hAnsi="Arial"/>
                <w:sz w:val="16"/>
                <w:szCs w:val="16"/>
                <w:color w:val="auto"/>
              </w:rPr>
              <w:t>Loan portfolio</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16,969</w:t>
            </w:r>
          </w:p>
        </w:tc>
        <w:tc>
          <w:tcPr>
            <w:tcW w:w="12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27,468</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(10,499)</w:t>
            </w:r>
          </w:p>
        </w:tc>
      </w:tr>
      <w:tr>
        <w:trPr>
          <w:trHeight w:val="162"/>
        </w:trPr>
        <w:tc>
          <w:tcPr>
            <w:tcW w:w="300" w:type="dxa"/>
            <w:vAlign w:val="bottom"/>
            <w:shd w:val="clear" w:color="auto" w:fill="EEEEEE"/>
          </w:tcPr>
          <w:p>
            <w:pPr>
              <w:spacing w:after="0"/>
              <w:rPr>
                <w:sz w:val="14"/>
                <w:szCs w:val="14"/>
                <w:color w:val="auto"/>
              </w:rPr>
            </w:pPr>
          </w:p>
        </w:tc>
        <w:tc>
          <w:tcPr>
            <w:tcW w:w="2280" w:type="dxa"/>
            <w:vAlign w:val="bottom"/>
            <w:gridSpan w:val="4"/>
            <w:shd w:val="clear" w:color="auto" w:fill="EEEEEE"/>
          </w:tcPr>
          <w:p>
            <w:pPr>
              <w:jc w:val="center"/>
              <w:ind w:right="420"/>
              <w:spacing w:after="0" w:line="162" w:lineRule="exact"/>
              <w:rPr>
                <w:sz w:val="20"/>
                <w:szCs w:val="20"/>
                <w:color w:val="auto"/>
              </w:rPr>
            </w:pPr>
            <w:r>
              <w:rPr>
                <w:rFonts w:ascii="Arial" w:cs="Arial" w:eastAsia="Arial" w:hAnsi="Arial"/>
                <w:sz w:val="16"/>
                <w:szCs w:val="16"/>
                <w:b w:val="1"/>
                <w:bCs w:val="1"/>
                <w:color w:val="auto"/>
                <w:w w:val="92"/>
              </w:rPr>
              <w:t>Interest Bearing Liabilities</w:t>
            </w:r>
          </w:p>
        </w:tc>
        <w:tc>
          <w:tcPr>
            <w:tcW w:w="220" w:type="dxa"/>
            <w:vAlign w:val="bottom"/>
            <w:shd w:val="clear" w:color="auto" w:fill="EEEEEE"/>
          </w:tcPr>
          <w:p>
            <w:pPr>
              <w:spacing w:after="0"/>
              <w:rPr>
                <w:sz w:val="14"/>
                <w:szCs w:val="14"/>
                <w:color w:val="auto"/>
              </w:rPr>
            </w:pPr>
          </w:p>
        </w:tc>
        <w:tc>
          <w:tcPr>
            <w:tcW w:w="1020" w:type="dxa"/>
            <w:vAlign w:val="bottom"/>
            <w:shd w:val="clear" w:color="auto" w:fill="EEEEEE"/>
          </w:tcPr>
          <w:p>
            <w:pPr>
              <w:spacing w:after="0"/>
              <w:rPr>
                <w:sz w:val="14"/>
                <w:szCs w:val="14"/>
                <w:color w:val="auto"/>
              </w:rPr>
            </w:pPr>
          </w:p>
        </w:tc>
        <w:tc>
          <w:tcPr>
            <w:tcW w:w="2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14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08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r>
      <w:tr>
        <w:trPr>
          <w:trHeight w:val="20"/>
        </w:trPr>
        <w:tc>
          <w:tcPr>
            <w:tcW w:w="30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1600" w:type="dxa"/>
            <w:vAlign w:val="bottom"/>
            <w:tcBorders>
              <w:top w:val="single" w:sz="8" w:color="auto"/>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EEEEEE"/>
          </w:tcPr>
          <w:p>
            <w:pPr>
              <w:spacing w:after="0" w:line="20" w:lineRule="exact"/>
              <w:rPr>
                <w:sz w:val="1"/>
                <w:szCs w:val="1"/>
                <w:color w:val="auto"/>
              </w:rPr>
            </w:pPr>
          </w:p>
        </w:tc>
        <w:tc>
          <w:tcPr>
            <w:tcW w:w="4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r>
      <w:tr>
        <w:trPr>
          <w:trHeight w:val="203"/>
        </w:trPr>
        <w:tc>
          <w:tcPr>
            <w:tcW w:w="2580" w:type="dxa"/>
            <w:vAlign w:val="bottom"/>
            <w:gridSpan w:val="5"/>
          </w:tcPr>
          <w:p>
            <w:pPr>
              <w:spacing w:after="0"/>
              <w:rPr>
                <w:sz w:val="20"/>
                <w:szCs w:val="20"/>
                <w:color w:val="auto"/>
              </w:rPr>
            </w:pPr>
            <w:r>
              <w:rPr>
                <w:rFonts w:ascii="Arial" w:cs="Arial" w:eastAsia="Arial" w:hAnsi="Arial"/>
                <w:sz w:val="16"/>
                <w:szCs w:val="16"/>
                <w:color w:val="auto"/>
              </w:rPr>
              <w:t>Warehouse lines of credit</w:t>
            </w:r>
          </w:p>
        </w:tc>
        <w:tc>
          <w:tcPr>
            <w:tcW w:w="2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7,312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39"/>
              <w:spacing w:after="0"/>
              <w:rPr>
                <w:sz w:val="20"/>
                <w:szCs w:val="20"/>
                <w:color w:val="auto"/>
              </w:rPr>
            </w:pPr>
            <w:r>
              <w:rPr>
                <w:rFonts w:ascii="Arial" w:cs="Arial" w:eastAsia="Arial" w:hAnsi="Arial"/>
                <w:sz w:val="16"/>
                <w:szCs w:val="16"/>
                <w:color w:val="auto"/>
              </w:rPr>
              <w:t>6,728</w:t>
            </w:r>
          </w:p>
        </w:tc>
      </w:tr>
      <w:tr>
        <w:trPr>
          <w:trHeight w:val="203"/>
        </w:trPr>
        <w:tc>
          <w:tcPr>
            <w:tcW w:w="2580" w:type="dxa"/>
            <w:vAlign w:val="bottom"/>
            <w:gridSpan w:val="5"/>
            <w:shd w:val="clear" w:color="auto" w:fill="EEEEEE"/>
          </w:tcPr>
          <w:p>
            <w:pPr>
              <w:spacing w:after="0"/>
              <w:rPr>
                <w:sz w:val="20"/>
                <w:szCs w:val="20"/>
                <w:color w:val="auto"/>
              </w:rPr>
            </w:pPr>
            <w:r>
              <w:rPr>
                <w:rFonts w:ascii="Arial" w:cs="Arial" w:eastAsia="Arial" w:hAnsi="Arial"/>
                <w:sz w:val="16"/>
                <w:szCs w:val="16"/>
                <w:color w:val="auto"/>
              </w:rPr>
              <w:t>Residual interest financing</w:t>
            </w:r>
          </w:p>
        </w:tc>
        <w:tc>
          <w:tcPr>
            <w:tcW w:w="220" w:type="dxa"/>
            <w:vAlign w:val="bottom"/>
            <w:shd w:val="clear" w:color="auto" w:fill="EEEEEE"/>
          </w:tcPr>
          <w:p>
            <w:pPr>
              <w:spacing w:after="0"/>
              <w:rPr>
                <w:sz w:val="17"/>
                <w:szCs w:val="17"/>
                <w:color w:val="auto"/>
              </w:rPr>
            </w:pPr>
          </w:p>
        </w:tc>
        <w:tc>
          <w:tcPr>
            <w:tcW w:w="1160" w:type="dxa"/>
            <w:vAlign w:val="bottom"/>
            <w:gridSpan w:val="3"/>
            <w:shd w:val="clear" w:color="auto" w:fill="EEEEEE"/>
          </w:tcPr>
          <w:p>
            <w:pPr>
              <w:jc w:val="right"/>
              <w:ind w:right="80"/>
              <w:spacing w:after="0"/>
              <w:rPr>
                <w:sz w:val="20"/>
                <w:szCs w:val="20"/>
                <w:color w:val="auto"/>
              </w:rPr>
            </w:pPr>
            <w:r>
              <w:rPr>
                <w:rFonts w:ascii="Arial" w:cs="Arial" w:eastAsia="Arial" w:hAnsi="Arial"/>
                <w:sz w:val="16"/>
                <w:szCs w:val="16"/>
                <w:color w:val="auto"/>
              </w:rPr>
              <w:t>(44)</w:t>
            </w:r>
          </w:p>
        </w:tc>
        <w:tc>
          <w:tcPr>
            <w:tcW w:w="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360" w:type="dxa"/>
            <w:vAlign w:val="bottom"/>
            <w:gridSpan w:val="2"/>
            <w:shd w:val="clear" w:color="auto" w:fill="EEEEEE"/>
          </w:tcPr>
          <w:p>
            <w:pPr>
              <w:jc w:val="right"/>
              <w:ind w:right="160"/>
              <w:spacing w:after="0"/>
              <w:rPr>
                <w:sz w:val="20"/>
                <w:szCs w:val="20"/>
                <w:color w:val="auto"/>
              </w:rPr>
            </w:pPr>
            <w:r>
              <w:rPr>
                <w:rFonts w:ascii="Arial" w:cs="Arial" w:eastAsia="Arial" w:hAnsi="Arial"/>
                <w:sz w:val="16"/>
                <w:szCs w:val="16"/>
                <w:color w:val="auto"/>
              </w:rPr>
              <w:t>(38)</w:t>
            </w:r>
          </w:p>
        </w:tc>
        <w:tc>
          <w:tcPr>
            <w:tcW w:w="160" w:type="dxa"/>
            <w:vAlign w:val="bottom"/>
            <w:shd w:val="clear" w:color="auto" w:fill="EEEEEE"/>
          </w:tcPr>
          <w:p>
            <w:pPr>
              <w:spacing w:after="0"/>
              <w:rPr>
                <w:sz w:val="17"/>
                <w:szCs w:val="17"/>
                <w:color w:val="auto"/>
              </w:rPr>
            </w:pPr>
          </w:p>
        </w:tc>
        <w:tc>
          <w:tcPr>
            <w:tcW w:w="120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(6)</w:t>
            </w:r>
          </w:p>
        </w:tc>
      </w:tr>
      <w:tr>
        <w:trPr>
          <w:trHeight w:val="203"/>
        </w:trPr>
        <w:tc>
          <w:tcPr>
            <w:tcW w:w="2580" w:type="dxa"/>
            <w:vAlign w:val="bottom"/>
            <w:gridSpan w:val="5"/>
          </w:tcPr>
          <w:p>
            <w:pPr>
              <w:spacing w:after="0"/>
              <w:rPr>
                <w:sz w:val="20"/>
                <w:szCs w:val="20"/>
                <w:color w:val="auto"/>
              </w:rPr>
            </w:pPr>
            <w:r>
              <w:rPr>
                <w:rFonts w:ascii="Arial" w:cs="Arial" w:eastAsia="Arial" w:hAnsi="Arial"/>
                <w:sz w:val="16"/>
                <w:szCs w:val="16"/>
                <w:color w:val="auto"/>
              </w:rPr>
              <w:t>Securitization trust debt</w:t>
            </w:r>
          </w:p>
        </w:tc>
        <w:tc>
          <w:tcPr>
            <w:tcW w:w="2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26,251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(14,523)</w:t>
            </w:r>
          </w:p>
        </w:tc>
        <w:tc>
          <w:tcPr>
            <w:tcW w:w="160" w:type="dxa"/>
            <w:vAlign w:val="bottom"/>
          </w:tcPr>
          <w:p>
            <w:pPr>
              <w:spacing w:after="0"/>
              <w:rPr>
                <w:sz w:val="17"/>
                <w:szCs w:val="17"/>
                <w:color w:val="auto"/>
              </w:rPr>
            </w:pPr>
          </w:p>
        </w:tc>
        <w:tc>
          <w:tcPr>
            <w:tcW w:w="1200" w:type="dxa"/>
            <w:vAlign w:val="bottom"/>
            <w:gridSpan w:val="2"/>
          </w:tcPr>
          <w:p>
            <w:pPr>
              <w:jc w:val="right"/>
              <w:ind w:right="39"/>
              <w:spacing w:after="0"/>
              <w:rPr>
                <w:sz w:val="20"/>
                <w:szCs w:val="20"/>
                <w:color w:val="auto"/>
              </w:rPr>
            </w:pPr>
            <w:r>
              <w:rPr>
                <w:rFonts w:ascii="Arial" w:cs="Arial" w:eastAsia="Arial" w:hAnsi="Arial"/>
                <w:sz w:val="16"/>
                <w:szCs w:val="16"/>
                <w:color w:val="auto"/>
              </w:rPr>
              <w:t>40,774</w:t>
            </w:r>
          </w:p>
        </w:tc>
      </w:tr>
      <w:tr>
        <w:trPr>
          <w:trHeight w:val="216"/>
        </w:trPr>
        <w:tc>
          <w:tcPr>
            <w:tcW w:w="2580" w:type="dxa"/>
            <w:vAlign w:val="bottom"/>
            <w:gridSpan w:val="5"/>
            <w:shd w:val="clear" w:color="auto" w:fill="EEEEEE"/>
          </w:tcPr>
          <w:p>
            <w:pPr>
              <w:spacing w:after="0"/>
              <w:rPr>
                <w:sz w:val="20"/>
                <w:szCs w:val="20"/>
                <w:color w:val="auto"/>
              </w:rPr>
            </w:pPr>
            <w:r>
              <w:rPr>
                <w:rFonts w:ascii="Arial" w:cs="Arial" w:eastAsia="Arial" w:hAnsi="Arial"/>
                <w:sz w:val="16"/>
                <w:szCs w:val="16"/>
                <w:color w:val="auto"/>
              </w:rPr>
              <w:t>Subordinated renewable notes</w:t>
            </w:r>
          </w:p>
        </w:tc>
        <w:tc>
          <w:tcPr>
            <w:tcW w:w="22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80"/>
              <w:spacing w:after="0"/>
              <w:rPr>
                <w:sz w:val="20"/>
                <w:szCs w:val="20"/>
                <w:color w:val="auto"/>
              </w:rPr>
            </w:pPr>
            <w:r>
              <w:rPr>
                <w:rFonts w:ascii="Arial" w:cs="Arial" w:eastAsia="Arial" w:hAnsi="Arial"/>
                <w:sz w:val="16"/>
                <w:szCs w:val="16"/>
                <w:color w:val="auto"/>
              </w:rPr>
              <w:t>(225)</w:t>
            </w:r>
          </w:p>
        </w:tc>
        <w:tc>
          <w:tcPr>
            <w:tcW w:w="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60"/>
              <w:spacing w:after="0"/>
              <w:rPr>
                <w:sz w:val="20"/>
                <w:szCs w:val="20"/>
                <w:color w:val="auto"/>
              </w:rPr>
            </w:pPr>
            <w:r>
              <w:rPr>
                <w:rFonts w:ascii="Arial" w:cs="Arial" w:eastAsia="Arial" w:hAnsi="Arial"/>
                <w:sz w:val="16"/>
                <w:szCs w:val="16"/>
                <w:color w:val="auto"/>
              </w:rPr>
              <w:t>(90)</w:t>
            </w:r>
          </w:p>
        </w:tc>
        <w:tc>
          <w:tcPr>
            <w:tcW w:w="1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(135)</w:t>
            </w:r>
          </w:p>
        </w:tc>
      </w:tr>
      <w:tr>
        <w:trPr>
          <w:trHeight w:val="196"/>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33,294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(14,067)</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47,361</w:t>
            </w:r>
          </w:p>
        </w:tc>
        <w:tc>
          <w:tcPr>
            <w:tcW w:w="120" w:type="dxa"/>
            <w:vAlign w:val="bottom"/>
          </w:tcPr>
          <w:p>
            <w:pPr>
              <w:spacing w:after="0"/>
              <w:rPr>
                <w:sz w:val="17"/>
                <w:szCs w:val="17"/>
                <w:color w:val="auto"/>
              </w:rPr>
            </w:pPr>
          </w:p>
        </w:tc>
      </w:tr>
      <w:tr>
        <w:trPr>
          <w:trHeight w:val="216"/>
        </w:trPr>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20" w:type="dxa"/>
            <w:vAlign w:val="bottom"/>
            <w:tcBorders>
              <w:bottom w:val="single" w:sz="8" w:color="auto"/>
            </w:tcBorders>
            <w:shd w:val="clear" w:color="auto" w:fill="EEEEEE"/>
          </w:tcPr>
          <w:p>
            <w:pPr>
              <w:spacing w:after="0"/>
              <w:rPr>
                <w:sz w:val="18"/>
                <w:szCs w:val="18"/>
                <w:color w:val="auto"/>
              </w:rPr>
            </w:pPr>
          </w:p>
        </w:tc>
        <w:tc>
          <w:tcPr>
            <w:tcW w:w="1020" w:type="dxa"/>
            <w:vAlign w:val="bottom"/>
            <w:tcBorders>
              <w:bottom w:val="single" w:sz="8" w:color="auto"/>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0" w:type="dxa"/>
            <w:vAlign w:val="bottom"/>
            <w:tcBorders>
              <w:bottom w:val="single" w:sz="8" w:color="auto"/>
            </w:tcBorders>
            <w:shd w:val="clear" w:color="auto" w:fill="EEEEEE"/>
          </w:tcPr>
          <w:p>
            <w:pPr>
              <w:spacing w:after="0"/>
              <w:rPr>
                <w:sz w:val="18"/>
                <w:szCs w:val="18"/>
                <w:color w:val="auto"/>
              </w:rPr>
            </w:pPr>
          </w:p>
        </w:tc>
        <w:tc>
          <w:tcPr>
            <w:tcW w:w="1140" w:type="dxa"/>
            <w:vAlign w:val="bottom"/>
            <w:tcBorders>
              <w:bottom w:val="single" w:sz="8" w:color="auto"/>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bottom w:val="single" w:sz="8" w:color="auto"/>
            </w:tcBorders>
            <w:shd w:val="clear" w:color="auto" w:fill="EEEEEE"/>
          </w:tcPr>
          <w:p>
            <w:pPr>
              <w:spacing w:after="0"/>
              <w:rPr>
                <w:sz w:val="18"/>
                <w:szCs w:val="18"/>
                <w:color w:val="auto"/>
              </w:rPr>
            </w:pPr>
          </w:p>
        </w:tc>
        <w:tc>
          <w:tcPr>
            <w:tcW w:w="1080" w:type="dxa"/>
            <w:vAlign w:val="bottom"/>
            <w:tcBorders>
              <w:bottom w:val="single" w:sz="8" w:color="auto"/>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r>
      <w:tr>
        <w:trPr>
          <w:trHeight w:val="207"/>
        </w:trPr>
        <w:tc>
          <w:tcPr>
            <w:tcW w:w="2580" w:type="dxa"/>
            <w:vAlign w:val="bottom"/>
            <w:gridSpan w:val="5"/>
          </w:tcPr>
          <w:p>
            <w:pPr>
              <w:spacing w:after="0"/>
              <w:rPr>
                <w:sz w:val="20"/>
                <w:szCs w:val="20"/>
                <w:color w:val="auto"/>
              </w:rPr>
            </w:pPr>
            <w:r>
              <w:rPr>
                <w:rFonts w:ascii="Arial" w:cs="Arial" w:eastAsia="Arial" w:hAnsi="Arial"/>
                <w:sz w:val="16"/>
                <w:szCs w:val="16"/>
                <w:color w:val="auto"/>
              </w:rPr>
              <w:t>Net interest income/spread</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(16,325</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41,535</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(57,860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6" w:name="page37"/>
    <w:bookmarkEnd w:id="36"/>
    <w:p>
      <w:pPr>
        <w:jc w:val="both"/>
        <w:ind w:firstLine="162"/>
        <w:spacing w:after="0" w:line="259" w:lineRule="auto"/>
        <w:rPr>
          <w:sz w:val="20"/>
          <w:szCs w:val="20"/>
          <w:color w:val="auto"/>
        </w:rPr>
      </w:pPr>
      <w:r>
        <w:rPr>
          <w:rFonts w:ascii="Arial" w:cs="Arial" w:eastAsia="Arial" w:hAnsi="Arial"/>
          <w:sz w:val="18"/>
          <w:szCs w:val="18"/>
          <w:color w:val="auto"/>
        </w:rPr>
        <w:t>For the six months ended June 30, 2023, we recorded a reduction to provision for credit losses on finance receivables in the amount of $18.7 million. The reserve decrease was primarily due to a decrease in lifetime expected credit losses resulting from improved credit performance as our previous estimates for future losses exceeded actual incurred losses. This compares to $17.4 million in reductions to provision for credit losses for the six months ended June 30, 2022.</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evaluation of the allowance for credit losses indicated that the reserves against future losses are adequate as of June 30, 2023.</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16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Sales expense was $11.2 million for the six months ended June 30, 2023 and 2022. We purchased $733.5 million of new contracts during the six months ended June 30, 2023 compared to $958.1 million in the prior year period.</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Occupancy expenses was $3.2 million for the six months ending June 30, 2023, which is down from $3.8 million for the same period in 2022.</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 expenses decreased to $442,000 compared to $802,000 in the previous year.</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For the six months ended June 30, 2023, we recorded income tax expense of $9.3 million, representing a 25% effective tax rate. In the prior period, our income tax expense was $17.1 million, representing a 27% effective tax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Experience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2820" w:type="dxa"/>
            <w:vAlign w:val="bottom"/>
            <w:gridSpan w:val="5"/>
          </w:tcPr>
          <w:p>
            <w:pPr>
              <w:jc w:val="right"/>
              <w:ind w:right="1060"/>
              <w:spacing w:after="0"/>
              <w:rPr>
                <w:sz w:val="20"/>
                <w:szCs w:val="20"/>
                <w:color w:val="auto"/>
              </w:rPr>
            </w:pPr>
            <w:r>
              <w:rPr>
                <w:rFonts w:ascii="Arial" w:cs="Arial" w:eastAsia="Arial" w:hAnsi="Arial"/>
                <w:sz w:val="16"/>
                <w:szCs w:val="16"/>
                <w:b w:val="1"/>
                <w:bCs w:val="1"/>
                <w:color w:val="auto"/>
              </w:rPr>
              <w:t>June 30, 2023</w:t>
            </w:r>
          </w:p>
        </w:tc>
        <w:tc>
          <w:tcPr>
            <w:tcW w:w="2920" w:type="dxa"/>
            <w:vAlign w:val="bottom"/>
            <w:gridSpan w:val="6"/>
          </w:tcPr>
          <w:p>
            <w:pPr>
              <w:jc w:val="right"/>
              <w:ind w:right="1120"/>
              <w:spacing w:after="0"/>
              <w:rPr>
                <w:sz w:val="20"/>
                <w:szCs w:val="20"/>
                <w:color w:val="auto"/>
              </w:rPr>
            </w:pPr>
            <w:r>
              <w:rPr>
                <w:rFonts w:ascii="Arial" w:cs="Arial" w:eastAsia="Arial" w:hAnsi="Arial"/>
                <w:sz w:val="16"/>
                <w:szCs w:val="16"/>
                <w:b w:val="1"/>
                <w:bCs w:val="1"/>
                <w:color w:val="auto"/>
              </w:rPr>
              <w:t>June 30, 2022</w:t>
            </w:r>
          </w:p>
        </w:tc>
        <w:tc>
          <w:tcPr>
            <w:tcW w:w="2800" w:type="dxa"/>
            <w:vAlign w:val="bottom"/>
            <w:gridSpan w:val="5"/>
          </w:tcPr>
          <w:p>
            <w:pPr>
              <w:ind w:left="680"/>
              <w:spacing w:after="0"/>
              <w:rPr>
                <w:sz w:val="20"/>
                <w:szCs w:val="20"/>
                <w:color w:val="auto"/>
              </w:rPr>
            </w:pPr>
            <w:r>
              <w:rPr>
                <w:rFonts w:ascii="Arial" w:cs="Arial" w:eastAsia="Arial" w:hAnsi="Arial"/>
                <w:sz w:val="16"/>
                <w:szCs w:val="16"/>
                <w:b w:val="1"/>
                <w:bCs w:val="1"/>
                <w:color w:val="auto"/>
              </w:rPr>
              <w:t>December 31, 2022</w:t>
            </w:r>
          </w:p>
        </w:tc>
      </w:tr>
      <w:tr>
        <w:trPr>
          <w:trHeight w:val="199"/>
        </w:trPr>
        <w:tc>
          <w:tcPr>
            <w:tcW w:w="2700" w:type="dxa"/>
            <w:vAlign w:val="bottom"/>
          </w:tcPr>
          <w:p>
            <w:pPr>
              <w:spacing w:after="0"/>
              <w:rPr>
                <w:sz w:val="17"/>
                <w:szCs w:val="17"/>
                <w:color w:val="auto"/>
              </w:rPr>
            </w:pPr>
          </w:p>
        </w:tc>
        <w:tc>
          <w:tcPr>
            <w:tcW w:w="12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Number of</w:t>
            </w: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top w:val="single" w:sz="8" w:color="auto"/>
            </w:tcBorders>
            <w:gridSpan w:val="2"/>
          </w:tcPr>
          <w:p>
            <w:pPr>
              <w:jc w:val="right"/>
              <w:ind w:right="2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6"/>
                <w:szCs w:val="16"/>
                <w:b w:val="1"/>
                <w:bCs w:val="1"/>
                <w:color w:val="auto"/>
              </w:rPr>
              <w:t>Number of</w:t>
            </w: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2700" w:type="dxa"/>
            <w:vAlign w:val="bottom"/>
          </w:tcPr>
          <w:p>
            <w:pPr>
              <w:spacing w:after="0"/>
              <w:rPr>
                <w:sz w:val="18"/>
                <w:szCs w:val="18"/>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b w:val="1"/>
                <w:bCs w:val="1"/>
                <w:color w:val="auto"/>
              </w:rPr>
              <w:t>Contracts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Amount</w:t>
            </w:r>
          </w:p>
        </w:tc>
        <w:tc>
          <w:tcPr>
            <w:tcW w:w="134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Contracts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Amount</w:t>
            </w:r>
          </w:p>
        </w:tc>
        <w:tc>
          <w:tcPr>
            <w:tcW w:w="14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Contracts</w:t>
            </w:r>
          </w:p>
        </w:tc>
        <w:tc>
          <w:tcPr>
            <w:tcW w:w="22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Amount</w:t>
            </w:r>
          </w:p>
        </w:tc>
      </w:tr>
      <w:tr>
        <w:trPr>
          <w:trHeight w:val="202"/>
        </w:trPr>
        <w:tc>
          <w:tcPr>
            <w:tcW w:w="27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(Dollars</w:t>
            </w:r>
          </w:p>
        </w:tc>
        <w:tc>
          <w:tcPr>
            <w:tcW w:w="240" w:type="dxa"/>
            <w:vAlign w:val="bottom"/>
            <w:gridSpan w:val="2"/>
          </w:tcPr>
          <w:p>
            <w:pPr>
              <w:spacing w:after="0"/>
              <w:rPr>
                <w:sz w:val="20"/>
                <w:szCs w:val="20"/>
                <w:color w:val="auto"/>
              </w:rPr>
            </w:pPr>
            <w:r>
              <w:rPr>
                <w:rFonts w:ascii="Arial" w:cs="Arial" w:eastAsia="Arial" w:hAnsi="Arial"/>
                <w:sz w:val="16"/>
                <w:szCs w:val="16"/>
                <w:b w:val="1"/>
                <w:bCs w:val="1"/>
                <w:color w:val="auto"/>
              </w:rPr>
              <w:t>in</w:t>
            </w: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thousands)</w:t>
            </w:r>
          </w:p>
        </w:tc>
        <w:tc>
          <w:tcPr>
            <w:tcW w:w="24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700" w:type="dxa"/>
            <w:vAlign w:val="bottom"/>
            <w:shd w:val="clear" w:color="auto" w:fill="EEEEEE"/>
          </w:tcPr>
          <w:p>
            <w:pPr>
              <w:spacing w:after="0"/>
              <w:rPr>
                <w:sz w:val="20"/>
                <w:szCs w:val="20"/>
                <w:color w:val="auto"/>
              </w:rPr>
            </w:pPr>
            <w:r>
              <w:rPr>
                <w:rFonts w:ascii="Arial" w:cs="Arial" w:eastAsia="Arial" w:hAnsi="Arial"/>
                <w:sz w:val="16"/>
                <w:szCs w:val="16"/>
                <w:b w:val="1"/>
                <w:bCs w:val="1"/>
                <w:i w:val="1"/>
                <w:iCs w:val="1"/>
                <w:color w:val="auto"/>
              </w:rPr>
              <w:t>Delinquency Experience</w:t>
            </w:r>
          </w:p>
        </w:tc>
        <w:tc>
          <w:tcPr>
            <w:tcW w:w="1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3"/>
        </w:trPr>
        <w:tc>
          <w:tcPr>
            <w:tcW w:w="2700" w:type="dxa"/>
            <w:vAlign w:val="bottom"/>
          </w:tcPr>
          <w:p>
            <w:pPr>
              <w:spacing w:after="0"/>
              <w:rPr>
                <w:sz w:val="20"/>
                <w:szCs w:val="20"/>
                <w:color w:val="auto"/>
              </w:rPr>
            </w:pPr>
            <w:r>
              <w:rPr>
                <w:rFonts w:ascii="Arial" w:cs="Arial" w:eastAsia="Arial" w:hAnsi="Arial"/>
                <w:sz w:val="16"/>
                <w:szCs w:val="16"/>
                <w:color w:val="auto"/>
              </w:rPr>
              <w:t>Gross servicing portfolio (1)</w:t>
            </w:r>
          </w:p>
        </w:tc>
        <w:tc>
          <w:tcPr>
            <w:tcW w:w="1240" w:type="dxa"/>
            <w:vAlign w:val="bottom"/>
          </w:tcPr>
          <w:p>
            <w:pPr>
              <w:jc w:val="right"/>
              <w:spacing w:after="0"/>
              <w:rPr>
                <w:sz w:val="20"/>
                <w:szCs w:val="20"/>
                <w:color w:val="auto"/>
              </w:rPr>
            </w:pPr>
            <w:r>
              <w:rPr>
                <w:rFonts w:ascii="Arial" w:cs="Arial" w:eastAsia="Arial" w:hAnsi="Arial"/>
                <w:sz w:val="16"/>
                <w:szCs w:val="16"/>
                <w:color w:val="auto"/>
              </w:rPr>
              <w:t>176,458</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2,910,288</w:t>
            </w: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162,296</w:t>
            </w:r>
          </w:p>
        </w:tc>
        <w:tc>
          <w:tcPr>
            <w:tcW w:w="3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2,554,855</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170,658</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2,795,383</w:t>
            </w:r>
          </w:p>
        </w:tc>
        <w:tc>
          <w:tcPr>
            <w:tcW w:w="100" w:type="dxa"/>
            <w:vAlign w:val="bottom"/>
          </w:tcPr>
          <w:p>
            <w:pPr>
              <w:spacing w:after="0"/>
              <w:rPr>
                <w:sz w:val="17"/>
                <w:szCs w:val="17"/>
                <w:color w:val="auto"/>
              </w:rPr>
            </w:pPr>
          </w:p>
        </w:tc>
      </w:tr>
      <w:tr>
        <w:trPr>
          <w:trHeight w:val="203"/>
        </w:trPr>
        <w:tc>
          <w:tcPr>
            <w:tcW w:w="2700" w:type="dxa"/>
            <w:vAlign w:val="bottom"/>
            <w:shd w:val="clear" w:color="auto" w:fill="EEEEEE"/>
          </w:tcPr>
          <w:p>
            <w:pPr>
              <w:spacing w:after="0"/>
              <w:rPr>
                <w:sz w:val="20"/>
                <w:szCs w:val="20"/>
                <w:color w:val="auto"/>
              </w:rPr>
            </w:pPr>
            <w:r>
              <w:rPr>
                <w:rFonts w:ascii="Arial" w:cs="Arial" w:eastAsia="Arial" w:hAnsi="Arial"/>
                <w:sz w:val="16"/>
                <w:szCs w:val="16"/>
                <w:color w:val="auto"/>
              </w:rPr>
              <w:t>Period of delinquency (2)</w:t>
            </w:r>
          </w:p>
        </w:tc>
        <w:tc>
          <w:tcPr>
            <w:tcW w:w="1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3"/>
        </w:trPr>
        <w:tc>
          <w:tcPr>
            <w:tcW w:w="2700" w:type="dxa"/>
            <w:vAlign w:val="bottom"/>
          </w:tcPr>
          <w:p>
            <w:pPr>
              <w:ind w:left="180"/>
              <w:spacing w:after="0"/>
              <w:rPr>
                <w:sz w:val="20"/>
                <w:szCs w:val="20"/>
                <w:color w:val="auto"/>
              </w:rPr>
            </w:pPr>
            <w:r>
              <w:rPr>
                <w:rFonts w:ascii="Arial" w:cs="Arial" w:eastAsia="Arial" w:hAnsi="Arial"/>
                <w:sz w:val="16"/>
                <w:szCs w:val="16"/>
                <w:color w:val="auto"/>
              </w:rPr>
              <w:t>31-60 days</w:t>
            </w:r>
          </w:p>
        </w:tc>
        <w:tc>
          <w:tcPr>
            <w:tcW w:w="1240" w:type="dxa"/>
            <w:vAlign w:val="bottom"/>
          </w:tcPr>
          <w:p>
            <w:pPr>
              <w:jc w:val="right"/>
              <w:spacing w:after="0"/>
              <w:rPr>
                <w:sz w:val="20"/>
                <w:szCs w:val="20"/>
                <w:color w:val="auto"/>
              </w:rPr>
            </w:pPr>
            <w:r>
              <w:rPr>
                <w:rFonts w:ascii="Arial" w:cs="Arial" w:eastAsia="Arial" w:hAnsi="Arial"/>
                <w:sz w:val="16"/>
                <w:szCs w:val="16"/>
                <w:color w:val="auto"/>
              </w:rPr>
              <w:t>12,273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189,384</w:t>
            </w: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10,721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149,520</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13,434</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201,764</w:t>
            </w:r>
          </w:p>
        </w:tc>
        <w:tc>
          <w:tcPr>
            <w:tcW w:w="100" w:type="dxa"/>
            <w:vAlign w:val="bottom"/>
          </w:tcPr>
          <w:p>
            <w:pPr>
              <w:spacing w:after="0"/>
              <w:rPr>
                <w:sz w:val="17"/>
                <w:szCs w:val="17"/>
                <w:color w:val="auto"/>
              </w:rPr>
            </w:pPr>
          </w:p>
        </w:tc>
      </w:tr>
      <w:tr>
        <w:trPr>
          <w:trHeight w:val="203"/>
        </w:trPr>
        <w:tc>
          <w:tcPr>
            <w:tcW w:w="2700" w:type="dxa"/>
            <w:vAlign w:val="bottom"/>
            <w:shd w:val="clear" w:color="auto" w:fill="EEEEEE"/>
          </w:tcPr>
          <w:p>
            <w:pPr>
              <w:ind w:left="180"/>
              <w:spacing w:after="0"/>
              <w:rPr>
                <w:sz w:val="20"/>
                <w:szCs w:val="20"/>
                <w:color w:val="auto"/>
              </w:rPr>
            </w:pPr>
            <w:r>
              <w:rPr>
                <w:rFonts w:ascii="Arial" w:cs="Arial" w:eastAsia="Arial" w:hAnsi="Arial"/>
                <w:sz w:val="16"/>
                <w:szCs w:val="16"/>
                <w:color w:val="auto"/>
              </w:rPr>
              <w:t>61-90 days</w:t>
            </w:r>
          </w:p>
        </w:tc>
        <w:tc>
          <w:tcPr>
            <w:tcW w:w="12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5,261</w:t>
            </w: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79,302</w:t>
            </w:r>
          </w:p>
        </w:tc>
        <w:tc>
          <w:tcPr>
            <w:tcW w:w="1340" w:type="dxa"/>
            <w:vAlign w:val="bottom"/>
            <w:gridSpan w:val="2"/>
            <w:shd w:val="clear" w:color="auto" w:fill="EEEEEE"/>
          </w:tcPr>
          <w:p>
            <w:pPr>
              <w:jc w:val="right"/>
              <w:ind w:right="39"/>
              <w:spacing w:after="0"/>
              <w:rPr>
                <w:sz w:val="20"/>
                <w:szCs w:val="20"/>
                <w:color w:val="auto"/>
              </w:rPr>
            </w:pPr>
            <w:r>
              <w:rPr>
                <w:rFonts w:ascii="Arial" w:cs="Arial" w:eastAsia="Arial" w:hAnsi="Arial"/>
                <w:sz w:val="16"/>
                <w:szCs w:val="16"/>
                <w:color w:val="auto"/>
              </w:rPr>
              <w:t>4,096</w:t>
            </w: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54,505</w:t>
            </w: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5,481</w:t>
            </w:r>
          </w:p>
        </w:tc>
        <w:tc>
          <w:tcPr>
            <w:tcW w:w="220" w:type="dxa"/>
            <w:vAlign w:val="bottom"/>
            <w:shd w:val="clear" w:color="auto" w:fill="EEEEEE"/>
          </w:tcPr>
          <w:p>
            <w:pPr>
              <w:spacing w:after="0"/>
              <w:rPr>
                <w:sz w:val="17"/>
                <w:szCs w:val="17"/>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80,145</w:t>
            </w:r>
          </w:p>
        </w:tc>
        <w:tc>
          <w:tcPr>
            <w:tcW w:w="100" w:type="dxa"/>
            <w:vAlign w:val="bottom"/>
            <w:shd w:val="clear" w:color="auto" w:fill="EEEEEE"/>
          </w:tcPr>
          <w:p>
            <w:pPr>
              <w:spacing w:after="0"/>
              <w:rPr>
                <w:sz w:val="17"/>
                <w:szCs w:val="17"/>
                <w:color w:val="auto"/>
              </w:rPr>
            </w:pPr>
          </w:p>
        </w:tc>
      </w:tr>
      <w:tr>
        <w:trPr>
          <w:trHeight w:val="203"/>
        </w:trPr>
        <w:tc>
          <w:tcPr>
            <w:tcW w:w="2700" w:type="dxa"/>
            <w:vAlign w:val="bottom"/>
          </w:tcPr>
          <w:p>
            <w:pPr>
              <w:ind w:left="180"/>
              <w:spacing w:after="0"/>
              <w:rPr>
                <w:sz w:val="20"/>
                <w:szCs w:val="20"/>
                <w:color w:val="auto"/>
              </w:rPr>
            </w:pPr>
            <w:r>
              <w:rPr>
                <w:rFonts w:ascii="Arial" w:cs="Arial" w:eastAsia="Arial" w:hAnsi="Arial"/>
                <w:sz w:val="16"/>
                <w:szCs w:val="16"/>
                <w:color w:val="auto"/>
              </w:rPr>
              <w:t>91+ days</w:t>
            </w:r>
          </w:p>
        </w:tc>
        <w:tc>
          <w:tcPr>
            <w:tcW w:w="1240" w:type="dxa"/>
            <w:vAlign w:val="bottom"/>
          </w:tcPr>
          <w:p>
            <w:pPr>
              <w:jc w:val="right"/>
              <w:spacing w:after="0"/>
              <w:rPr>
                <w:sz w:val="20"/>
                <w:szCs w:val="20"/>
                <w:color w:val="auto"/>
              </w:rPr>
            </w:pPr>
            <w:r>
              <w:rPr>
                <w:rFonts w:ascii="Arial" w:cs="Arial" w:eastAsia="Arial" w:hAnsi="Arial"/>
                <w:sz w:val="16"/>
                <w:szCs w:val="16"/>
                <w:color w:val="auto"/>
              </w:rPr>
              <w:t>2,082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29,707</w:t>
            </w: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1,302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16,996</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2,148</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31,036</w:t>
            </w:r>
          </w:p>
        </w:tc>
        <w:tc>
          <w:tcPr>
            <w:tcW w:w="100" w:type="dxa"/>
            <w:vAlign w:val="bottom"/>
          </w:tcPr>
          <w:p>
            <w:pPr>
              <w:spacing w:after="0"/>
              <w:rPr>
                <w:sz w:val="17"/>
                <w:szCs w:val="17"/>
                <w:color w:val="auto"/>
              </w:rPr>
            </w:pPr>
          </w:p>
        </w:tc>
      </w:tr>
      <w:tr>
        <w:trPr>
          <w:trHeight w:val="20"/>
        </w:trPr>
        <w:tc>
          <w:tcPr>
            <w:tcW w:w="27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700" w:type="dxa"/>
            <w:vAlign w:val="bottom"/>
            <w:shd w:val="clear" w:color="auto" w:fill="EEEEEE"/>
          </w:tcPr>
          <w:p>
            <w:pPr>
              <w:spacing w:after="0"/>
              <w:rPr>
                <w:sz w:val="20"/>
                <w:szCs w:val="20"/>
                <w:color w:val="auto"/>
              </w:rPr>
            </w:pPr>
            <w:r>
              <w:rPr>
                <w:rFonts w:ascii="Arial" w:cs="Arial" w:eastAsia="Arial" w:hAnsi="Arial"/>
                <w:sz w:val="16"/>
                <w:szCs w:val="16"/>
                <w:color w:val="auto"/>
              </w:rPr>
              <w:t>Total delinquencies (2)</w:t>
            </w:r>
          </w:p>
        </w:tc>
        <w:tc>
          <w:tcPr>
            <w:tcW w:w="12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19,616</w:t>
            </w: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298,393</w:t>
            </w:r>
          </w:p>
        </w:tc>
        <w:tc>
          <w:tcPr>
            <w:tcW w:w="1340" w:type="dxa"/>
            <w:vAlign w:val="bottom"/>
            <w:gridSpan w:val="2"/>
            <w:shd w:val="clear" w:color="auto" w:fill="EEEEEE"/>
          </w:tcPr>
          <w:p>
            <w:pPr>
              <w:jc w:val="right"/>
              <w:ind w:right="39"/>
              <w:spacing w:after="0"/>
              <w:rPr>
                <w:sz w:val="20"/>
                <w:szCs w:val="20"/>
                <w:color w:val="auto"/>
              </w:rPr>
            </w:pPr>
            <w:r>
              <w:rPr>
                <w:rFonts w:ascii="Arial" w:cs="Arial" w:eastAsia="Arial" w:hAnsi="Arial"/>
                <w:sz w:val="16"/>
                <w:szCs w:val="16"/>
                <w:color w:val="auto"/>
              </w:rPr>
              <w:t>16,119</w:t>
            </w: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221,021</w:t>
            </w: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21,063</w:t>
            </w:r>
          </w:p>
        </w:tc>
        <w:tc>
          <w:tcPr>
            <w:tcW w:w="220" w:type="dxa"/>
            <w:vAlign w:val="bottom"/>
            <w:shd w:val="clear" w:color="auto" w:fill="EEEEEE"/>
          </w:tcPr>
          <w:p>
            <w:pPr>
              <w:spacing w:after="0"/>
              <w:rPr>
                <w:sz w:val="17"/>
                <w:szCs w:val="17"/>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312,946</w:t>
            </w:r>
          </w:p>
        </w:tc>
        <w:tc>
          <w:tcPr>
            <w:tcW w:w="100" w:type="dxa"/>
            <w:vAlign w:val="bottom"/>
            <w:shd w:val="clear" w:color="auto" w:fill="EEEEEE"/>
          </w:tcPr>
          <w:p>
            <w:pPr>
              <w:spacing w:after="0"/>
              <w:rPr>
                <w:sz w:val="17"/>
                <w:szCs w:val="17"/>
                <w:color w:val="auto"/>
              </w:rPr>
            </w:pPr>
          </w:p>
        </w:tc>
      </w:tr>
      <w:tr>
        <w:trPr>
          <w:trHeight w:val="213"/>
        </w:trPr>
        <w:tc>
          <w:tcPr>
            <w:tcW w:w="2700" w:type="dxa"/>
            <w:vAlign w:val="bottom"/>
          </w:tcPr>
          <w:p>
            <w:pPr>
              <w:spacing w:after="0"/>
              <w:rPr>
                <w:sz w:val="20"/>
                <w:szCs w:val="20"/>
                <w:color w:val="auto"/>
              </w:rPr>
            </w:pPr>
            <w:r>
              <w:rPr>
                <w:rFonts w:ascii="Arial" w:cs="Arial" w:eastAsia="Arial" w:hAnsi="Arial"/>
                <w:sz w:val="16"/>
                <w:szCs w:val="16"/>
                <w:color w:val="auto"/>
              </w:rPr>
              <w:t>Amount in repossession (3)</w:t>
            </w:r>
          </w:p>
        </w:tc>
        <w:tc>
          <w:tcPr>
            <w:tcW w:w="1240" w:type="dxa"/>
            <w:vAlign w:val="bottom"/>
          </w:tcPr>
          <w:p>
            <w:pPr>
              <w:jc w:val="right"/>
              <w:spacing w:after="0"/>
              <w:rPr>
                <w:sz w:val="20"/>
                <w:szCs w:val="20"/>
                <w:color w:val="auto"/>
              </w:rPr>
            </w:pPr>
            <w:r>
              <w:rPr>
                <w:rFonts w:ascii="Arial" w:cs="Arial" w:eastAsia="Arial" w:hAnsi="Arial"/>
                <w:sz w:val="16"/>
                <w:szCs w:val="16"/>
                <w:color w:val="auto"/>
              </w:rPr>
              <w:t>2,920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42,897</w:t>
            </w: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2,028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26,988</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2,904</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41,401</w:t>
            </w:r>
          </w:p>
        </w:tc>
        <w:tc>
          <w:tcPr>
            <w:tcW w:w="100" w:type="dxa"/>
            <w:vAlign w:val="bottom"/>
          </w:tcPr>
          <w:p>
            <w:pPr>
              <w:spacing w:after="0"/>
              <w:rPr>
                <w:sz w:val="18"/>
                <w:szCs w:val="18"/>
                <w:color w:val="auto"/>
              </w:rPr>
            </w:pPr>
          </w:p>
        </w:tc>
      </w:tr>
      <w:tr>
        <w:trPr>
          <w:trHeight w:val="189"/>
        </w:trPr>
        <w:tc>
          <w:tcPr>
            <w:tcW w:w="2700" w:type="dxa"/>
            <w:vAlign w:val="bottom"/>
            <w:shd w:val="clear" w:color="auto" w:fill="EEEEEE"/>
          </w:tcPr>
          <w:p>
            <w:pPr>
              <w:spacing w:after="0"/>
              <w:rPr>
                <w:sz w:val="20"/>
                <w:szCs w:val="20"/>
                <w:color w:val="auto"/>
              </w:rPr>
            </w:pPr>
            <w:r>
              <w:rPr>
                <w:rFonts w:ascii="Arial" w:cs="Arial" w:eastAsia="Arial" w:hAnsi="Arial"/>
                <w:sz w:val="16"/>
                <w:szCs w:val="16"/>
                <w:color w:val="auto"/>
              </w:rPr>
              <w:t>Total delinquencies and amount in</w:t>
            </w:r>
          </w:p>
        </w:tc>
        <w:tc>
          <w:tcPr>
            <w:tcW w:w="1240" w:type="dxa"/>
            <w:vAlign w:val="bottom"/>
            <w:tcBorders>
              <w:top w:val="single" w:sz="8" w:color="auto"/>
            </w:tcBorders>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80" w:type="dxa"/>
            <w:vAlign w:val="bottom"/>
            <w:tcBorders>
              <w:top w:val="single" w:sz="8" w:color="auto"/>
            </w:tcBorders>
            <w:shd w:val="clear" w:color="auto" w:fill="EEEEEE"/>
          </w:tcPr>
          <w:p>
            <w:pPr>
              <w:spacing w:after="0"/>
              <w:rPr>
                <w:sz w:val="16"/>
                <w:szCs w:val="16"/>
                <w:color w:val="auto"/>
              </w:rPr>
            </w:pPr>
          </w:p>
        </w:tc>
        <w:tc>
          <w:tcPr>
            <w:tcW w:w="940" w:type="dxa"/>
            <w:vAlign w:val="bottom"/>
            <w:tcBorders>
              <w:top w:val="single" w:sz="8" w:color="auto"/>
            </w:tcBorders>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220" w:type="dxa"/>
            <w:vAlign w:val="bottom"/>
            <w:tcBorders>
              <w:top w:val="single" w:sz="8" w:color="auto"/>
            </w:tcBorders>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200" w:type="dxa"/>
            <w:vAlign w:val="bottom"/>
            <w:tcBorders>
              <w:top w:val="single" w:sz="8" w:color="auto"/>
            </w:tcBorders>
            <w:shd w:val="clear" w:color="auto" w:fill="EEEEEE"/>
          </w:tcPr>
          <w:p>
            <w:pPr>
              <w:spacing w:after="0"/>
              <w:rPr>
                <w:sz w:val="16"/>
                <w:szCs w:val="16"/>
                <w:color w:val="auto"/>
              </w:rPr>
            </w:pPr>
          </w:p>
        </w:tc>
        <w:tc>
          <w:tcPr>
            <w:tcW w:w="1020" w:type="dxa"/>
            <w:vAlign w:val="bottom"/>
            <w:tcBorders>
              <w:top w:val="single" w:sz="8" w:color="auto"/>
            </w:tcBorders>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220" w:type="dxa"/>
            <w:vAlign w:val="bottom"/>
            <w:tcBorders>
              <w:top w:val="single" w:sz="8" w:color="auto"/>
            </w:tcBorders>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20" w:type="dxa"/>
            <w:vAlign w:val="bottom"/>
            <w:tcBorders>
              <w:top w:val="single" w:sz="8" w:color="auto"/>
            </w:tcBorders>
            <w:shd w:val="clear" w:color="auto" w:fill="EEEEEE"/>
          </w:tcPr>
          <w:p>
            <w:pPr>
              <w:spacing w:after="0"/>
              <w:rPr>
                <w:sz w:val="16"/>
                <w:szCs w:val="16"/>
                <w:color w:val="auto"/>
              </w:rPr>
            </w:pPr>
          </w:p>
        </w:tc>
        <w:tc>
          <w:tcPr>
            <w:tcW w:w="1040" w:type="dxa"/>
            <w:vAlign w:val="bottom"/>
            <w:tcBorders>
              <w:top w:val="single" w:sz="8" w:color="auto"/>
            </w:tcBorders>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r>
      <w:tr>
        <w:trPr>
          <w:trHeight w:val="236"/>
        </w:trPr>
        <w:tc>
          <w:tcPr>
            <w:tcW w:w="2700" w:type="dxa"/>
            <w:vAlign w:val="bottom"/>
            <w:shd w:val="clear" w:color="auto" w:fill="EEEEEE"/>
          </w:tcPr>
          <w:p>
            <w:pPr>
              <w:ind w:left="180"/>
              <w:spacing w:after="0"/>
              <w:rPr>
                <w:sz w:val="20"/>
                <w:szCs w:val="20"/>
                <w:color w:val="auto"/>
              </w:rPr>
            </w:pPr>
            <w:r>
              <w:rPr>
                <w:rFonts w:ascii="Arial" w:cs="Arial" w:eastAsia="Arial" w:hAnsi="Arial"/>
                <w:sz w:val="16"/>
                <w:szCs w:val="16"/>
                <w:color w:val="auto"/>
              </w:rPr>
              <w:t>repossession (2)</w:t>
            </w:r>
          </w:p>
        </w:tc>
        <w:tc>
          <w:tcPr>
            <w:tcW w:w="12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22,536</w:t>
            </w:r>
          </w:p>
        </w:tc>
        <w:tc>
          <w:tcPr>
            <w:tcW w:w="4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341,290</w:t>
            </w:r>
          </w:p>
        </w:tc>
        <w:tc>
          <w:tcPr>
            <w:tcW w:w="1340" w:type="dxa"/>
            <w:vAlign w:val="bottom"/>
            <w:gridSpan w:val="2"/>
            <w:shd w:val="clear" w:color="auto" w:fill="EEEEEE"/>
          </w:tcPr>
          <w:p>
            <w:pPr>
              <w:jc w:val="right"/>
              <w:ind w:right="39"/>
              <w:spacing w:after="0"/>
              <w:rPr>
                <w:sz w:val="20"/>
                <w:szCs w:val="20"/>
                <w:color w:val="auto"/>
              </w:rPr>
            </w:pPr>
            <w:r>
              <w:rPr>
                <w:rFonts w:ascii="Arial" w:cs="Arial" w:eastAsia="Arial" w:hAnsi="Arial"/>
                <w:sz w:val="16"/>
                <w:szCs w:val="16"/>
                <w:color w:val="auto"/>
              </w:rPr>
              <w:t>18,147</w:t>
            </w:r>
          </w:p>
        </w:tc>
        <w:tc>
          <w:tcPr>
            <w:tcW w:w="320" w:type="dxa"/>
            <w:vAlign w:val="bottom"/>
            <w:gridSpan w:val="2"/>
            <w:shd w:val="clear" w:color="auto" w:fill="EEEEEE"/>
          </w:tcPr>
          <w:p>
            <w:pPr>
              <w:ind w:left="1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248,009</w:t>
            </w: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23,967</w:t>
            </w:r>
          </w:p>
        </w:tc>
        <w:tc>
          <w:tcPr>
            <w:tcW w:w="220" w:type="dxa"/>
            <w:vAlign w:val="bottom"/>
            <w:shd w:val="clear" w:color="auto" w:fill="EEEEEE"/>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354,347</w:t>
            </w:r>
          </w:p>
        </w:tc>
        <w:tc>
          <w:tcPr>
            <w:tcW w:w="100" w:type="dxa"/>
            <w:vAlign w:val="bottom"/>
            <w:shd w:val="clear" w:color="auto" w:fill="EEEEEE"/>
          </w:tcPr>
          <w:p>
            <w:pPr>
              <w:spacing w:after="0"/>
              <w:rPr>
                <w:sz w:val="20"/>
                <w:szCs w:val="20"/>
                <w:color w:val="auto"/>
              </w:rPr>
            </w:pPr>
          </w:p>
        </w:tc>
      </w:tr>
      <w:tr>
        <w:trPr>
          <w:trHeight w:val="20"/>
        </w:trPr>
        <w:tc>
          <w:tcPr>
            <w:tcW w:w="270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186"/>
        </w:trPr>
        <w:tc>
          <w:tcPr>
            <w:tcW w:w="27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2700" w:type="dxa"/>
            <w:vAlign w:val="bottom"/>
            <w:shd w:val="clear" w:color="auto" w:fill="EEEEEE"/>
          </w:tcPr>
          <w:p>
            <w:pPr>
              <w:spacing w:after="0"/>
              <w:rPr>
                <w:sz w:val="20"/>
                <w:szCs w:val="20"/>
                <w:color w:val="auto"/>
              </w:rPr>
            </w:pPr>
            <w:r>
              <w:rPr>
                <w:rFonts w:ascii="Arial" w:cs="Arial" w:eastAsia="Arial" w:hAnsi="Arial"/>
                <w:sz w:val="16"/>
                <w:szCs w:val="16"/>
                <w:color w:val="auto"/>
                <w:w w:val="95"/>
              </w:rPr>
              <w:t>Delinquencies as a percentage of gross</w:t>
            </w:r>
          </w:p>
        </w:tc>
        <w:tc>
          <w:tcPr>
            <w:tcW w:w="12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2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0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2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0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r>
      <w:tr>
        <w:trPr>
          <w:trHeight w:val="212"/>
        </w:trPr>
        <w:tc>
          <w:tcPr>
            <w:tcW w:w="2700" w:type="dxa"/>
            <w:vAlign w:val="bottom"/>
            <w:shd w:val="clear" w:color="auto" w:fill="EEEEEE"/>
          </w:tcPr>
          <w:p>
            <w:pPr>
              <w:ind w:left="180"/>
              <w:spacing w:after="0"/>
              <w:rPr>
                <w:sz w:val="20"/>
                <w:szCs w:val="20"/>
                <w:color w:val="auto"/>
              </w:rPr>
            </w:pPr>
            <w:r>
              <w:rPr>
                <w:rFonts w:ascii="Arial" w:cs="Arial" w:eastAsia="Arial" w:hAnsi="Arial"/>
                <w:sz w:val="16"/>
                <w:szCs w:val="16"/>
                <w:color w:val="auto"/>
              </w:rPr>
              <w:t>servicing portfolio</w:t>
            </w:r>
          </w:p>
        </w:tc>
        <w:tc>
          <w:tcPr>
            <w:tcW w:w="12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11.1%</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10.3%</w:t>
            </w:r>
          </w:p>
        </w:tc>
        <w:tc>
          <w:tcPr>
            <w:tcW w:w="1340" w:type="dxa"/>
            <w:vAlign w:val="bottom"/>
            <w:gridSpan w:val="2"/>
            <w:shd w:val="clear" w:color="auto" w:fill="EEEEEE"/>
          </w:tcPr>
          <w:p>
            <w:pPr>
              <w:jc w:val="right"/>
              <w:ind w:right="39"/>
              <w:spacing w:after="0"/>
              <w:rPr>
                <w:sz w:val="20"/>
                <w:szCs w:val="20"/>
                <w:color w:val="auto"/>
              </w:rPr>
            </w:pPr>
            <w:r>
              <w:rPr>
                <w:rFonts w:ascii="Arial" w:cs="Arial" w:eastAsia="Arial" w:hAnsi="Arial"/>
                <w:sz w:val="16"/>
                <w:szCs w:val="16"/>
                <w:color w:val="auto"/>
              </w:rPr>
              <w:t>9.9%</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8.7%</w:t>
            </w: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12.3%</w:t>
            </w:r>
          </w:p>
        </w:tc>
        <w:tc>
          <w:tcPr>
            <w:tcW w:w="22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EEEEEE"/>
          </w:tcPr>
          <w:p>
            <w:pPr>
              <w:spacing w:after="0"/>
              <w:rPr>
                <w:sz w:val="18"/>
                <w:szCs w:val="18"/>
                <w:color w:val="auto"/>
              </w:rPr>
            </w:pPr>
          </w:p>
        </w:tc>
      </w:tr>
      <w:tr>
        <w:trPr>
          <w:trHeight w:val="203"/>
        </w:trPr>
        <w:tc>
          <w:tcPr>
            <w:tcW w:w="2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2700" w:type="dxa"/>
            <w:vAlign w:val="bottom"/>
            <w:shd w:val="clear" w:color="auto" w:fill="EEEEEE"/>
          </w:tcPr>
          <w:p>
            <w:pPr>
              <w:spacing w:after="0"/>
              <w:rPr>
                <w:sz w:val="20"/>
                <w:szCs w:val="20"/>
                <w:color w:val="auto"/>
              </w:rPr>
            </w:pPr>
            <w:r>
              <w:rPr>
                <w:rFonts w:ascii="Arial" w:cs="Arial" w:eastAsia="Arial" w:hAnsi="Arial"/>
                <w:sz w:val="16"/>
                <w:szCs w:val="16"/>
                <w:color w:val="auto"/>
              </w:rPr>
              <w:t>Total delinquencies and amount in</w:t>
            </w:r>
          </w:p>
        </w:tc>
        <w:tc>
          <w:tcPr>
            <w:tcW w:w="12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2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0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2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0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r>
      <w:tr>
        <w:trPr>
          <w:trHeight w:val="203"/>
        </w:trPr>
        <w:tc>
          <w:tcPr>
            <w:tcW w:w="2700" w:type="dxa"/>
            <w:vAlign w:val="bottom"/>
            <w:shd w:val="clear" w:color="auto" w:fill="EEEEEE"/>
          </w:tcPr>
          <w:p>
            <w:pPr>
              <w:ind w:left="180"/>
              <w:spacing w:after="0"/>
              <w:rPr>
                <w:sz w:val="20"/>
                <w:szCs w:val="20"/>
                <w:color w:val="auto"/>
              </w:rPr>
            </w:pPr>
            <w:r>
              <w:rPr>
                <w:rFonts w:ascii="Arial" w:cs="Arial" w:eastAsia="Arial" w:hAnsi="Arial"/>
                <w:sz w:val="16"/>
                <w:szCs w:val="16"/>
                <w:color w:val="auto"/>
              </w:rPr>
              <w:t>repossession as a percentage of</w:t>
            </w:r>
          </w:p>
        </w:tc>
        <w:tc>
          <w:tcPr>
            <w:tcW w:w="1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2"/>
        </w:trPr>
        <w:tc>
          <w:tcPr>
            <w:tcW w:w="2700" w:type="dxa"/>
            <w:vAlign w:val="bottom"/>
            <w:shd w:val="clear" w:color="auto" w:fill="EEEEEE"/>
          </w:tcPr>
          <w:p>
            <w:pPr>
              <w:ind w:left="180"/>
              <w:spacing w:after="0"/>
              <w:rPr>
                <w:sz w:val="20"/>
                <w:szCs w:val="20"/>
                <w:color w:val="auto"/>
              </w:rPr>
            </w:pPr>
            <w:r>
              <w:rPr>
                <w:rFonts w:ascii="Arial" w:cs="Arial" w:eastAsia="Arial" w:hAnsi="Arial"/>
                <w:sz w:val="16"/>
                <w:szCs w:val="16"/>
                <w:color w:val="auto"/>
              </w:rPr>
              <w:t>gross servicing portfolio</w:t>
            </w:r>
          </w:p>
        </w:tc>
        <w:tc>
          <w:tcPr>
            <w:tcW w:w="12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12.8%</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11.7%</w:t>
            </w:r>
          </w:p>
        </w:tc>
        <w:tc>
          <w:tcPr>
            <w:tcW w:w="1340" w:type="dxa"/>
            <w:vAlign w:val="bottom"/>
            <w:gridSpan w:val="2"/>
            <w:shd w:val="clear" w:color="auto" w:fill="EEEEEE"/>
          </w:tcPr>
          <w:p>
            <w:pPr>
              <w:jc w:val="right"/>
              <w:ind w:right="39"/>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9.7%</w:t>
            </w: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14.0%</w:t>
            </w:r>
          </w:p>
        </w:tc>
        <w:tc>
          <w:tcPr>
            <w:tcW w:w="22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EEEEEE"/>
          </w:tcPr>
          <w:p>
            <w:pPr>
              <w:spacing w:after="0"/>
              <w:rPr>
                <w:sz w:val="18"/>
                <w:szCs w:val="18"/>
                <w:color w:val="auto"/>
              </w:rPr>
            </w:pPr>
          </w:p>
        </w:tc>
      </w:tr>
      <w:tr>
        <w:trPr>
          <w:trHeight w:val="405"/>
        </w:trPr>
        <w:tc>
          <w:tcPr>
            <w:tcW w:w="2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2700" w:type="dxa"/>
            <w:vAlign w:val="bottom"/>
            <w:shd w:val="clear" w:color="auto" w:fill="EEEEEE"/>
          </w:tcPr>
          <w:p>
            <w:pPr>
              <w:spacing w:after="0"/>
              <w:rPr>
                <w:sz w:val="20"/>
                <w:szCs w:val="20"/>
                <w:color w:val="auto"/>
              </w:rPr>
            </w:pPr>
            <w:r>
              <w:rPr>
                <w:rFonts w:ascii="Arial" w:cs="Arial" w:eastAsia="Arial" w:hAnsi="Arial"/>
                <w:sz w:val="16"/>
                <w:szCs w:val="16"/>
                <w:b w:val="1"/>
                <w:bCs w:val="1"/>
                <w:i w:val="1"/>
                <w:iCs w:val="1"/>
                <w:color w:val="auto"/>
              </w:rPr>
              <w:t>Extension Experience</w:t>
            </w:r>
          </w:p>
        </w:tc>
        <w:tc>
          <w:tcPr>
            <w:tcW w:w="1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3"/>
        </w:trPr>
        <w:tc>
          <w:tcPr>
            <w:tcW w:w="2700" w:type="dxa"/>
            <w:vAlign w:val="bottom"/>
          </w:tcPr>
          <w:p>
            <w:pPr>
              <w:spacing w:after="0"/>
              <w:rPr>
                <w:sz w:val="20"/>
                <w:szCs w:val="20"/>
                <w:color w:val="auto"/>
              </w:rPr>
            </w:pPr>
            <w:r>
              <w:rPr>
                <w:rFonts w:ascii="Arial" w:cs="Arial" w:eastAsia="Arial" w:hAnsi="Arial"/>
                <w:sz w:val="16"/>
                <w:szCs w:val="16"/>
                <w:color w:val="auto"/>
                <w:w w:val="97"/>
              </w:rPr>
              <w:t>Contracts with one extension, accruing</w:t>
            </w:r>
          </w:p>
        </w:tc>
        <w:tc>
          <w:tcPr>
            <w:tcW w:w="1240" w:type="dxa"/>
            <w:vAlign w:val="bottom"/>
          </w:tcPr>
          <w:p>
            <w:pPr>
              <w:jc w:val="right"/>
              <w:spacing w:after="0"/>
              <w:rPr>
                <w:sz w:val="20"/>
                <w:szCs w:val="20"/>
                <w:color w:val="auto"/>
              </w:rPr>
            </w:pPr>
            <w:r>
              <w:rPr>
                <w:rFonts w:ascii="Arial" w:cs="Arial" w:eastAsia="Arial" w:hAnsi="Arial"/>
                <w:sz w:val="16"/>
                <w:szCs w:val="16"/>
                <w:color w:val="auto"/>
              </w:rPr>
              <w:t>31,878</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575,139</w:t>
            </w: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23,231</w:t>
            </w:r>
          </w:p>
        </w:tc>
        <w:tc>
          <w:tcPr>
            <w:tcW w:w="3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341,794</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27,584</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464,323</w:t>
            </w:r>
          </w:p>
        </w:tc>
        <w:tc>
          <w:tcPr>
            <w:tcW w:w="100" w:type="dxa"/>
            <w:vAlign w:val="bottom"/>
          </w:tcPr>
          <w:p>
            <w:pPr>
              <w:spacing w:after="0"/>
              <w:rPr>
                <w:sz w:val="17"/>
                <w:szCs w:val="17"/>
                <w:color w:val="auto"/>
              </w:rPr>
            </w:pPr>
          </w:p>
        </w:tc>
      </w:tr>
      <w:tr>
        <w:trPr>
          <w:trHeight w:val="193"/>
        </w:trPr>
        <w:tc>
          <w:tcPr>
            <w:tcW w:w="2700" w:type="dxa"/>
            <w:vAlign w:val="bottom"/>
            <w:shd w:val="clear" w:color="auto" w:fill="EEEEEE"/>
          </w:tcPr>
          <w:p>
            <w:pPr>
              <w:spacing w:after="0"/>
              <w:rPr>
                <w:sz w:val="20"/>
                <w:szCs w:val="20"/>
                <w:color w:val="auto"/>
              </w:rPr>
            </w:pPr>
            <w:r>
              <w:rPr>
                <w:rFonts w:ascii="Arial" w:cs="Arial" w:eastAsia="Arial" w:hAnsi="Arial"/>
                <w:sz w:val="16"/>
                <w:szCs w:val="16"/>
                <w:color w:val="auto"/>
                <w:w w:val="97"/>
              </w:rPr>
              <w:t>Contracts with two or more extensions,</w:t>
            </w:r>
          </w:p>
        </w:tc>
        <w:tc>
          <w:tcPr>
            <w:tcW w:w="12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2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0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2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0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r>
      <w:tr>
        <w:trPr>
          <w:trHeight w:val="209"/>
        </w:trPr>
        <w:tc>
          <w:tcPr>
            <w:tcW w:w="2700" w:type="dxa"/>
            <w:vAlign w:val="bottom"/>
            <w:shd w:val="clear" w:color="auto" w:fill="EEEEEE"/>
          </w:tcPr>
          <w:p>
            <w:pPr>
              <w:ind w:left="180"/>
              <w:spacing w:after="0"/>
              <w:rPr>
                <w:sz w:val="20"/>
                <w:szCs w:val="20"/>
                <w:color w:val="auto"/>
              </w:rPr>
            </w:pPr>
            <w:r>
              <w:rPr>
                <w:rFonts w:ascii="Arial" w:cs="Arial" w:eastAsia="Arial" w:hAnsi="Arial"/>
                <w:sz w:val="16"/>
                <w:szCs w:val="16"/>
                <w:color w:val="auto"/>
              </w:rPr>
              <w:t>accruing</w:t>
            </w:r>
          </w:p>
        </w:tc>
        <w:tc>
          <w:tcPr>
            <w:tcW w:w="12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39,569</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464,605</w:t>
            </w:r>
          </w:p>
        </w:tc>
        <w:tc>
          <w:tcPr>
            <w:tcW w:w="1340" w:type="dxa"/>
            <w:vAlign w:val="bottom"/>
            <w:gridSpan w:val="2"/>
            <w:shd w:val="clear" w:color="auto" w:fill="EEEEEE"/>
          </w:tcPr>
          <w:p>
            <w:pPr>
              <w:jc w:val="right"/>
              <w:ind w:right="39"/>
              <w:spacing w:after="0"/>
              <w:rPr>
                <w:sz w:val="20"/>
                <w:szCs w:val="20"/>
                <w:color w:val="auto"/>
              </w:rPr>
            </w:pPr>
            <w:r>
              <w:rPr>
                <w:rFonts w:ascii="Arial" w:cs="Arial" w:eastAsia="Arial" w:hAnsi="Arial"/>
                <w:sz w:val="16"/>
                <w:szCs w:val="16"/>
                <w:color w:val="auto"/>
              </w:rPr>
              <w:t>41,636</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445,839</w:t>
            </w: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38,714</w:t>
            </w:r>
          </w:p>
        </w:tc>
        <w:tc>
          <w:tcPr>
            <w:tcW w:w="22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417,682</w:t>
            </w:r>
          </w:p>
        </w:tc>
        <w:tc>
          <w:tcPr>
            <w:tcW w:w="100" w:type="dxa"/>
            <w:vAlign w:val="bottom"/>
            <w:shd w:val="clear" w:color="auto" w:fill="EEEEEE"/>
          </w:tcPr>
          <w:p>
            <w:pPr>
              <w:spacing w:after="0"/>
              <w:rPr>
                <w:sz w:val="18"/>
                <w:szCs w:val="18"/>
                <w:color w:val="auto"/>
              </w:rPr>
            </w:pPr>
          </w:p>
        </w:tc>
      </w:tr>
      <w:tr>
        <w:trPr>
          <w:trHeight w:val="20"/>
        </w:trPr>
        <w:tc>
          <w:tcPr>
            <w:tcW w:w="2700" w:type="dxa"/>
            <w:vAlign w:val="bottom"/>
            <w:shd w:val="clear" w:color="auto" w:fill="EEEEEE"/>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r>
      <w:tr>
        <w:trPr>
          <w:trHeight w:val="199"/>
        </w:trPr>
        <w:tc>
          <w:tcPr>
            <w:tcW w:w="27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71,447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1,039,744</w:t>
            </w: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64,867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787,633</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66,298</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882,005</w:t>
            </w:r>
          </w:p>
        </w:tc>
        <w:tc>
          <w:tcPr>
            <w:tcW w:w="100" w:type="dxa"/>
            <w:vAlign w:val="bottom"/>
          </w:tcPr>
          <w:p>
            <w:pPr>
              <w:spacing w:after="0"/>
              <w:rPr>
                <w:sz w:val="17"/>
                <w:szCs w:val="17"/>
                <w:color w:val="auto"/>
              </w:rPr>
            </w:pPr>
          </w:p>
        </w:tc>
      </w:tr>
      <w:tr>
        <w:trPr>
          <w:trHeight w:val="203"/>
        </w:trPr>
        <w:tc>
          <w:tcPr>
            <w:tcW w:w="27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193"/>
        </w:trPr>
        <w:tc>
          <w:tcPr>
            <w:tcW w:w="2700" w:type="dxa"/>
            <w:vAlign w:val="bottom"/>
          </w:tcPr>
          <w:p>
            <w:pPr>
              <w:spacing w:after="0"/>
              <w:rPr>
                <w:sz w:val="20"/>
                <w:szCs w:val="20"/>
                <w:color w:val="auto"/>
              </w:rPr>
            </w:pPr>
            <w:r>
              <w:rPr>
                <w:rFonts w:ascii="Arial" w:cs="Arial" w:eastAsia="Arial" w:hAnsi="Arial"/>
                <w:sz w:val="16"/>
                <w:szCs w:val="16"/>
                <w:color w:val="auto"/>
              </w:rPr>
              <w:t>Contracts with one extension, non-</w:t>
            </w: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700" w:type="dxa"/>
            <w:vAlign w:val="bottom"/>
          </w:tcPr>
          <w:p>
            <w:pPr>
              <w:ind w:left="180"/>
              <w:spacing w:after="0"/>
              <w:rPr>
                <w:sz w:val="20"/>
                <w:szCs w:val="20"/>
                <w:color w:val="auto"/>
              </w:rPr>
            </w:pPr>
            <w:r>
              <w:rPr>
                <w:rFonts w:ascii="Arial" w:cs="Arial" w:eastAsia="Arial" w:hAnsi="Arial"/>
                <w:sz w:val="16"/>
                <w:szCs w:val="16"/>
                <w:color w:val="auto"/>
              </w:rPr>
              <w:t>accrual (4)</w:t>
            </w:r>
          </w:p>
        </w:tc>
        <w:tc>
          <w:tcPr>
            <w:tcW w:w="1240" w:type="dxa"/>
            <w:vAlign w:val="bottom"/>
          </w:tcPr>
          <w:p>
            <w:pPr>
              <w:jc w:val="right"/>
              <w:spacing w:after="0"/>
              <w:rPr>
                <w:sz w:val="20"/>
                <w:szCs w:val="20"/>
                <w:color w:val="auto"/>
              </w:rPr>
            </w:pPr>
            <w:r>
              <w:rPr>
                <w:rFonts w:ascii="Arial" w:cs="Arial" w:eastAsia="Arial" w:hAnsi="Arial"/>
                <w:sz w:val="16"/>
                <w:szCs w:val="16"/>
                <w:color w:val="auto"/>
              </w:rPr>
              <w:t>1,338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22,497</w:t>
            </w: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643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8,946</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981</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14,792</w:t>
            </w:r>
          </w:p>
        </w:tc>
        <w:tc>
          <w:tcPr>
            <w:tcW w:w="100" w:type="dxa"/>
            <w:vAlign w:val="bottom"/>
          </w:tcPr>
          <w:p>
            <w:pPr>
              <w:spacing w:after="0"/>
              <w:rPr>
                <w:sz w:val="18"/>
                <w:szCs w:val="18"/>
                <w:color w:val="auto"/>
              </w:rPr>
            </w:pPr>
          </w:p>
        </w:tc>
      </w:tr>
      <w:tr>
        <w:trPr>
          <w:trHeight w:val="196"/>
        </w:trPr>
        <w:tc>
          <w:tcPr>
            <w:tcW w:w="2700" w:type="dxa"/>
            <w:vAlign w:val="bottom"/>
            <w:shd w:val="clear" w:color="auto" w:fill="EEEEEE"/>
          </w:tcPr>
          <w:p>
            <w:pPr>
              <w:spacing w:after="0"/>
              <w:rPr>
                <w:sz w:val="20"/>
                <w:szCs w:val="20"/>
                <w:color w:val="auto"/>
              </w:rPr>
            </w:pPr>
            <w:r>
              <w:rPr>
                <w:rFonts w:ascii="Arial" w:cs="Arial" w:eastAsia="Arial" w:hAnsi="Arial"/>
                <w:sz w:val="16"/>
                <w:szCs w:val="16"/>
                <w:color w:val="auto"/>
                <w:w w:val="97"/>
              </w:rPr>
              <w:t>Contracts with two or more extensions,</w:t>
            </w:r>
          </w:p>
        </w:tc>
        <w:tc>
          <w:tcPr>
            <w:tcW w:w="1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23"/>
        </w:trPr>
        <w:tc>
          <w:tcPr>
            <w:tcW w:w="2700" w:type="dxa"/>
            <w:vAlign w:val="bottom"/>
            <w:shd w:val="clear" w:color="auto" w:fill="EEEEEE"/>
          </w:tcPr>
          <w:p>
            <w:pPr>
              <w:ind w:left="180"/>
              <w:spacing w:after="0"/>
              <w:rPr>
                <w:sz w:val="20"/>
                <w:szCs w:val="20"/>
                <w:color w:val="auto"/>
              </w:rPr>
            </w:pPr>
            <w:r>
              <w:rPr>
                <w:rFonts w:ascii="Arial" w:cs="Arial" w:eastAsia="Arial" w:hAnsi="Arial"/>
                <w:sz w:val="16"/>
                <w:szCs w:val="16"/>
                <w:color w:val="auto"/>
              </w:rPr>
              <w:t>non-accrual (4)</w:t>
            </w:r>
          </w:p>
        </w:tc>
        <w:tc>
          <w:tcPr>
            <w:tcW w:w="12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1,236</w:t>
            </w: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13,821</w:t>
            </w:r>
          </w:p>
        </w:tc>
        <w:tc>
          <w:tcPr>
            <w:tcW w:w="1340" w:type="dxa"/>
            <w:vAlign w:val="bottom"/>
            <w:gridSpan w:val="2"/>
            <w:shd w:val="clear" w:color="auto" w:fill="EEEEEE"/>
          </w:tcPr>
          <w:p>
            <w:pPr>
              <w:jc w:val="right"/>
              <w:ind w:right="39"/>
              <w:spacing w:after="0"/>
              <w:rPr>
                <w:sz w:val="20"/>
                <w:szCs w:val="20"/>
                <w:color w:val="auto"/>
              </w:rPr>
            </w:pPr>
            <w:r>
              <w:rPr>
                <w:rFonts w:ascii="Arial" w:cs="Arial" w:eastAsia="Arial" w:hAnsi="Arial"/>
                <w:sz w:val="16"/>
                <w:szCs w:val="16"/>
                <w:color w:val="auto"/>
              </w:rPr>
              <w:t>1,355</w:t>
            </w:r>
          </w:p>
        </w:tc>
        <w:tc>
          <w:tcPr>
            <w:tcW w:w="1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15,009</w:t>
            </w: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1,485</w:t>
            </w:r>
          </w:p>
        </w:tc>
        <w:tc>
          <w:tcPr>
            <w:tcW w:w="220" w:type="dxa"/>
            <w:vAlign w:val="bottom"/>
            <w:shd w:val="clear" w:color="auto" w:fill="EEEEEE"/>
          </w:tcPr>
          <w:p>
            <w:pPr>
              <w:spacing w:after="0"/>
              <w:rPr>
                <w:sz w:val="19"/>
                <w:szCs w:val="19"/>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15,395</w:t>
            </w:r>
          </w:p>
        </w:tc>
        <w:tc>
          <w:tcPr>
            <w:tcW w:w="100" w:type="dxa"/>
            <w:vAlign w:val="bottom"/>
            <w:shd w:val="clear" w:color="auto" w:fill="EEEEEE"/>
          </w:tcPr>
          <w:p>
            <w:pPr>
              <w:spacing w:after="0"/>
              <w:rPr>
                <w:sz w:val="19"/>
                <w:szCs w:val="19"/>
                <w:color w:val="auto"/>
              </w:rPr>
            </w:pPr>
          </w:p>
        </w:tc>
      </w:tr>
      <w:tr>
        <w:trPr>
          <w:trHeight w:val="20"/>
        </w:trPr>
        <w:tc>
          <w:tcPr>
            <w:tcW w:w="2700" w:type="dxa"/>
            <w:vAlign w:val="bottom"/>
            <w:shd w:val="clear" w:color="auto" w:fill="EEEEEE"/>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r>
      <w:tr>
        <w:trPr>
          <w:trHeight w:val="210"/>
        </w:trPr>
        <w:tc>
          <w:tcPr>
            <w:tcW w:w="27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36,318</w:t>
            </w: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1,998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23,955</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2,466</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30,187</w:t>
            </w:r>
          </w:p>
        </w:tc>
        <w:tc>
          <w:tcPr>
            <w:tcW w:w="100" w:type="dxa"/>
            <w:vAlign w:val="bottom"/>
          </w:tcPr>
          <w:p>
            <w:pPr>
              <w:spacing w:after="0"/>
              <w:rPr>
                <w:sz w:val="18"/>
                <w:szCs w:val="18"/>
                <w:color w:val="auto"/>
              </w:rPr>
            </w:pPr>
          </w:p>
        </w:tc>
      </w:tr>
      <w:tr>
        <w:trPr>
          <w:trHeight w:val="199"/>
        </w:trPr>
        <w:tc>
          <w:tcPr>
            <w:tcW w:w="2700" w:type="dxa"/>
            <w:vAlign w:val="bottom"/>
            <w:tcBorders>
              <w:top w:val="single" w:sz="8" w:color="EEEEEE"/>
            </w:tcBorders>
            <w:shd w:val="clear" w:color="auto" w:fill="EEEEEE"/>
          </w:tcPr>
          <w:p>
            <w:pPr>
              <w:spacing w:after="0"/>
              <w:rPr>
                <w:sz w:val="17"/>
                <w:szCs w:val="17"/>
                <w:color w:val="auto"/>
              </w:rPr>
            </w:pPr>
          </w:p>
        </w:tc>
        <w:tc>
          <w:tcPr>
            <w:tcW w:w="124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40" w:type="dxa"/>
            <w:vAlign w:val="bottom"/>
            <w:tcBorders>
              <w:top w:val="single" w:sz="8" w:color="auto"/>
            </w:tcBorders>
            <w:shd w:val="clear" w:color="auto" w:fill="EEEEEE"/>
          </w:tcPr>
          <w:p>
            <w:pPr>
              <w:spacing w:after="0"/>
              <w:rPr>
                <w:sz w:val="17"/>
                <w:szCs w:val="17"/>
                <w:color w:val="auto"/>
              </w:rPr>
            </w:pPr>
          </w:p>
        </w:tc>
        <w:tc>
          <w:tcPr>
            <w:tcW w:w="240" w:type="dxa"/>
            <w:vAlign w:val="bottom"/>
            <w:tcBorders>
              <w:top w:val="single" w:sz="8" w:color="EEEEEE"/>
            </w:tcBorders>
            <w:shd w:val="clear" w:color="auto" w:fill="EEEEEE"/>
          </w:tcPr>
          <w:p>
            <w:pPr>
              <w:spacing w:after="0"/>
              <w:rPr>
                <w:sz w:val="17"/>
                <w:szCs w:val="17"/>
                <w:color w:val="auto"/>
              </w:rPr>
            </w:pPr>
          </w:p>
        </w:tc>
        <w:tc>
          <w:tcPr>
            <w:tcW w:w="1220" w:type="dxa"/>
            <w:vAlign w:val="bottom"/>
            <w:tcBorders>
              <w:top w:val="single" w:sz="8" w:color="auto"/>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200" w:type="dxa"/>
            <w:vAlign w:val="bottom"/>
            <w:tcBorders>
              <w:top w:val="single" w:sz="8" w:color="auto"/>
            </w:tcBorders>
            <w:shd w:val="clear" w:color="auto" w:fill="EEEEEE"/>
          </w:tcPr>
          <w:p>
            <w:pPr>
              <w:spacing w:after="0"/>
              <w:rPr>
                <w:sz w:val="17"/>
                <w:szCs w:val="17"/>
                <w:color w:val="auto"/>
              </w:rPr>
            </w:pPr>
          </w:p>
        </w:tc>
        <w:tc>
          <w:tcPr>
            <w:tcW w:w="1020" w:type="dxa"/>
            <w:vAlign w:val="bottom"/>
            <w:tcBorders>
              <w:top w:val="single" w:sz="8" w:color="auto"/>
            </w:tcBorders>
            <w:shd w:val="clear" w:color="auto" w:fill="EEEEEE"/>
          </w:tcPr>
          <w:p>
            <w:pPr>
              <w:spacing w:after="0"/>
              <w:rPr>
                <w:sz w:val="17"/>
                <w:szCs w:val="17"/>
                <w:color w:val="auto"/>
              </w:rPr>
            </w:pPr>
          </w:p>
        </w:tc>
        <w:tc>
          <w:tcPr>
            <w:tcW w:w="240" w:type="dxa"/>
            <w:vAlign w:val="bottom"/>
            <w:tcBorders>
              <w:top w:val="single" w:sz="8" w:color="EEEEEE"/>
            </w:tcBorders>
            <w:shd w:val="clear" w:color="auto" w:fill="EEEEEE"/>
          </w:tcPr>
          <w:p>
            <w:pPr>
              <w:spacing w:after="0"/>
              <w:rPr>
                <w:sz w:val="17"/>
                <w:szCs w:val="17"/>
                <w:color w:val="auto"/>
              </w:rPr>
            </w:pPr>
          </w:p>
        </w:tc>
        <w:tc>
          <w:tcPr>
            <w:tcW w:w="122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tcBorders>
            <w:shd w:val="clear" w:color="auto" w:fill="EEEEEE"/>
          </w:tcPr>
          <w:p>
            <w:pPr>
              <w:spacing w:after="0"/>
              <w:rPr>
                <w:sz w:val="17"/>
                <w:szCs w:val="17"/>
                <w:color w:val="auto"/>
              </w:rPr>
            </w:pPr>
          </w:p>
        </w:tc>
        <w:tc>
          <w:tcPr>
            <w:tcW w:w="104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r>
        <w:trPr>
          <w:trHeight w:val="213"/>
        </w:trPr>
        <w:tc>
          <w:tcPr>
            <w:tcW w:w="2700" w:type="dxa"/>
            <w:vAlign w:val="bottom"/>
          </w:tcPr>
          <w:p>
            <w:pPr>
              <w:spacing w:after="0"/>
              <w:rPr>
                <w:sz w:val="20"/>
                <w:szCs w:val="20"/>
                <w:color w:val="auto"/>
              </w:rPr>
            </w:pPr>
            <w:r>
              <w:rPr>
                <w:rFonts w:ascii="Arial" w:cs="Arial" w:eastAsia="Arial" w:hAnsi="Arial"/>
                <w:sz w:val="16"/>
                <w:szCs w:val="16"/>
                <w:color w:val="auto"/>
              </w:rPr>
              <w:t>Total contracts with extensions</w:t>
            </w:r>
          </w:p>
        </w:tc>
        <w:tc>
          <w:tcPr>
            <w:tcW w:w="1240" w:type="dxa"/>
            <w:vAlign w:val="bottom"/>
          </w:tcPr>
          <w:p>
            <w:pPr>
              <w:jc w:val="right"/>
              <w:spacing w:after="0"/>
              <w:rPr>
                <w:sz w:val="20"/>
                <w:szCs w:val="20"/>
                <w:color w:val="auto"/>
              </w:rPr>
            </w:pPr>
            <w:r>
              <w:rPr>
                <w:rFonts w:ascii="Arial" w:cs="Arial" w:eastAsia="Arial" w:hAnsi="Arial"/>
                <w:sz w:val="16"/>
                <w:szCs w:val="16"/>
                <w:color w:val="auto"/>
              </w:rPr>
              <w:t>74,021</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1,076,062</w:t>
            </w:r>
          </w:p>
        </w:tc>
        <w:tc>
          <w:tcPr>
            <w:tcW w:w="1340" w:type="dxa"/>
            <w:vAlign w:val="bottom"/>
            <w:gridSpan w:val="2"/>
          </w:tcPr>
          <w:p>
            <w:pPr>
              <w:jc w:val="right"/>
              <w:ind w:right="39"/>
              <w:spacing w:after="0"/>
              <w:rPr>
                <w:sz w:val="20"/>
                <w:szCs w:val="20"/>
                <w:color w:val="auto"/>
              </w:rPr>
            </w:pPr>
            <w:r>
              <w:rPr>
                <w:rFonts w:ascii="Arial" w:cs="Arial" w:eastAsia="Arial" w:hAnsi="Arial"/>
                <w:sz w:val="16"/>
                <w:szCs w:val="16"/>
                <w:color w:val="auto"/>
              </w:rPr>
              <w:t>66,865</w:t>
            </w:r>
          </w:p>
        </w:tc>
        <w:tc>
          <w:tcPr>
            <w:tcW w:w="3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811,588</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68,764</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912,192</w:t>
            </w:r>
          </w:p>
        </w:tc>
        <w:tc>
          <w:tcPr>
            <w:tcW w:w="100" w:type="dxa"/>
            <w:vAlign w:val="bottom"/>
          </w:tcPr>
          <w:p>
            <w:pPr>
              <w:spacing w:after="0"/>
              <w:rPr>
                <w:sz w:val="18"/>
                <w:szCs w:val="18"/>
                <w:color w:val="auto"/>
              </w:rPr>
            </w:pPr>
          </w:p>
        </w:tc>
      </w:tr>
      <w:tr>
        <w:trPr>
          <w:trHeight w:val="20"/>
        </w:trPr>
        <w:tc>
          <w:tcPr>
            <w:tcW w:w="27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0"/>
          <w:szCs w:val="20"/>
          <w:color w:val="auto"/>
        </w:rPr>
      </w:pPr>
    </w:p>
    <w:p>
      <w:pPr>
        <w:jc w:val="both"/>
        <w:ind w:firstLine="8"/>
        <w:spacing w:after="0" w:line="250" w:lineRule="auto"/>
        <w:tabs>
          <w:tab w:leader="none" w:pos="257"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amount remaining to be repaid on each automobile contract.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spacing w:after="0" w:line="1" w:lineRule="exact"/>
        <w:rPr>
          <w:rFonts w:ascii="Arial" w:cs="Arial" w:eastAsia="Arial" w:hAnsi="Arial"/>
          <w:sz w:val="18"/>
          <w:szCs w:val="18"/>
          <w:i w:val="1"/>
          <w:iCs w:val="1"/>
          <w:color w:val="auto"/>
        </w:rPr>
      </w:pPr>
    </w:p>
    <w:p>
      <w:pPr>
        <w:jc w:val="both"/>
        <w:ind w:firstLine="8"/>
        <w:spacing w:after="0" w:line="250" w:lineRule="auto"/>
        <w:tabs>
          <w:tab w:leader="none" w:pos="26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financed vehicles that have been repossessed but not yet liquidated.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and accounts past due more than 90 days are on non-accrual.</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Net Charge-Off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gridSpan w:val="7"/>
          </w:tcPr>
          <w:p>
            <w:pPr>
              <w:jc w:val="center"/>
              <w:ind w:left="950"/>
              <w:spacing w:after="0"/>
              <w:rPr>
                <w:sz w:val="20"/>
                <w:szCs w:val="20"/>
                <w:color w:val="auto"/>
              </w:rPr>
            </w:pPr>
            <w:r>
              <w:rPr>
                <w:rFonts w:ascii="Arial" w:cs="Arial" w:eastAsia="Arial" w:hAnsi="Arial"/>
                <w:sz w:val="18"/>
                <w:szCs w:val="18"/>
                <w:b w:val="1"/>
                <w:bCs w:val="1"/>
                <w:color w:val="auto"/>
                <w:w w:val="89"/>
              </w:rPr>
              <w:t>Finance Receivables Portfolio</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5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76"/>
              </w:rPr>
              <w:t>(Dollars in thousands)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2,903,988</w:t>
            </w:r>
          </w:p>
        </w:tc>
        <w:tc>
          <w:tcPr>
            <w:tcW w:w="42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2,469,955</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2,539,110</w:t>
            </w:r>
          </w:p>
        </w:tc>
        <w:tc>
          <w:tcPr>
            <w:tcW w:w="100" w:type="dxa"/>
            <w:vAlign w:val="bottom"/>
            <w:shd w:val="clear" w:color="auto" w:fill="EEEEEE"/>
          </w:tcPr>
          <w:p>
            <w:pPr>
              <w:spacing w:after="0"/>
              <w:rPr>
                <w:sz w:val="18"/>
                <w:szCs w:val="18"/>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w w:val="96"/>
              </w:rPr>
              <w:t>Annualized net charge-offs as a percentage of average servicing portfolio (2)</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_________________________</w:t>
      </w:r>
    </w:p>
    <w:p>
      <w:pPr>
        <w:spacing w:after="0" w:line="23"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w:t>
      </w:r>
    </w:p>
    <w:p>
      <w:pPr>
        <w:spacing w:after="0" w:line="9" w:lineRule="exact"/>
        <w:rPr>
          <w:rFonts w:ascii="Arial" w:cs="Arial" w:eastAsia="Arial" w:hAnsi="Arial"/>
          <w:sz w:val="18"/>
          <w:szCs w:val="18"/>
          <w:i w:val="1"/>
          <w:iCs w:val="1"/>
          <w:color w:val="auto"/>
        </w:rPr>
      </w:pPr>
    </w:p>
    <w:p>
      <w:pPr>
        <w:jc w:val="both"/>
        <w:ind w:firstLine="8"/>
        <w:spacing w:after="0" w:line="273" w:lineRule="auto"/>
        <w:tabs>
          <w:tab w:leader="none" w:pos="258"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June 30, 2023 and June 30, 2022 percentages represent three months ended June 30, 2023 and June 30, 2022 annualized. December 31, 2022 represents 12 months ended December 31, 2022.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certain circumstances we will grant obligors one-month payment extensions to assist them with temporary cash flow problems. In general, we are bound by our securitization agreements to refrain from agreeing to more than two such extensions in any 12-month period and to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w:t>
      </w:r>
    </w:p>
    <w:p>
      <w:pPr>
        <w:spacing w:after="0" w:line="188"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so that the obligor might prioritize us over other creditors on future payments. Our servicing staff are trained to identify when a past due obligor is facing a temporary problem that may be resolved with an extension. In some cases, the extension will be granted in conjunction with our receiving all or a portion of a past due payment from the obligor, thereby indicating an additional monetary and psychological commitment to the contract on the obligor’s part.</w:t>
      </w:r>
    </w:p>
    <w:p>
      <w:pPr>
        <w:spacing w:after="0" w:line="177"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w:t>
      </w:r>
    </w:p>
    <w:p>
      <w:pPr>
        <w:jc w:val="both"/>
        <w:ind w:firstLine="8"/>
        <w:spacing w:after="0" w:line="270" w:lineRule="auto"/>
        <w:tabs>
          <w:tab w:leader="none" w:pos="256"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(4) the obligor’s willingness to communicate and cooperate on resolving the delinquency; and (5) a numeric score from our internal risk assessment system that indicating the likelihood that the extension will prove beneficial. If the collector believes the obligor is a good candidate for an extension, an approval is obtained from a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178"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We believe that a prudent extension program is an integral component to mitigating losses in our portfolio of sub-prime automobile receivables. The table below summarizes the status, as of June 30, 2023, for accounts that received extensions from 2010 through 2022:</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6"/>
              </w:rPr>
              <w:t>Avg</w:t>
            </w:r>
          </w:p>
        </w:tc>
      </w:tr>
      <w:tr>
        <w:trPr>
          <w:trHeight w:val="216"/>
        </w:trPr>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 Charged Off</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Charged Off</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 Charged Off</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Months</w:t>
            </w:r>
          </w:p>
        </w:tc>
      </w:tr>
      <w:tr>
        <w:trPr>
          <w:trHeight w:val="216"/>
        </w:trPr>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Active or Paid</w:t>
            </w:r>
          </w:p>
        </w:tc>
        <w:tc>
          <w:tcPr>
            <w:tcW w:w="2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 Active or</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Charged Off &gt;</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&gt; 6 Months</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&lt;= 6 Months</w:t>
            </w: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&lt;= 6 Months</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to Charge</w:t>
            </w:r>
          </w:p>
        </w:tc>
      </w:tr>
      <w:tr>
        <w:trPr>
          <w:trHeight w:val="216"/>
        </w:trPr>
        <w:tc>
          <w:tcPr>
            <w:tcW w:w="1200" w:type="dxa"/>
            <w:vAlign w:val="bottom"/>
          </w:tcPr>
          <w:p>
            <w:pPr>
              <w:jc w:val="center"/>
              <w:spacing w:after="0"/>
              <w:rPr>
                <w:sz w:val="20"/>
                <w:szCs w:val="20"/>
                <w:color w:val="auto"/>
              </w:rPr>
            </w:pPr>
            <w:r>
              <w:rPr>
                <w:rFonts w:ascii="Arial" w:cs="Arial" w:eastAsia="Arial" w:hAnsi="Arial"/>
                <w:sz w:val="18"/>
                <w:szCs w:val="18"/>
                <w:color w:val="auto"/>
                <w:w w:val="91"/>
              </w:rPr>
              <w:t>Period of</w:t>
            </w: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 Extensions</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Off at June 30,</w:t>
            </w:r>
          </w:p>
        </w:tc>
        <w:tc>
          <w:tcPr>
            <w:tcW w:w="2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Paid Off at</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6 Months After</w:t>
            </w:r>
          </w:p>
        </w:tc>
        <w:tc>
          <w:tcPr>
            <w:tcW w:w="2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After</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After</w:t>
            </w: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After</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Off Post</w:t>
            </w:r>
          </w:p>
        </w:tc>
      </w:tr>
      <w:tr>
        <w:trPr>
          <w:trHeight w:val="230"/>
        </w:trPr>
        <w:tc>
          <w:tcPr>
            <w:tcW w:w="1200" w:type="dxa"/>
            <w:vAlign w:val="bottom"/>
          </w:tcPr>
          <w:p>
            <w:pPr>
              <w:jc w:val="center"/>
              <w:spacing w:after="0"/>
              <w:rPr>
                <w:sz w:val="20"/>
                <w:szCs w:val="20"/>
                <w:color w:val="auto"/>
              </w:rPr>
            </w:pPr>
            <w:r>
              <w:rPr>
                <w:rFonts w:ascii="Arial" w:cs="Arial" w:eastAsia="Arial" w:hAnsi="Arial"/>
                <w:sz w:val="18"/>
                <w:szCs w:val="18"/>
                <w:color w:val="auto"/>
                <w:w w:val="91"/>
              </w:rPr>
              <w:t>Extension</w:t>
            </w:r>
          </w:p>
        </w:tc>
        <w:tc>
          <w:tcPr>
            <w:tcW w:w="12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Granted</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200" w:type="dxa"/>
            <w:vAlign w:val="bottom"/>
          </w:tcPr>
          <w:p>
            <w:pPr>
              <w:spacing w:after="0"/>
              <w:rPr>
                <w:sz w:val="20"/>
                <w:szCs w:val="20"/>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June 30, 2023</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Extension</w:t>
            </w:r>
          </w:p>
        </w:tc>
        <w:tc>
          <w:tcPr>
            <w:tcW w:w="20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Extension</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Extension</w:t>
            </w:r>
          </w:p>
        </w:tc>
        <w:tc>
          <w:tcPr>
            <w:tcW w:w="2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Extension</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Extension</w:t>
            </w:r>
          </w:p>
        </w:tc>
      </w:tr>
      <w:tr>
        <w:trPr>
          <w:trHeight w:val="209"/>
        </w:trPr>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216"/>
        </w:trPr>
        <w:tc>
          <w:tcPr>
            <w:tcW w:w="1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2010</w:t>
            </w:r>
          </w:p>
        </w:tc>
        <w:tc>
          <w:tcPr>
            <w:tcW w:w="14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26,167</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12,159</w:t>
            </w:r>
          </w:p>
        </w:tc>
        <w:tc>
          <w:tcPr>
            <w:tcW w:w="150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46.5%</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12,006</w:t>
            </w:r>
          </w:p>
        </w:tc>
        <w:tc>
          <w:tcPr>
            <w:tcW w:w="152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45.9%</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1,999</w:t>
            </w:r>
          </w:p>
        </w:tc>
        <w:tc>
          <w:tcPr>
            <w:tcW w:w="15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7.6%</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20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18,786</w:t>
            </w:r>
          </w:p>
        </w:tc>
        <w:tc>
          <w:tcPr>
            <w:tcW w:w="1100" w:type="dxa"/>
            <w:vAlign w:val="bottom"/>
          </w:tcPr>
          <w:p>
            <w:pPr>
              <w:jc w:val="right"/>
              <w:spacing w:after="0"/>
              <w:rPr>
                <w:sz w:val="20"/>
                <w:szCs w:val="20"/>
                <w:color w:val="auto"/>
              </w:rPr>
            </w:pPr>
            <w:r>
              <w:rPr>
                <w:rFonts w:ascii="Arial" w:cs="Arial" w:eastAsia="Arial" w:hAnsi="Arial"/>
                <w:sz w:val="18"/>
                <w:szCs w:val="18"/>
                <w:color w:val="auto"/>
              </w:rPr>
              <w:t>10,972</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58.4%</w:t>
            </w:r>
          </w:p>
        </w:tc>
        <w:tc>
          <w:tcPr>
            <w:tcW w:w="1120" w:type="dxa"/>
            <w:vAlign w:val="bottom"/>
          </w:tcPr>
          <w:p>
            <w:pPr>
              <w:jc w:val="right"/>
              <w:spacing w:after="0"/>
              <w:rPr>
                <w:sz w:val="20"/>
                <w:szCs w:val="20"/>
                <w:color w:val="auto"/>
              </w:rPr>
            </w:pPr>
            <w:r>
              <w:rPr>
                <w:rFonts w:ascii="Arial" w:cs="Arial" w:eastAsia="Arial" w:hAnsi="Arial"/>
                <w:sz w:val="18"/>
                <w:szCs w:val="18"/>
                <w:color w:val="auto"/>
              </w:rPr>
              <w:t>6,882</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36.6%</w:t>
            </w:r>
          </w:p>
        </w:tc>
        <w:tc>
          <w:tcPr>
            <w:tcW w:w="1100" w:type="dxa"/>
            <w:vAlign w:val="bottom"/>
          </w:tcPr>
          <w:p>
            <w:pPr>
              <w:jc w:val="right"/>
              <w:spacing w:after="0"/>
              <w:rPr>
                <w:sz w:val="20"/>
                <w:szCs w:val="20"/>
                <w:color w:val="auto"/>
              </w:rPr>
            </w:pPr>
            <w:r>
              <w:rPr>
                <w:rFonts w:ascii="Arial" w:cs="Arial" w:eastAsia="Arial" w:hAnsi="Arial"/>
                <w:sz w:val="18"/>
                <w:szCs w:val="18"/>
                <w:color w:val="auto"/>
              </w:rPr>
              <w:t>932</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5.0%</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2012</w:t>
            </w:r>
          </w:p>
        </w:tc>
        <w:tc>
          <w:tcPr>
            <w:tcW w:w="14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18,783</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11,320</w:t>
            </w:r>
          </w:p>
        </w:tc>
        <w:tc>
          <w:tcPr>
            <w:tcW w:w="150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60.3%</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6,667</w:t>
            </w:r>
          </w:p>
        </w:tc>
        <w:tc>
          <w:tcPr>
            <w:tcW w:w="152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35.5%</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796</w:t>
            </w:r>
          </w:p>
        </w:tc>
        <w:tc>
          <w:tcPr>
            <w:tcW w:w="15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4.2%</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20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23,398</w:t>
            </w:r>
          </w:p>
        </w:tc>
        <w:tc>
          <w:tcPr>
            <w:tcW w:w="1100" w:type="dxa"/>
            <w:vAlign w:val="bottom"/>
          </w:tcPr>
          <w:p>
            <w:pPr>
              <w:jc w:val="right"/>
              <w:spacing w:after="0"/>
              <w:rPr>
                <w:sz w:val="20"/>
                <w:szCs w:val="20"/>
                <w:color w:val="auto"/>
              </w:rPr>
            </w:pPr>
            <w:r>
              <w:rPr>
                <w:rFonts w:ascii="Arial" w:cs="Arial" w:eastAsia="Arial" w:hAnsi="Arial"/>
                <w:sz w:val="18"/>
                <w:szCs w:val="18"/>
                <w:color w:val="auto"/>
              </w:rPr>
              <w:t>11,143</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47.6%</w:t>
            </w:r>
          </w:p>
        </w:tc>
        <w:tc>
          <w:tcPr>
            <w:tcW w:w="1120" w:type="dxa"/>
            <w:vAlign w:val="bottom"/>
          </w:tcPr>
          <w:p>
            <w:pPr>
              <w:jc w:val="right"/>
              <w:spacing w:after="0"/>
              <w:rPr>
                <w:sz w:val="20"/>
                <w:szCs w:val="20"/>
                <w:color w:val="auto"/>
              </w:rPr>
            </w:pPr>
            <w:r>
              <w:rPr>
                <w:rFonts w:ascii="Arial" w:cs="Arial" w:eastAsia="Arial" w:hAnsi="Arial"/>
                <w:sz w:val="18"/>
                <w:szCs w:val="18"/>
                <w:color w:val="auto"/>
              </w:rPr>
              <w:t>11,279</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48.2%</w:t>
            </w:r>
          </w:p>
        </w:tc>
        <w:tc>
          <w:tcPr>
            <w:tcW w:w="1100" w:type="dxa"/>
            <w:vAlign w:val="bottom"/>
          </w:tcPr>
          <w:p>
            <w:pPr>
              <w:jc w:val="right"/>
              <w:spacing w:after="0"/>
              <w:rPr>
                <w:sz w:val="20"/>
                <w:szCs w:val="20"/>
                <w:color w:val="auto"/>
              </w:rPr>
            </w:pPr>
            <w:r>
              <w:rPr>
                <w:rFonts w:ascii="Arial" w:cs="Arial" w:eastAsia="Arial" w:hAnsi="Arial"/>
                <w:sz w:val="18"/>
                <w:szCs w:val="18"/>
                <w:color w:val="auto"/>
              </w:rPr>
              <w:t>976</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4.2%</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1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2014</w:t>
            </w:r>
          </w:p>
        </w:tc>
        <w:tc>
          <w:tcPr>
            <w:tcW w:w="14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25,773</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10,475</w:t>
            </w:r>
          </w:p>
        </w:tc>
        <w:tc>
          <w:tcPr>
            <w:tcW w:w="150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40.6%</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14,472</w:t>
            </w:r>
          </w:p>
        </w:tc>
        <w:tc>
          <w:tcPr>
            <w:tcW w:w="152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56.2%</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826</w:t>
            </w:r>
          </w:p>
        </w:tc>
        <w:tc>
          <w:tcPr>
            <w:tcW w:w="15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3.2%</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120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53,319</w:t>
            </w:r>
          </w:p>
        </w:tc>
        <w:tc>
          <w:tcPr>
            <w:tcW w:w="1100" w:type="dxa"/>
            <w:vAlign w:val="bottom"/>
          </w:tcPr>
          <w:p>
            <w:pPr>
              <w:jc w:val="right"/>
              <w:spacing w:after="0"/>
              <w:rPr>
                <w:sz w:val="20"/>
                <w:szCs w:val="20"/>
                <w:color w:val="auto"/>
              </w:rPr>
            </w:pPr>
            <w:r>
              <w:rPr>
                <w:rFonts w:ascii="Arial" w:cs="Arial" w:eastAsia="Arial" w:hAnsi="Arial"/>
                <w:sz w:val="18"/>
                <w:szCs w:val="18"/>
                <w:color w:val="auto"/>
              </w:rPr>
              <w:t>22,279</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41.8%</w:t>
            </w:r>
          </w:p>
        </w:tc>
        <w:tc>
          <w:tcPr>
            <w:tcW w:w="1120" w:type="dxa"/>
            <w:vAlign w:val="bottom"/>
          </w:tcPr>
          <w:p>
            <w:pPr>
              <w:jc w:val="right"/>
              <w:spacing w:after="0"/>
              <w:rPr>
                <w:sz w:val="20"/>
                <w:szCs w:val="20"/>
                <w:color w:val="auto"/>
              </w:rPr>
            </w:pPr>
            <w:r>
              <w:rPr>
                <w:rFonts w:ascii="Arial" w:cs="Arial" w:eastAsia="Arial" w:hAnsi="Arial"/>
                <w:sz w:val="18"/>
                <w:szCs w:val="18"/>
                <w:color w:val="auto"/>
              </w:rPr>
              <w:t>29,958</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56.2%</w:t>
            </w:r>
          </w:p>
        </w:tc>
        <w:tc>
          <w:tcPr>
            <w:tcW w:w="1100" w:type="dxa"/>
            <w:vAlign w:val="bottom"/>
          </w:tcPr>
          <w:p>
            <w:pPr>
              <w:jc w:val="right"/>
              <w:spacing w:after="0"/>
              <w:rPr>
                <w:sz w:val="20"/>
                <w:szCs w:val="20"/>
                <w:color w:val="auto"/>
              </w:rPr>
            </w:pPr>
            <w:r>
              <w:rPr>
                <w:rFonts w:ascii="Arial" w:cs="Arial" w:eastAsia="Arial" w:hAnsi="Arial"/>
                <w:sz w:val="18"/>
                <w:szCs w:val="18"/>
                <w:color w:val="auto"/>
              </w:rPr>
              <w:t>1,082</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2.0%</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1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2016</w:t>
            </w:r>
          </w:p>
        </w:tc>
        <w:tc>
          <w:tcPr>
            <w:tcW w:w="14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80,897</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36,449</w:t>
            </w:r>
          </w:p>
        </w:tc>
        <w:tc>
          <w:tcPr>
            <w:tcW w:w="150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45.1%</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42,515</w:t>
            </w:r>
          </w:p>
        </w:tc>
        <w:tc>
          <w:tcPr>
            <w:tcW w:w="152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52.6%</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1,933</w:t>
            </w:r>
          </w:p>
        </w:tc>
        <w:tc>
          <w:tcPr>
            <w:tcW w:w="15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2.4%</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26</w:t>
            </w:r>
          </w:p>
        </w:tc>
      </w:tr>
      <w:tr>
        <w:trPr>
          <w:trHeight w:val="216"/>
        </w:trPr>
        <w:tc>
          <w:tcPr>
            <w:tcW w:w="12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133,881</w:t>
            </w:r>
          </w:p>
        </w:tc>
        <w:tc>
          <w:tcPr>
            <w:tcW w:w="1100" w:type="dxa"/>
            <w:vAlign w:val="bottom"/>
          </w:tcPr>
          <w:p>
            <w:pPr>
              <w:jc w:val="right"/>
              <w:spacing w:after="0"/>
              <w:rPr>
                <w:sz w:val="20"/>
                <w:szCs w:val="20"/>
                <w:color w:val="auto"/>
              </w:rPr>
            </w:pPr>
            <w:r>
              <w:rPr>
                <w:rFonts w:ascii="Arial" w:cs="Arial" w:eastAsia="Arial" w:hAnsi="Arial"/>
                <w:sz w:val="18"/>
                <w:szCs w:val="18"/>
                <w:color w:val="auto"/>
              </w:rPr>
              <w:t>60,432</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45.1%</w:t>
            </w:r>
          </w:p>
        </w:tc>
        <w:tc>
          <w:tcPr>
            <w:tcW w:w="1120" w:type="dxa"/>
            <w:vAlign w:val="bottom"/>
          </w:tcPr>
          <w:p>
            <w:pPr>
              <w:jc w:val="right"/>
              <w:spacing w:after="0"/>
              <w:rPr>
                <w:sz w:val="20"/>
                <w:szCs w:val="20"/>
                <w:color w:val="auto"/>
              </w:rPr>
            </w:pPr>
            <w:r>
              <w:rPr>
                <w:rFonts w:ascii="Arial" w:cs="Arial" w:eastAsia="Arial" w:hAnsi="Arial"/>
                <w:sz w:val="18"/>
                <w:szCs w:val="18"/>
                <w:color w:val="auto"/>
              </w:rPr>
              <w:t>66,523</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49.7%</w:t>
            </w:r>
          </w:p>
        </w:tc>
        <w:tc>
          <w:tcPr>
            <w:tcW w:w="1100" w:type="dxa"/>
            <w:vAlign w:val="bottom"/>
          </w:tcPr>
          <w:p>
            <w:pPr>
              <w:jc w:val="right"/>
              <w:spacing w:after="0"/>
              <w:rPr>
                <w:sz w:val="20"/>
                <w:szCs w:val="20"/>
                <w:color w:val="auto"/>
              </w:rPr>
            </w:pPr>
            <w:r>
              <w:rPr>
                <w:rFonts w:ascii="Arial" w:cs="Arial" w:eastAsia="Arial" w:hAnsi="Arial"/>
                <w:sz w:val="18"/>
                <w:szCs w:val="18"/>
                <w:color w:val="auto"/>
              </w:rPr>
              <w:t>6,926</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5.2%</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22</w:t>
            </w:r>
          </w:p>
        </w:tc>
      </w:tr>
      <w:tr>
        <w:trPr>
          <w:trHeight w:val="216"/>
        </w:trPr>
        <w:tc>
          <w:tcPr>
            <w:tcW w:w="1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2018</w:t>
            </w:r>
          </w:p>
        </w:tc>
        <w:tc>
          <w:tcPr>
            <w:tcW w:w="14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121,531</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64,608</w:t>
            </w:r>
          </w:p>
        </w:tc>
        <w:tc>
          <w:tcPr>
            <w:tcW w:w="150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53.2%</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50,916</w:t>
            </w:r>
          </w:p>
        </w:tc>
        <w:tc>
          <w:tcPr>
            <w:tcW w:w="152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41.9%</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6,007</w:t>
            </w:r>
          </w:p>
        </w:tc>
        <w:tc>
          <w:tcPr>
            <w:tcW w:w="15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4.9%</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2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71,548</w:t>
            </w:r>
          </w:p>
        </w:tc>
        <w:tc>
          <w:tcPr>
            <w:tcW w:w="1100" w:type="dxa"/>
            <w:vAlign w:val="bottom"/>
          </w:tcPr>
          <w:p>
            <w:pPr>
              <w:jc w:val="right"/>
              <w:spacing w:after="0"/>
              <w:rPr>
                <w:sz w:val="20"/>
                <w:szCs w:val="20"/>
                <w:color w:val="auto"/>
              </w:rPr>
            </w:pPr>
            <w:r>
              <w:rPr>
                <w:rFonts w:ascii="Arial" w:cs="Arial" w:eastAsia="Arial" w:hAnsi="Arial"/>
                <w:sz w:val="18"/>
                <w:szCs w:val="18"/>
                <w:color w:val="auto"/>
              </w:rPr>
              <w:t>49,448</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69.1%</w:t>
            </w:r>
          </w:p>
        </w:tc>
        <w:tc>
          <w:tcPr>
            <w:tcW w:w="1120" w:type="dxa"/>
            <w:vAlign w:val="bottom"/>
          </w:tcPr>
          <w:p>
            <w:pPr>
              <w:jc w:val="right"/>
              <w:spacing w:after="0"/>
              <w:rPr>
                <w:sz w:val="20"/>
                <w:szCs w:val="20"/>
                <w:color w:val="auto"/>
              </w:rPr>
            </w:pPr>
            <w:r>
              <w:rPr>
                <w:rFonts w:ascii="Arial" w:cs="Arial" w:eastAsia="Arial" w:hAnsi="Arial"/>
                <w:sz w:val="18"/>
                <w:szCs w:val="18"/>
                <w:color w:val="auto"/>
              </w:rPr>
              <w:t>20,158</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28.2%</w:t>
            </w:r>
          </w:p>
        </w:tc>
        <w:tc>
          <w:tcPr>
            <w:tcW w:w="1100" w:type="dxa"/>
            <w:vAlign w:val="bottom"/>
          </w:tcPr>
          <w:p>
            <w:pPr>
              <w:jc w:val="right"/>
              <w:spacing w:after="0"/>
              <w:rPr>
                <w:sz w:val="20"/>
                <w:szCs w:val="20"/>
                <w:color w:val="auto"/>
              </w:rPr>
            </w:pPr>
            <w:r>
              <w:rPr>
                <w:rFonts w:ascii="Arial" w:cs="Arial" w:eastAsia="Arial" w:hAnsi="Arial"/>
                <w:sz w:val="18"/>
                <w:szCs w:val="18"/>
                <w:color w:val="auto"/>
              </w:rPr>
              <w:t>1,942</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2.7%</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2020</w:t>
            </w:r>
          </w:p>
        </w:tc>
        <w:tc>
          <w:tcPr>
            <w:tcW w:w="14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83,170</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62,322</w:t>
            </w:r>
          </w:p>
        </w:tc>
        <w:tc>
          <w:tcPr>
            <w:tcW w:w="150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74.9%</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14,593</w:t>
            </w:r>
          </w:p>
        </w:tc>
        <w:tc>
          <w:tcPr>
            <w:tcW w:w="152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17.5%</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2,099</w:t>
            </w:r>
          </w:p>
        </w:tc>
        <w:tc>
          <w:tcPr>
            <w:tcW w:w="15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2.5%</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12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47,029</w:t>
            </w:r>
          </w:p>
        </w:tc>
        <w:tc>
          <w:tcPr>
            <w:tcW w:w="1100" w:type="dxa"/>
            <w:vAlign w:val="bottom"/>
          </w:tcPr>
          <w:p>
            <w:pPr>
              <w:jc w:val="right"/>
              <w:spacing w:after="0"/>
              <w:rPr>
                <w:sz w:val="20"/>
                <w:szCs w:val="20"/>
                <w:color w:val="auto"/>
              </w:rPr>
            </w:pPr>
            <w:r>
              <w:rPr>
                <w:rFonts w:ascii="Arial" w:cs="Arial" w:eastAsia="Arial" w:hAnsi="Arial"/>
                <w:sz w:val="18"/>
                <w:szCs w:val="18"/>
                <w:color w:val="auto"/>
              </w:rPr>
              <w:t>38,041</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80.9%</w:t>
            </w:r>
          </w:p>
        </w:tc>
        <w:tc>
          <w:tcPr>
            <w:tcW w:w="1120" w:type="dxa"/>
            <w:vAlign w:val="bottom"/>
          </w:tcPr>
          <w:p>
            <w:pPr>
              <w:jc w:val="right"/>
              <w:spacing w:after="0"/>
              <w:rPr>
                <w:sz w:val="20"/>
                <w:szCs w:val="20"/>
                <w:color w:val="auto"/>
              </w:rPr>
            </w:pPr>
            <w:r>
              <w:rPr>
                <w:rFonts w:ascii="Arial" w:cs="Arial" w:eastAsia="Arial" w:hAnsi="Arial"/>
                <w:sz w:val="18"/>
                <w:szCs w:val="18"/>
                <w:color w:val="auto"/>
              </w:rPr>
              <w:t>7,273</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15.5%</w:t>
            </w:r>
          </w:p>
        </w:tc>
        <w:tc>
          <w:tcPr>
            <w:tcW w:w="1100" w:type="dxa"/>
            <w:vAlign w:val="bottom"/>
          </w:tcPr>
          <w:p>
            <w:pPr>
              <w:jc w:val="right"/>
              <w:spacing w:after="0"/>
              <w:rPr>
                <w:sz w:val="20"/>
                <w:szCs w:val="20"/>
                <w:color w:val="auto"/>
              </w:rPr>
            </w:pPr>
            <w:r>
              <w:rPr>
                <w:rFonts w:ascii="Arial" w:cs="Arial" w:eastAsia="Arial" w:hAnsi="Arial"/>
                <w:sz w:val="18"/>
                <w:szCs w:val="18"/>
                <w:color w:val="auto"/>
              </w:rPr>
              <w:t>1,236</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2.6%</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11</w:t>
            </w:r>
          </w:p>
        </w:tc>
      </w:tr>
      <w:tr>
        <w:trPr>
          <w:trHeight w:val="216"/>
        </w:trPr>
        <w:tc>
          <w:tcPr>
            <w:tcW w:w="12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2022</w:t>
            </w:r>
          </w:p>
        </w:tc>
        <w:tc>
          <w:tcPr>
            <w:tcW w:w="14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56,271</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50,133</w:t>
            </w:r>
          </w:p>
        </w:tc>
        <w:tc>
          <w:tcPr>
            <w:tcW w:w="150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89.1%</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4,054</w:t>
            </w:r>
          </w:p>
        </w:tc>
        <w:tc>
          <w:tcPr>
            <w:tcW w:w="152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7.2%</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1,955</w:t>
            </w:r>
          </w:p>
        </w:tc>
        <w:tc>
          <w:tcPr>
            <w:tcW w:w="15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3.5%</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Table excludes extensions on portfolios serviced for third parties</w:t>
      </w:r>
    </w:p>
    <w:p>
      <w:pPr>
        <w:spacing w:after="0" w:line="21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view these results as a confirmation of the effectiveness of our extension program. For example, of the accounts granted extensions in 2019, 69.1% were either paid in full or active and performing as of June 30, 2023. Each of these successful accounts represent continued payments of interest and principal (including payment in full in many cases), where without the extension we likely would have incurred a substantial loss and no interest revenue after the extension.</w:t>
      </w:r>
    </w:p>
    <w:p>
      <w:pPr>
        <w:spacing w:after="0" w:line="187" w:lineRule="exact"/>
        <w:rPr>
          <w:sz w:val="20"/>
          <w:szCs w:val="20"/>
          <w:color w:val="auto"/>
        </w:rPr>
      </w:pPr>
    </w:p>
    <w:p>
      <w:pPr>
        <w:jc w:val="both"/>
        <w:ind w:firstLine="162"/>
        <w:spacing w:after="0" w:line="311" w:lineRule="auto"/>
        <w:rPr>
          <w:sz w:val="20"/>
          <w:szCs w:val="20"/>
          <w:color w:val="auto"/>
        </w:rPr>
      </w:pPr>
      <w:r>
        <w:rPr>
          <w:rFonts w:ascii="Arial" w:cs="Arial" w:eastAsia="Arial" w:hAnsi="Arial"/>
          <w:sz w:val="16"/>
          <w:szCs w:val="16"/>
          <w:color w:val="auto"/>
        </w:rPr>
        <w:t>For the extension accounts that ultimately charge off, we consider any that charged off more than six months after the extension to be at least partially successful. For example, of the accounts granted extensions in 2012 that subsequently charged off, such charge offs occurred, on average, 18 months after the extension, indicating that even in the cases of an ultimate loss, the obligor serviced the account with additional payments of principal and interest.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ind w:left="180"/>
              <w:spacing w:after="0"/>
              <w:rPr>
                <w:sz w:val="20"/>
                <w:szCs w:val="20"/>
                <w:color w:val="auto"/>
              </w:rPr>
            </w:pPr>
            <w:r>
              <w:rPr>
                <w:rFonts w:ascii="Arial" w:cs="Arial" w:eastAsia="Arial" w:hAnsi="Arial"/>
                <w:sz w:val="18"/>
                <w:szCs w:val="18"/>
                <w:color w:val="auto"/>
                <w:w w:val="92"/>
              </w:rPr>
              <w:t>Additional information about our extensions is provided in the tables below:</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57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Six Months Ended</w:t>
            </w:r>
          </w:p>
        </w:tc>
        <w:tc>
          <w:tcPr>
            <w:tcW w:w="320" w:type="dxa"/>
            <w:vAlign w:val="bottom"/>
          </w:tcPr>
          <w:p>
            <w:pPr>
              <w:spacing w:after="0"/>
              <w:rPr>
                <w:sz w:val="24"/>
                <w:szCs w:val="24"/>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Six Months Ended</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Year Ended</w:t>
            </w:r>
          </w:p>
        </w:tc>
      </w:tr>
      <w:tr>
        <w:trPr>
          <w:trHeight w:val="230"/>
        </w:trPr>
        <w:tc>
          <w:tcPr>
            <w:tcW w:w="57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6"/>
              </w:rPr>
              <w:t>June 30,</w:t>
            </w:r>
          </w:p>
        </w:tc>
        <w:tc>
          <w:tcPr>
            <w:tcW w:w="320" w:type="dxa"/>
            <w:vAlign w:val="bottom"/>
          </w:tcPr>
          <w:p>
            <w:pPr>
              <w:spacing w:after="0"/>
              <w:rPr>
                <w:sz w:val="19"/>
                <w:szCs w:val="19"/>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June 30,</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31,</w:t>
            </w:r>
          </w:p>
        </w:tc>
      </w:tr>
      <w:tr>
        <w:trPr>
          <w:trHeight w:val="230"/>
        </w:trPr>
        <w:tc>
          <w:tcPr>
            <w:tcW w:w="57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90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2022</w:t>
            </w:r>
          </w:p>
        </w:tc>
        <w:tc>
          <w:tcPr>
            <w:tcW w:w="3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20"/>
                <w:szCs w:val="20"/>
                <w:color w:val="auto"/>
              </w:rPr>
            </w:pPr>
          </w:p>
        </w:tc>
      </w:tr>
      <w:tr>
        <w:trPr>
          <w:trHeight w:val="210"/>
        </w:trPr>
        <w:tc>
          <w:tcPr>
            <w:tcW w:w="574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Average number of extensions granted per month</w:t>
            </w: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6,342</w:t>
            </w:r>
          </w:p>
        </w:tc>
        <w:tc>
          <w:tcPr>
            <w:tcW w:w="224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4,164</w:t>
            </w: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4,869</w:t>
            </w:r>
          </w:p>
        </w:tc>
        <w:tc>
          <w:tcPr>
            <w:tcW w:w="100" w:type="dxa"/>
            <w:vAlign w:val="bottom"/>
            <w:shd w:val="clear" w:color="auto" w:fill="EEEEEE"/>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Average number of outstanding accounts</w:t>
            </w: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174,937</w:t>
            </w:r>
          </w:p>
        </w:tc>
        <w:tc>
          <w:tcPr>
            <w:tcW w:w="224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157,273</w:t>
            </w: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162,264</w:t>
            </w:r>
          </w:p>
        </w:tc>
        <w:tc>
          <w:tcPr>
            <w:tcW w:w="100" w:type="dxa"/>
            <w:vAlign w:val="bottom"/>
            <w:shd w:val="clear" w:color="auto" w:fill="EEEEEE"/>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Average monthly extensions as % of average outstandings</w:t>
            </w: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w:t>
            </w:r>
          </w:p>
        </w:tc>
        <w:tc>
          <w:tcPr>
            <w:tcW w:w="224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2.6%</w:t>
            </w: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EEEEEE"/>
          </w:tcPr>
          <w:p>
            <w:pPr>
              <w:spacing w:after="0"/>
              <w:rPr>
                <w:sz w:val="18"/>
                <w:szCs w:val="18"/>
                <w:color w:val="auto"/>
              </w:rPr>
            </w:pPr>
          </w:p>
        </w:tc>
      </w:tr>
      <w:tr>
        <w:trPr>
          <w:trHeight w:val="418"/>
        </w:trPr>
        <w:tc>
          <w:tcPr>
            <w:tcW w:w="5740" w:type="dxa"/>
            <w:vAlign w:val="bottom"/>
          </w:tcPr>
          <w:p>
            <w:pPr>
              <w:spacing w:after="0"/>
              <w:rPr>
                <w:sz w:val="20"/>
                <w:szCs w:val="20"/>
                <w:color w:val="auto"/>
              </w:rPr>
            </w:pPr>
            <w:r>
              <w:rPr>
                <w:rFonts w:ascii="Arial" w:cs="Arial" w:eastAsia="Arial" w:hAnsi="Arial"/>
                <w:sz w:val="18"/>
                <w:szCs w:val="18"/>
                <w:color w:val="auto"/>
              </w:rPr>
              <w:t>______________________</w:t>
            </w: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i w:val="1"/>
                <w:iCs w:val="1"/>
                <w:color w:val="auto"/>
              </w:rPr>
              <w:t>Note: Table excludes portfolios originated and owned by third parties</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9"/>
        </w:trPr>
        <w:tc>
          <w:tcPr>
            <w:tcW w:w="3260" w:type="dxa"/>
            <w:vAlign w:val="bottom"/>
          </w:tcPr>
          <w:p>
            <w:pPr>
              <w:spacing w:after="0"/>
              <w:rPr>
                <w:sz w:val="18"/>
                <w:szCs w:val="18"/>
                <w:color w:val="auto"/>
              </w:rPr>
            </w:pPr>
          </w:p>
        </w:tc>
        <w:tc>
          <w:tcPr>
            <w:tcW w:w="2700" w:type="dxa"/>
            <w:vAlign w:val="bottom"/>
            <w:gridSpan w:val="5"/>
          </w:tcPr>
          <w:p>
            <w:pPr>
              <w:ind w:left="780"/>
              <w:spacing w:after="0"/>
              <w:rPr>
                <w:sz w:val="20"/>
                <w:szCs w:val="20"/>
                <w:color w:val="auto"/>
              </w:rPr>
            </w:pPr>
            <w:r>
              <w:rPr>
                <w:rFonts w:ascii="Arial" w:cs="Arial" w:eastAsia="Arial" w:hAnsi="Arial"/>
                <w:sz w:val="16"/>
                <w:szCs w:val="16"/>
                <w:color w:val="auto"/>
              </w:rPr>
              <w:t>June 30, 2023</w:t>
            </w:r>
          </w:p>
        </w:tc>
        <w:tc>
          <w:tcPr>
            <w:tcW w:w="2480" w:type="dxa"/>
            <w:vAlign w:val="bottom"/>
            <w:gridSpan w:val="5"/>
          </w:tcPr>
          <w:p>
            <w:pPr>
              <w:jc w:val="right"/>
              <w:ind w:right="719"/>
              <w:spacing w:after="0"/>
              <w:rPr>
                <w:sz w:val="20"/>
                <w:szCs w:val="20"/>
                <w:color w:val="auto"/>
              </w:rPr>
            </w:pPr>
            <w:r>
              <w:rPr>
                <w:rFonts w:ascii="Arial" w:cs="Arial" w:eastAsia="Arial" w:hAnsi="Arial"/>
                <w:sz w:val="16"/>
                <w:szCs w:val="16"/>
                <w:color w:val="auto"/>
              </w:rPr>
              <w:t>June 30, 2022</w:t>
            </w:r>
          </w:p>
        </w:tc>
        <w:tc>
          <w:tcPr>
            <w:tcW w:w="220" w:type="dxa"/>
            <w:vAlign w:val="bottom"/>
          </w:tcPr>
          <w:p>
            <w:pPr>
              <w:spacing w:after="0"/>
              <w:rPr>
                <w:sz w:val="18"/>
                <w:szCs w:val="18"/>
                <w:color w:val="auto"/>
              </w:rPr>
            </w:pPr>
          </w:p>
        </w:tc>
        <w:tc>
          <w:tcPr>
            <w:tcW w:w="2580" w:type="dxa"/>
            <w:vAlign w:val="bottom"/>
            <w:gridSpan w:val="5"/>
          </w:tcPr>
          <w:p>
            <w:pPr>
              <w:ind w:left="600"/>
              <w:spacing w:after="0"/>
              <w:rPr>
                <w:sz w:val="20"/>
                <w:szCs w:val="20"/>
                <w:color w:val="auto"/>
              </w:rPr>
            </w:pPr>
            <w:r>
              <w:rPr>
                <w:rFonts w:ascii="Arial" w:cs="Arial" w:eastAsia="Arial" w:hAnsi="Arial"/>
                <w:sz w:val="16"/>
                <w:szCs w:val="16"/>
                <w:color w:val="auto"/>
              </w:rPr>
              <w:t>December 31, 2022</w:t>
            </w:r>
          </w:p>
        </w:tc>
      </w:tr>
      <w:tr>
        <w:trPr>
          <w:trHeight w:val="189"/>
        </w:trPr>
        <w:tc>
          <w:tcPr>
            <w:tcW w:w="3260" w:type="dxa"/>
            <w:vAlign w:val="bottom"/>
          </w:tcPr>
          <w:p>
            <w:pPr>
              <w:spacing w:after="0"/>
              <w:rPr>
                <w:sz w:val="16"/>
                <w:szCs w:val="16"/>
                <w:color w:val="auto"/>
              </w:rPr>
            </w:pPr>
          </w:p>
        </w:tc>
        <w:tc>
          <w:tcPr>
            <w:tcW w:w="11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Number of</w:t>
            </w: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color w:val="auto"/>
                <w:w w:val="96"/>
              </w:rPr>
              <w:t>Number of</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Number of</w:t>
            </w: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3260" w:type="dxa"/>
            <w:vAlign w:val="bottom"/>
          </w:tcPr>
          <w:p>
            <w:pPr>
              <w:spacing w:after="0"/>
              <w:rPr>
                <w:sz w:val="18"/>
                <w:szCs w:val="18"/>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Contracts</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Amount</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Contracts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Amount</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Contracts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Amount</w:t>
            </w:r>
          </w:p>
        </w:tc>
        <w:tc>
          <w:tcPr>
            <w:tcW w:w="100" w:type="dxa"/>
            <w:vAlign w:val="bottom"/>
          </w:tcPr>
          <w:p>
            <w:pPr>
              <w:spacing w:after="0"/>
              <w:rPr>
                <w:sz w:val="18"/>
                <w:szCs w:val="18"/>
                <w:color w:val="auto"/>
              </w:rPr>
            </w:pPr>
          </w:p>
        </w:tc>
      </w:tr>
      <w:tr>
        <w:trPr>
          <w:trHeight w:val="203"/>
        </w:trPr>
        <w:tc>
          <w:tcPr>
            <w:tcW w:w="3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5"/>
          </w:tcPr>
          <w:p>
            <w:pPr>
              <w:jc w:val="right"/>
              <w:ind w:right="439"/>
              <w:spacing w:after="0"/>
              <w:rPr>
                <w:sz w:val="20"/>
                <w:szCs w:val="20"/>
                <w:color w:val="auto"/>
              </w:rPr>
            </w:pPr>
            <w:r>
              <w:rPr>
                <w:rFonts w:ascii="Arial" w:cs="Arial" w:eastAsia="Arial" w:hAnsi="Arial"/>
                <w:sz w:val="16"/>
                <w:szCs w:val="16"/>
                <w:color w:val="auto"/>
              </w:rPr>
              <w:t>(Dollars in thousands)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60" w:type="dxa"/>
            <w:vAlign w:val="bottom"/>
            <w:shd w:val="clear" w:color="auto" w:fill="EEEEEE"/>
          </w:tcPr>
          <w:p>
            <w:pPr>
              <w:spacing w:after="0"/>
              <w:rPr>
                <w:sz w:val="20"/>
                <w:szCs w:val="20"/>
                <w:color w:val="auto"/>
              </w:rPr>
            </w:pPr>
            <w:r>
              <w:rPr>
                <w:rFonts w:ascii="Arial" w:cs="Arial" w:eastAsia="Arial" w:hAnsi="Arial"/>
                <w:sz w:val="16"/>
                <w:szCs w:val="16"/>
                <w:color w:val="auto"/>
              </w:rPr>
              <w:t>Contracts with one extension</w:t>
            </w:r>
          </w:p>
        </w:tc>
        <w:tc>
          <w:tcPr>
            <w:tcW w:w="11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33,216</w:t>
            </w:r>
          </w:p>
        </w:tc>
        <w:tc>
          <w:tcPr>
            <w:tcW w:w="4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597,635</w:t>
            </w:r>
          </w:p>
        </w:tc>
        <w:tc>
          <w:tcPr>
            <w:tcW w:w="124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23,874</w:t>
            </w:r>
          </w:p>
        </w:tc>
        <w:tc>
          <w:tcPr>
            <w:tcW w:w="30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350,740</w:t>
            </w: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28,565</w:t>
            </w:r>
          </w:p>
        </w:tc>
        <w:tc>
          <w:tcPr>
            <w:tcW w:w="4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479,114</w:t>
            </w:r>
          </w:p>
        </w:tc>
        <w:tc>
          <w:tcPr>
            <w:tcW w:w="100" w:type="dxa"/>
            <w:vAlign w:val="bottom"/>
            <w:shd w:val="clear" w:color="auto" w:fill="EEEEEE"/>
          </w:tcPr>
          <w:p>
            <w:pPr>
              <w:spacing w:after="0"/>
              <w:rPr>
                <w:sz w:val="17"/>
                <w:szCs w:val="17"/>
                <w:color w:val="auto"/>
              </w:rPr>
            </w:pPr>
          </w:p>
        </w:tc>
      </w:tr>
      <w:tr>
        <w:trPr>
          <w:trHeight w:val="203"/>
        </w:trPr>
        <w:tc>
          <w:tcPr>
            <w:tcW w:w="3260" w:type="dxa"/>
            <w:vAlign w:val="bottom"/>
          </w:tcPr>
          <w:p>
            <w:pPr>
              <w:spacing w:after="0"/>
              <w:rPr>
                <w:sz w:val="20"/>
                <w:szCs w:val="20"/>
                <w:color w:val="auto"/>
              </w:rPr>
            </w:pPr>
            <w:r>
              <w:rPr>
                <w:rFonts w:ascii="Arial" w:cs="Arial" w:eastAsia="Arial" w:hAnsi="Arial"/>
                <w:sz w:val="16"/>
                <w:szCs w:val="16"/>
                <w:color w:val="auto"/>
              </w:rPr>
              <w:t>Contracts with two extensions</w:t>
            </w:r>
          </w:p>
        </w:tc>
        <w:tc>
          <w:tcPr>
            <w:tcW w:w="1140" w:type="dxa"/>
            <w:vAlign w:val="bottom"/>
          </w:tcPr>
          <w:p>
            <w:pPr>
              <w:jc w:val="right"/>
              <w:spacing w:after="0"/>
              <w:rPr>
                <w:sz w:val="20"/>
                <w:szCs w:val="20"/>
                <w:color w:val="auto"/>
              </w:rPr>
            </w:pPr>
            <w:r>
              <w:rPr>
                <w:rFonts w:ascii="Arial" w:cs="Arial" w:eastAsia="Arial" w:hAnsi="Arial"/>
                <w:sz w:val="16"/>
                <w:szCs w:val="16"/>
                <w:color w:val="auto"/>
              </w:rPr>
              <w:t>15,797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238,071</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14,125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177,498</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13,730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180,547</w:t>
            </w:r>
          </w:p>
        </w:tc>
        <w:tc>
          <w:tcPr>
            <w:tcW w:w="100" w:type="dxa"/>
            <w:vAlign w:val="bottom"/>
          </w:tcPr>
          <w:p>
            <w:pPr>
              <w:spacing w:after="0"/>
              <w:rPr>
                <w:sz w:val="17"/>
                <w:szCs w:val="17"/>
                <w:color w:val="auto"/>
              </w:rPr>
            </w:pPr>
          </w:p>
        </w:tc>
      </w:tr>
      <w:tr>
        <w:trPr>
          <w:trHeight w:val="203"/>
        </w:trPr>
        <w:tc>
          <w:tcPr>
            <w:tcW w:w="3260" w:type="dxa"/>
            <w:vAlign w:val="bottom"/>
            <w:shd w:val="clear" w:color="auto" w:fill="EEEEEE"/>
          </w:tcPr>
          <w:p>
            <w:pPr>
              <w:spacing w:after="0"/>
              <w:rPr>
                <w:sz w:val="20"/>
                <w:szCs w:val="20"/>
                <w:color w:val="auto"/>
              </w:rPr>
            </w:pPr>
            <w:r>
              <w:rPr>
                <w:rFonts w:ascii="Arial" w:cs="Arial" w:eastAsia="Arial" w:hAnsi="Arial"/>
                <w:sz w:val="16"/>
                <w:szCs w:val="16"/>
                <w:color w:val="auto"/>
              </w:rPr>
              <w:t>Contracts with three extensions</w:t>
            </w:r>
          </w:p>
        </w:tc>
        <w:tc>
          <w:tcPr>
            <w:tcW w:w="11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9,426</w:t>
            </w: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108,609</w:t>
            </w:r>
          </w:p>
        </w:tc>
        <w:tc>
          <w:tcPr>
            <w:tcW w:w="124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10,692</w:t>
            </w: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121,038</w:t>
            </w: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9,837</w:t>
            </w: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108,986</w:t>
            </w:r>
          </w:p>
        </w:tc>
        <w:tc>
          <w:tcPr>
            <w:tcW w:w="100" w:type="dxa"/>
            <w:vAlign w:val="bottom"/>
            <w:shd w:val="clear" w:color="auto" w:fill="EEEEEE"/>
          </w:tcPr>
          <w:p>
            <w:pPr>
              <w:spacing w:after="0"/>
              <w:rPr>
                <w:sz w:val="17"/>
                <w:szCs w:val="17"/>
                <w:color w:val="auto"/>
              </w:rPr>
            </w:pPr>
          </w:p>
        </w:tc>
      </w:tr>
      <w:tr>
        <w:trPr>
          <w:trHeight w:val="203"/>
        </w:trPr>
        <w:tc>
          <w:tcPr>
            <w:tcW w:w="3260" w:type="dxa"/>
            <w:vAlign w:val="bottom"/>
          </w:tcPr>
          <w:p>
            <w:pPr>
              <w:spacing w:after="0"/>
              <w:rPr>
                <w:sz w:val="20"/>
                <w:szCs w:val="20"/>
                <w:color w:val="auto"/>
              </w:rPr>
            </w:pPr>
            <w:r>
              <w:rPr>
                <w:rFonts w:ascii="Arial" w:cs="Arial" w:eastAsia="Arial" w:hAnsi="Arial"/>
                <w:sz w:val="16"/>
                <w:szCs w:val="16"/>
                <w:color w:val="auto"/>
              </w:rPr>
              <w:t>Contracts with four extensions</w:t>
            </w:r>
          </w:p>
        </w:tc>
        <w:tc>
          <w:tcPr>
            <w:tcW w:w="1140" w:type="dxa"/>
            <w:vAlign w:val="bottom"/>
          </w:tcPr>
          <w:p>
            <w:pPr>
              <w:jc w:val="right"/>
              <w:spacing w:after="0"/>
              <w:rPr>
                <w:sz w:val="20"/>
                <w:szCs w:val="20"/>
                <w:color w:val="auto"/>
              </w:rPr>
            </w:pPr>
            <w:r>
              <w:rPr>
                <w:rFonts w:ascii="Arial" w:cs="Arial" w:eastAsia="Arial" w:hAnsi="Arial"/>
                <w:sz w:val="16"/>
                <w:szCs w:val="16"/>
                <w:color w:val="auto"/>
              </w:rPr>
              <w:t>7,269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69,027</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8,543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84,683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7,938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76,219</w:t>
            </w:r>
          </w:p>
        </w:tc>
        <w:tc>
          <w:tcPr>
            <w:tcW w:w="100" w:type="dxa"/>
            <w:vAlign w:val="bottom"/>
          </w:tcPr>
          <w:p>
            <w:pPr>
              <w:spacing w:after="0"/>
              <w:rPr>
                <w:sz w:val="17"/>
                <w:szCs w:val="17"/>
                <w:color w:val="auto"/>
              </w:rPr>
            </w:pPr>
          </w:p>
        </w:tc>
      </w:tr>
      <w:tr>
        <w:trPr>
          <w:trHeight w:val="203"/>
        </w:trPr>
        <w:tc>
          <w:tcPr>
            <w:tcW w:w="3260" w:type="dxa"/>
            <w:vAlign w:val="bottom"/>
            <w:shd w:val="clear" w:color="auto" w:fill="EEEEEE"/>
          </w:tcPr>
          <w:p>
            <w:pPr>
              <w:spacing w:after="0"/>
              <w:rPr>
                <w:sz w:val="20"/>
                <w:szCs w:val="20"/>
                <w:color w:val="auto"/>
              </w:rPr>
            </w:pPr>
            <w:r>
              <w:rPr>
                <w:rFonts w:ascii="Arial" w:cs="Arial" w:eastAsia="Arial" w:hAnsi="Arial"/>
                <w:sz w:val="16"/>
                <w:szCs w:val="16"/>
                <w:color w:val="auto"/>
              </w:rPr>
              <w:t>Contracts with five extensions</w:t>
            </w:r>
          </w:p>
        </w:tc>
        <w:tc>
          <w:tcPr>
            <w:tcW w:w="11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5,284</w:t>
            </w: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43,004</w:t>
            </w:r>
          </w:p>
        </w:tc>
        <w:tc>
          <w:tcPr>
            <w:tcW w:w="124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5,819</w:t>
            </w: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50,235</w:t>
            </w: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5,425</w:t>
            </w: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45,519</w:t>
            </w:r>
          </w:p>
        </w:tc>
        <w:tc>
          <w:tcPr>
            <w:tcW w:w="100" w:type="dxa"/>
            <w:vAlign w:val="bottom"/>
            <w:shd w:val="clear" w:color="auto" w:fill="EEEEEE"/>
          </w:tcPr>
          <w:p>
            <w:pPr>
              <w:spacing w:after="0"/>
              <w:rPr>
                <w:sz w:val="17"/>
                <w:szCs w:val="17"/>
                <w:color w:val="auto"/>
              </w:rPr>
            </w:pPr>
          </w:p>
        </w:tc>
      </w:tr>
      <w:tr>
        <w:trPr>
          <w:trHeight w:val="213"/>
        </w:trPr>
        <w:tc>
          <w:tcPr>
            <w:tcW w:w="3260" w:type="dxa"/>
            <w:vAlign w:val="bottom"/>
          </w:tcPr>
          <w:p>
            <w:pPr>
              <w:spacing w:after="0"/>
              <w:rPr>
                <w:sz w:val="20"/>
                <w:szCs w:val="20"/>
                <w:color w:val="auto"/>
              </w:rPr>
            </w:pPr>
            <w:r>
              <w:rPr>
                <w:rFonts w:ascii="Arial" w:cs="Arial" w:eastAsia="Arial" w:hAnsi="Arial"/>
                <w:sz w:val="16"/>
                <w:szCs w:val="16"/>
                <w:color w:val="auto"/>
              </w:rPr>
              <w:t>Contracts with six extensions</w:t>
            </w:r>
          </w:p>
        </w:tc>
        <w:tc>
          <w:tcPr>
            <w:tcW w:w="1140" w:type="dxa"/>
            <w:vAlign w:val="bottom"/>
          </w:tcPr>
          <w:p>
            <w:pPr>
              <w:jc w:val="right"/>
              <w:spacing w:after="0"/>
              <w:rPr>
                <w:sz w:val="20"/>
                <w:szCs w:val="20"/>
                <w:color w:val="auto"/>
              </w:rPr>
            </w:pPr>
            <w:r>
              <w:rPr>
                <w:rFonts w:ascii="Arial" w:cs="Arial" w:eastAsia="Arial" w:hAnsi="Arial"/>
                <w:sz w:val="16"/>
                <w:szCs w:val="16"/>
                <w:color w:val="auto"/>
              </w:rPr>
              <w:t>3,029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19,715</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3,812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27,393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3,269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21,806</w:t>
            </w:r>
          </w:p>
        </w:tc>
        <w:tc>
          <w:tcPr>
            <w:tcW w:w="100" w:type="dxa"/>
            <w:vAlign w:val="bottom"/>
          </w:tcPr>
          <w:p>
            <w:pPr>
              <w:spacing w:after="0"/>
              <w:rPr>
                <w:sz w:val="18"/>
                <w:szCs w:val="18"/>
                <w:color w:val="auto"/>
              </w:rPr>
            </w:pPr>
          </w:p>
        </w:tc>
      </w:tr>
      <w:tr>
        <w:trPr>
          <w:trHeight w:val="20"/>
        </w:trPr>
        <w:tc>
          <w:tcPr>
            <w:tcW w:w="3260" w:type="dxa"/>
            <w:vAlign w:val="bottom"/>
            <w:shd w:val="clear" w:color="auto" w:fill="EEEEEE"/>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r>
      <w:tr>
        <w:trPr>
          <w:trHeight w:val="209"/>
        </w:trPr>
        <w:tc>
          <w:tcPr>
            <w:tcW w:w="326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74,021</w:t>
            </w:r>
          </w:p>
        </w:tc>
        <w:tc>
          <w:tcPr>
            <w:tcW w:w="4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1,076,061</w:t>
            </w:r>
          </w:p>
        </w:tc>
        <w:tc>
          <w:tcPr>
            <w:tcW w:w="124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66,865</w:t>
            </w:r>
          </w:p>
        </w:tc>
        <w:tc>
          <w:tcPr>
            <w:tcW w:w="30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811,587</w:t>
            </w: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68,764</w:t>
            </w:r>
          </w:p>
        </w:tc>
        <w:tc>
          <w:tcPr>
            <w:tcW w:w="4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912,191</w:t>
            </w:r>
          </w:p>
        </w:tc>
        <w:tc>
          <w:tcPr>
            <w:tcW w:w="100" w:type="dxa"/>
            <w:vAlign w:val="bottom"/>
            <w:shd w:val="clear" w:color="auto" w:fill="EEEEEE"/>
          </w:tcPr>
          <w:p>
            <w:pPr>
              <w:spacing w:after="0"/>
              <w:rPr>
                <w:sz w:val="18"/>
                <w:szCs w:val="18"/>
                <w:color w:val="auto"/>
              </w:rPr>
            </w:pPr>
          </w:p>
        </w:tc>
      </w:tr>
      <w:tr>
        <w:trPr>
          <w:trHeight w:val="20"/>
        </w:trPr>
        <w:tc>
          <w:tcPr>
            <w:tcW w:w="32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186"/>
        </w:trPr>
        <w:tc>
          <w:tcPr>
            <w:tcW w:w="3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3260" w:type="dxa"/>
            <w:vAlign w:val="bottom"/>
            <w:shd w:val="clear" w:color="auto" w:fill="EEEEEE"/>
          </w:tcPr>
          <w:p>
            <w:pPr>
              <w:spacing w:after="0"/>
              <w:rPr>
                <w:sz w:val="20"/>
                <w:szCs w:val="20"/>
                <w:color w:val="auto"/>
              </w:rPr>
            </w:pPr>
            <w:r>
              <w:rPr>
                <w:rFonts w:ascii="Arial" w:cs="Arial" w:eastAsia="Arial" w:hAnsi="Arial"/>
                <w:sz w:val="16"/>
                <w:szCs w:val="16"/>
                <w:color w:val="auto"/>
              </w:rPr>
              <w:t>Managed portfolio (excluding originated and</w:t>
            </w:r>
          </w:p>
        </w:tc>
        <w:tc>
          <w:tcPr>
            <w:tcW w:w="11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1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9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r>
      <w:tr>
        <w:trPr>
          <w:trHeight w:val="212"/>
        </w:trPr>
        <w:tc>
          <w:tcPr>
            <w:tcW w:w="3260" w:type="dxa"/>
            <w:vAlign w:val="bottom"/>
            <w:shd w:val="clear" w:color="auto" w:fill="EEEEEE"/>
          </w:tcPr>
          <w:p>
            <w:pPr>
              <w:ind w:left="180"/>
              <w:spacing w:after="0"/>
              <w:rPr>
                <w:sz w:val="20"/>
                <w:szCs w:val="20"/>
                <w:color w:val="auto"/>
              </w:rPr>
            </w:pPr>
            <w:r>
              <w:rPr>
                <w:rFonts w:ascii="Arial" w:cs="Arial" w:eastAsia="Arial" w:hAnsi="Arial"/>
                <w:sz w:val="16"/>
                <w:szCs w:val="16"/>
                <w:color w:val="auto"/>
              </w:rPr>
              <w:t>owned by 3rd parties)</w:t>
            </w:r>
          </w:p>
        </w:tc>
        <w:tc>
          <w:tcPr>
            <w:tcW w:w="11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166,370</w:t>
            </w:r>
          </w:p>
        </w:tc>
        <w:tc>
          <w:tcPr>
            <w:tcW w:w="4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2,687,308</w:t>
            </w:r>
          </w:p>
        </w:tc>
        <w:tc>
          <w:tcPr>
            <w:tcW w:w="124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162,296</w:t>
            </w:r>
          </w:p>
        </w:tc>
        <w:tc>
          <w:tcPr>
            <w:tcW w:w="30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2,554,855</w:t>
            </w: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154,151</w:t>
            </w:r>
          </w:p>
        </w:tc>
        <w:tc>
          <w:tcPr>
            <w:tcW w:w="4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2,209,430</w:t>
            </w:r>
          </w:p>
        </w:tc>
        <w:tc>
          <w:tcPr>
            <w:tcW w:w="100" w:type="dxa"/>
            <w:vAlign w:val="bottom"/>
            <w:shd w:val="clear" w:color="auto" w:fill="EEEEEE"/>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Table excludes portfolios originated and owned by third parties</w:t>
      </w:r>
    </w:p>
    <w:p>
      <w:pPr>
        <w:spacing w:after="0" w:line="21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Since 2019, we have been able to reduce extensions by working with our servicing staff to be more selective in granting extensions including, where appropriate, to exhaust all possibilities of payment by the customer before granting an extension. However, as delinquency rates have risen, so has the average number of extensions granted.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Non-Accrual Receivables</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for contracts that are greater than 90 days past due.</w:t>
      </w:r>
    </w:p>
    <w:p>
      <w:pPr>
        <w:spacing w:after="0" w:line="19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92"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68"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Net cash provided by operating activities for the six-month period ended June 30, 2023 was $120.7 million, a decrease of $1.0 million, compared to net cash provided by operating activities for the six-month period ended June 30, 2022 of $119.7 million. Net cash from operating activities is generally provided by net income from operations adjusted for significant non-cash items such as our provision for credit losses and marks to finance receivables measured at fair value.</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Net cash used in investing activities was $193.1 million for the six months ended June 30, 2023 compared to $398.4 million in the prior year period. Net cash used in investing activities generally relates to new purchases of automobile contracts net of principal payments and other proceeds received during the period. Purchases of finance receivables excluding acquisition fees were $658.0 million and $904.5 million during the first six months of 2023 and 2022, respectively.</w:t>
      </w:r>
    </w:p>
    <w:p>
      <w:pPr>
        <w:spacing w:after="0" w:line="187"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Net cash provided by financing activities for the six months ended June 30, 2023 was $64.8 million compared to $270.5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six months of 2023, we issued $657.7 million in new securitization trust debt compared to $712.4 million for the same period in 2022. We repaid $541.0 million in securitization trust debt in the six months ended June 30, 2023 compared to repayments of securitization trust debt of $536.8 million in the prior year period. In the six months ended June 30, 2023, we had net repayments on warehouse lines of credit of $41.0 million, compared to net advances from warehouse lines of credit of $124.6 million in the prior year’s period.</w:t>
      </w:r>
    </w:p>
    <w:p>
      <w:pPr>
        <w:spacing w:after="0" w:line="195" w:lineRule="exact"/>
        <w:rPr>
          <w:sz w:val="20"/>
          <w:szCs w:val="20"/>
          <w:color w:val="auto"/>
        </w:rPr>
      </w:pPr>
    </w:p>
    <w:p>
      <w:pPr>
        <w:jc w:val="both"/>
        <w:ind w:firstLine="130"/>
        <w:spacing w:after="0" w:line="301" w:lineRule="auto"/>
        <w:rPr>
          <w:sz w:val="20"/>
          <w:szCs w:val="20"/>
          <w:color w:val="auto"/>
        </w:rPr>
      </w:pPr>
      <w:r>
        <w:rPr>
          <w:rFonts w:ascii="Arial" w:cs="Arial" w:eastAsia="Arial" w:hAnsi="Arial"/>
          <w:sz w:val="16"/>
          <w:szCs w:val="16"/>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We have been dependent on warehouse credit facilities to purchase automobile contracts and our securitization transactions for long term financing of our contracts. In addition, we have accessed other sources, such as residual financings and subordinated debt in order to finance our continuing operations.</w:t>
      </w:r>
    </w:p>
    <w:p>
      <w:pPr>
        <w:spacing w:after="0" w:line="157" w:lineRule="exact"/>
        <w:rPr>
          <w:sz w:val="20"/>
          <w:szCs w:val="20"/>
          <w:color w:val="auto"/>
        </w:rPr>
      </w:pPr>
    </w:p>
    <w:p>
      <w:pPr>
        <w:jc w:val="both"/>
        <w:ind w:firstLine="130"/>
        <w:spacing w:after="0" w:line="296"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jc w:val="both"/>
        <w:ind w:firstLine="130"/>
        <w:spacing w:after="0" w:line="296" w:lineRule="auto"/>
        <w:rPr>
          <w:sz w:val="20"/>
          <w:szCs w:val="20"/>
          <w:color w:val="auto"/>
        </w:rPr>
      </w:pPr>
      <w:r>
        <w:rPr>
          <w:rFonts w:ascii="Arial" w:cs="Arial" w:eastAsia="Arial" w:hAnsi="Arial"/>
          <w:sz w:val="16"/>
          <w:szCs w:val="16"/>
          <w:color w:val="auto"/>
        </w:rPr>
        <w:t>We are and may in the future be limited in our ability to purchase automobile contracts due to limits on our capital. As of June 30, 2023, we had unrestricted cash of $7.1 million and $154.7 million aggregate available borrowings under our two warehouse credit facilities (assuming the availability of sufficient eligible collateral). As of June 30, 2023, we had approximately $23.5 million of such eligible collateral. Our plans to manage our liquidity include maintaining our rate of automobile contract purchases at a level that matches our available capital, and, as appropriate, minimizing our operating costs. During the six-month period ended June 30, 2023, we completed two securitizations aggregating $657.7 million of notes sold.</w:t>
      </w:r>
    </w:p>
    <w:p>
      <w:pPr>
        <w:spacing w:after="0" w:line="161"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92" w:lineRule="exact"/>
        <w:rPr>
          <w:sz w:val="20"/>
          <w:szCs w:val="20"/>
          <w:color w:val="auto"/>
        </w:rPr>
      </w:pPr>
    </w:p>
    <w:p>
      <w:pPr>
        <w:jc w:val="both"/>
        <w:ind w:firstLine="130"/>
        <w:spacing w:after="0" w:line="275" w:lineRule="auto"/>
        <w:rPr>
          <w:sz w:val="20"/>
          <w:szCs w:val="20"/>
          <w:color w:val="auto"/>
        </w:rPr>
      </w:pPr>
      <w:r>
        <w:rPr>
          <w:rFonts w:ascii="Arial" w:cs="Arial" w:eastAsia="Arial" w:hAnsi="Arial"/>
          <w:sz w:val="17"/>
          <w:szCs w:val="17"/>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June 30, 2023, we were in compliance with all such financial covenants.</w:t>
      </w:r>
    </w:p>
    <w:p>
      <w:pPr>
        <w:spacing w:after="0" w:line="176"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We have and will continue to have a substantial amount of indebtedness. At June 30, 2023, we had approximately $2,541.3 million of debt outstanding. Such debt consisted primarily of $2,225.1 million of securitization trust debt and $245.3 million of debt from warehouse lines of credit. Our securitization trust debt has increased by $116.3 million while our warehouse lines of credit debt has decreased by $40.0 million since December 31, 2022 (each net of deferred financing costs). Since 2005, we have offered renewable subordinated notes to the public on a continuous basis, and such notes have maturities that range from six months to 10 years. We had $21.2 million and $25.3 million in subordinated renewable notes outstanding at June 30, 2023 and December 31, 2022, respectively. On June 30, 2021, we completed a $50.0 million securitization of residual interests from other previously issued securitizations. As of June 30, 2023, all $50.0 million of this debt remains outstanding.</w:t>
      </w:r>
    </w:p>
    <w:p>
      <w:pPr>
        <w:spacing w:after="0" w:line="177" w:lineRule="exact"/>
        <w:rPr>
          <w:sz w:val="20"/>
          <w:szCs w:val="20"/>
          <w:color w:val="auto"/>
        </w:rPr>
      </w:pPr>
    </w:p>
    <w:p>
      <w:pPr>
        <w:jc w:val="both"/>
        <w:ind w:firstLine="130"/>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6"/>
          <w:szCs w:val="16"/>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Our valuation of receivables measured at fair value is a forward-looking statement, as it is dependent, among other things, on our estimates of cash to be received in the future with respect to such receivables. Each of the factors listed above as affecting charge-offs and recovery rates could have a similar effect on cash to be received in the future with respect to receivables measured at fair value.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 The factors identified in this and other reports as “Risk Factors” could affect our revenues, expenses, liquidity and financial condition, and the timing and amount of cash received with respect to our automobile contracts.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(Denesh Bharwani)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remind the reader that risk factors are set forth in Item 1A of our report on Form 10-K, filed with the U.S. Securities and Exchange Commission on March 15, 2023. Where we are aware of material changes to such risk factors as previously disclosed, we set forth below an updated discussion of such risks. The reader should note that the other risks identified in our report on Form 10-K remain applicable.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substantial indebtedness.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and will continue to have a substantial amount of indebtedness. At June 30, 2023, we had approximately $2,541.3 million of debt outstanding. Such debt consisted primarily of $2,225.1 million of securitization trust debt and $245.3 million of debt from warehouse lines of credit. Our securitization trust debt has increased by $116.3 million while our warehouse lines of credit debt has decreased by $40.0 million since December 31, 2022 (each net of deferred financing costs). Since 2005, we have offered renewable subordinated notes to the public on a continuous basis, and such notes have maturities that range from six months to 10 years. We had $21.2 million and $25.3 million in subordinated renewable notes outstanding at June 30, 2023 and December 31, 2022, respectively. On June 30, 2021, we completed a $50.0 million securitization of residual interests from other previously issued securitizations. As of June 30, 2023, all $50.0 million of this debt remains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indebtedness could adversely affect our financial condition by, among other things:</w:t>
      </w:r>
    </w:p>
    <w:p>
      <w:pPr>
        <w:spacing w:after="0" w:line="225" w:lineRule="exact"/>
        <w:rPr>
          <w:sz w:val="20"/>
          <w:szCs w:val="20"/>
          <w:color w:val="auto"/>
        </w:rPr>
      </w:pPr>
    </w:p>
    <w:p>
      <w:pPr>
        <w:ind w:left="780" w:hanging="254"/>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7" w:lineRule="exact"/>
        <w:rPr>
          <w:rFonts w:ascii="Arial" w:cs="Arial" w:eastAsia="Arial" w:hAnsi="Arial"/>
          <w:sz w:val="18"/>
          <w:szCs w:val="18"/>
          <w:color w:val="auto"/>
        </w:rPr>
      </w:pPr>
    </w:p>
    <w:p>
      <w:pPr>
        <w:ind w:left="780" w:hanging="254"/>
        <w:spacing w:after="0" w:line="277"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spacing w:after="0" w:line="62" w:lineRule="exact"/>
        <w:rPr>
          <w:rFonts w:ascii="Arial" w:cs="Arial" w:eastAsia="Arial" w:hAnsi="Arial"/>
          <w:sz w:val="18"/>
          <w:szCs w:val="18"/>
          <w:color w:val="auto"/>
        </w:rPr>
      </w:pPr>
    </w:p>
    <w:p>
      <w:pPr>
        <w:ind w:left="780" w:hanging="254"/>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6"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or inability to obtain necessary financing, and the terms of any such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interest rates, especially as applicable to securitization trust debt;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of future provisioning for receivables losses;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levels of actual losses on receivables;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requirements.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Forward-looking statements in this report also include our recorded figures representing allowances for remaining expected lifetime credit losses, our markdown of the recorded value for the portion of our portfolio accounted for at fair value, our charge to the provision for credit losses for the our legacy portfolio, our estimates of fair value (most significantly for our receivables accounted for at fair value), our entries offsetting the preceding, and figures derived from any of the preceding. In each case, such figures are forward-looking statements because they are dependent on our estimates of cash to be received and losses to be incurred in the future. The accuracy of such estimates may be adversely affected by various factors, which include (in addition to risks relating to the COVD-19 pandemic and to the economy generally) the following: possible increased delinquencies; repossessions and losses on retail installment contracts; incorrect prepayment speed and/or discount rate assumptions; possible unavailability of qualified personnel, which could adversely affect our ability to service our portfolio; possible increases in the rate of consumer bankruptcy filings, which could adversely affect our rights to collect payments from our portfolio; other changes in government regulations affecting consumer credit; possible declines in the market price for used vehicles, which could adversely affect our realization upon repossessed vehicles; and economic conditions in geographic areas in which the Company's business is concentrated. The accuracy of such estimates may also be affected by the effects of the COVID-19 pandemic and of governmental responses to said pandemic, which have included prohibitions on certain means of enforcement of receivables, and may include additional restrictions, as yet unknown, in the future. Any or all of such factors also may affect our future financial results, as to which there can be no assurance. Any implication that past results or past consecutive earnings are indicative of future results or future earnings is disclaimed, and the reader should draw no such inference. Factors such as those identified above in relation to losses to be incurred in the future may affect future performance.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2023, we repurchased 301,017 shares from existing shareholders, as reflected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w w:val="99"/>
              </w:rPr>
              <w:t>Approximate Dollar</w:t>
            </w:r>
          </w:p>
        </w:tc>
      </w:tr>
      <w:tr>
        <w:trPr>
          <w:trHeight w:val="216"/>
        </w:trPr>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Total Number of</w:t>
            </w: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w w:val="95"/>
              </w:rPr>
              <w:t>Value of Shares that</w:t>
            </w:r>
          </w:p>
        </w:tc>
      </w:tr>
      <w:tr>
        <w:trPr>
          <w:trHeight w:val="216"/>
        </w:trPr>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Shares Purchased</w:t>
            </w: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Total Number of</w:t>
            </w:r>
          </w:p>
        </w:tc>
        <w:tc>
          <w:tcPr>
            <w:tcW w:w="24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Average</w:t>
            </w:r>
          </w:p>
        </w:tc>
        <w:tc>
          <w:tcPr>
            <w:tcW w:w="32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 Under</w:t>
            </w:r>
          </w:p>
        </w:tc>
      </w:tr>
      <w:tr>
        <w:trPr>
          <w:trHeight w:val="229"/>
        </w:trPr>
        <w:tc>
          <w:tcPr>
            <w:tcW w:w="3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9"/>
                <w:szCs w:val="19"/>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Price Paid</w:t>
            </w:r>
          </w:p>
        </w:tc>
        <w:tc>
          <w:tcPr>
            <w:tcW w:w="320" w:type="dxa"/>
            <w:vAlign w:val="bottom"/>
          </w:tcPr>
          <w:p>
            <w:pPr>
              <w:spacing w:after="0"/>
              <w:rPr>
                <w:sz w:val="19"/>
                <w:szCs w:val="19"/>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Announced Plans or</w:t>
            </w:r>
          </w:p>
        </w:tc>
        <w:tc>
          <w:tcPr>
            <w:tcW w:w="100" w:type="dxa"/>
            <w:vAlign w:val="bottom"/>
          </w:tcPr>
          <w:p>
            <w:pPr>
              <w:spacing w:after="0"/>
              <w:rPr>
                <w:sz w:val="19"/>
                <w:szCs w:val="19"/>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3600" w:type="dxa"/>
            <w:vAlign w:val="bottom"/>
          </w:tcPr>
          <w:p>
            <w:pPr>
              <w:ind w:left="1440"/>
              <w:spacing w:after="0"/>
              <w:rPr>
                <w:sz w:val="20"/>
                <w:szCs w:val="20"/>
                <w:color w:val="auto"/>
              </w:rPr>
            </w:pPr>
            <w:r>
              <w:rPr>
                <w:rFonts w:ascii="Arial" w:cs="Arial" w:eastAsia="Arial" w:hAnsi="Arial"/>
                <w:sz w:val="18"/>
                <w:szCs w:val="18"/>
                <w:b w:val="1"/>
                <w:bCs w:val="1"/>
                <w:color w:val="auto"/>
              </w:rPr>
              <w:t>Period(1)</w:t>
            </w:r>
          </w:p>
        </w:tc>
        <w:tc>
          <w:tcPr>
            <w:tcW w:w="220" w:type="dxa"/>
            <w:vAlign w:val="bottom"/>
          </w:tcPr>
          <w:p>
            <w:pPr>
              <w:spacing w:after="0"/>
              <w:rPr>
                <w:sz w:val="20"/>
                <w:szCs w:val="20"/>
                <w:color w:val="auto"/>
              </w:rPr>
            </w:pPr>
          </w:p>
        </w:tc>
        <w:tc>
          <w:tcPr>
            <w:tcW w:w="19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Purchased</w:t>
            </w:r>
          </w:p>
        </w:tc>
        <w:tc>
          <w:tcPr>
            <w:tcW w:w="240" w:type="dxa"/>
            <w:vAlign w:val="bottom"/>
          </w:tcPr>
          <w:p>
            <w:pPr>
              <w:spacing w:after="0"/>
              <w:rPr>
                <w:sz w:val="20"/>
                <w:szCs w:val="20"/>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per Share</w:t>
            </w:r>
          </w:p>
        </w:tc>
        <w:tc>
          <w:tcPr>
            <w:tcW w:w="320" w:type="dxa"/>
            <w:vAlign w:val="bottom"/>
          </w:tcPr>
          <w:p>
            <w:pPr>
              <w:spacing w:after="0"/>
              <w:rPr>
                <w:sz w:val="20"/>
                <w:szCs w:val="20"/>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Programs</w:t>
            </w:r>
          </w:p>
        </w:tc>
        <w:tc>
          <w:tcPr>
            <w:tcW w:w="10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Programs (2)</w:t>
            </w:r>
          </w:p>
        </w:tc>
      </w:tr>
      <w:tr>
        <w:trPr>
          <w:trHeight w:val="209"/>
        </w:trPr>
        <w:tc>
          <w:tcPr>
            <w:tcW w:w="3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April 2023</w:t>
            </w:r>
          </w:p>
        </w:tc>
        <w:tc>
          <w:tcPr>
            <w:tcW w:w="18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158,160</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9.83</w:t>
            </w:r>
          </w:p>
        </w:tc>
        <w:tc>
          <w:tcPr>
            <w:tcW w:w="224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158,160</w:t>
            </w:r>
          </w:p>
        </w:tc>
        <w:tc>
          <w:tcPr>
            <w:tcW w:w="100" w:type="dxa"/>
            <w:vAlign w:val="bottom"/>
            <w:shd w:val="clear" w:color="auto" w:fill="EEEEEE"/>
          </w:tcPr>
          <w:p>
            <w:pPr>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4,044,567</w:t>
            </w:r>
          </w:p>
        </w:tc>
        <w:tc>
          <w:tcPr>
            <w:tcW w:w="100" w:type="dxa"/>
            <w:vAlign w:val="bottom"/>
            <w:shd w:val="clear" w:color="auto" w:fill="EEEEEE"/>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May 2023</w:t>
            </w:r>
          </w:p>
        </w:tc>
        <w:tc>
          <w:tcPr>
            <w:tcW w:w="1820" w:type="dxa"/>
            <w:vAlign w:val="bottom"/>
            <w:gridSpan w:val="3"/>
          </w:tcPr>
          <w:p>
            <w:pPr>
              <w:jc w:val="right"/>
              <w:ind w:right="20"/>
              <w:spacing w:after="0"/>
              <w:rPr>
                <w:sz w:val="20"/>
                <w:szCs w:val="20"/>
                <w:color w:val="auto"/>
              </w:rPr>
            </w:pPr>
            <w:r>
              <w:rPr>
                <w:rFonts w:ascii="Arial" w:cs="Arial" w:eastAsia="Arial" w:hAnsi="Arial"/>
                <w:sz w:val="18"/>
                <w:szCs w:val="18"/>
                <w:color w:val="auto"/>
              </w:rPr>
              <w:t>125,415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10.73</w:t>
            </w:r>
          </w:p>
        </w:tc>
        <w:tc>
          <w:tcPr>
            <w:tcW w:w="2240" w:type="dxa"/>
            <w:vAlign w:val="bottom"/>
            <w:gridSpan w:val="3"/>
          </w:tcPr>
          <w:p>
            <w:pPr>
              <w:jc w:val="right"/>
              <w:ind w:right="340"/>
              <w:spacing w:after="0"/>
              <w:rPr>
                <w:sz w:val="20"/>
                <w:szCs w:val="20"/>
                <w:color w:val="auto"/>
              </w:rPr>
            </w:pPr>
            <w:r>
              <w:rPr>
                <w:rFonts w:ascii="Arial" w:cs="Arial" w:eastAsia="Arial" w:hAnsi="Arial"/>
                <w:sz w:val="18"/>
                <w:szCs w:val="18"/>
                <w:color w:val="auto"/>
              </w:rPr>
              <w:t>125,415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2,699,239</w:t>
            </w:r>
          </w:p>
        </w:tc>
        <w:tc>
          <w:tcPr>
            <w:tcW w:w="100" w:type="dxa"/>
            <w:vAlign w:val="bottom"/>
          </w:tcPr>
          <w:p>
            <w:pPr>
              <w:spacing w:after="0"/>
              <w:rPr>
                <w:sz w:val="18"/>
                <w:szCs w:val="18"/>
                <w:color w:val="auto"/>
              </w:rPr>
            </w:pPr>
          </w:p>
        </w:tc>
      </w:tr>
      <w:tr>
        <w:trPr>
          <w:trHeight w:val="230"/>
        </w:trPr>
        <w:tc>
          <w:tcPr>
            <w:tcW w:w="3600" w:type="dxa"/>
            <w:vAlign w:val="bottom"/>
            <w:shd w:val="clear" w:color="auto" w:fill="EEEEEE"/>
          </w:tcPr>
          <w:p>
            <w:pPr>
              <w:spacing w:after="0"/>
              <w:rPr>
                <w:sz w:val="20"/>
                <w:szCs w:val="20"/>
                <w:color w:val="auto"/>
              </w:rPr>
            </w:pPr>
            <w:r>
              <w:rPr>
                <w:rFonts w:ascii="Arial" w:cs="Arial" w:eastAsia="Arial" w:hAnsi="Arial"/>
                <w:sz w:val="18"/>
                <w:szCs w:val="18"/>
                <w:color w:val="auto"/>
              </w:rPr>
              <w:t>June 2023</w:t>
            </w:r>
          </w:p>
        </w:tc>
        <w:tc>
          <w:tcPr>
            <w:tcW w:w="214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17,442</w:t>
            </w:r>
          </w:p>
        </w:tc>
        <w:tc>
          <w:tcPr>
            <w:tcW w:w="240" w:type="dxa"/>
            <w:vAlign w:val="bottom"/>
            <w:shd w:val="clear" w:color="auto" w:fill="EEEEEE"/>
          </w:tcPr>
          <w:p>
            <w:pPr>
              <w:spacing w:after="0"/>
              <w:rPr>
                <w:sz w:val="19"/>
                <w:szCs w:val="19"/>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11.62</w:t>
            </w:r>
          </w:p>
        </w:tc>
        <w:tc>
          <w:tcPr>
            <w:tcW w:w="224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17,442</w:t>
            </w:r>
          </w:p>
        </w:tc>
        <w:tc>
          <w:tcPr>
            <w:tcW w:w="100" w:type="dxa"/>
            <w:vAlign w:val="bottom"/>
            <w:shd w:val="clear" w:color="auto" w:fill="EEEEEE"/>
          </w:tcPr>
          <w:p>
            <w:pPr>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2,496,497</w:t>
            </w:r>
          </w:p>
        </w:tc>
        <w:tc>
          <w:tcPr>
            <w:tcW w:w="100" w:type="dxa"/>
            <w:vAlign w:val="bottom"/>
            <w:shd w:val="clear" w:color="auto" w:fill="EEEEEE"/>
          </w:tcPr>
          <w:p>
            <w:pPr>
              <w:spacing w:after="0"/>
              <w:rPr>
                <w:sz w:val="19"/>
                <w:szCs w:val="19"/>
                <w:color w:val="auto"/>
              </w:rPr>
            </w:pP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301,017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3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301,017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9" w:lineRule="exact"/>
        <w:rPr>
          <w:rFonts w:ascii="Arial" w:cs="Arial" w:eastAsia="Arial" w:hAnsi="Arial"/>
          <w:sz w:val="18"/>
          <w:szCs w:val="18"/>
          <w:i w:val="1"/>
          <w:iCs w:val="1"/>
          <w:color w:val="auto"/>
        </w:rPr>
      </w:pPr>
    </w:p>
    <w:p>
      <w:pPr>
        <w:jc w:val="both"/>
        <w:ind w:left="660" w:hanging="328"/>
        <w:spacing w:after="0" w:line="255"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Through June 30, 2023, our board of directors had authorized the purchase of up to $103.2 million of our outstanding securities, under a program first announced in our annual report for the year 2002, filed on June 26, 2003. All purchases described in the table above were under the program announced in June 2003, which has no fixed expiration date.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with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jc w:val="right"/>
              <w:ind w:right="950"/>
              <w:spacing w:after="0"/>
              <w:rPr>
                <w:sz w:val="20"/>
                <w:szCs w:val="20"/>
                <w:color w:val="auto"/>
              </w:rPr>
            </w:pPr>
            <w:r>
              <w:rPr>
                <w:rFonts w:ascii="Arial" w:cs="Arial" w:eastAsia="Arial" w:hAnsi="Arial"/>
                <w:sz w:val="18"/>
                <w:szCs w:val="18"/>
                <w:color w:val="auto"/>
                <w:w w:val="85"/>
              </w:rPr>
              <w:t>4.14</w:t>
            </w:r>
          </w:p>
        </w:tc>
        <w:tc>
          <w:tcPr>
            <w:tcW w:w="9880" w:type="dxa"/>
            <w:vAlign w:val="bottom"/>
            <w:gridSpan w:val="2"/>
          </w:tcPr>
          <w:p>
            <w:pPr>
              <w:spacing w:after="0"/>
              <w:rPr>
                <w:sz w:val="20"/>
                <w:szCs w:val="20"/>
                <w:color w:val="auto"/>
              </w:rPr>
            </w:pPr>
            <w:r>
              <w:rPr>
                <w:rFonts w:ascii="Arial" w:cs="Arial" w:eastAsia="Arial" w:hAnsi="Arial"/>
                <w:sz w:val="18"/>
                <w:szCs w:val="18"/>
                <w:color w:val="auto"/>
                <w:w w:val="92"/>
              </w:rPr>
              <w:t>Instruments defining the rights of holders of long-term debt of certain consolidated subsidiaries of the registrant are omitted pursuant to</w:t>
            </w:r>
          </w:p>
        </w:tc>
      </w:tr>
      <w:tr>
        <w:trPr>
          <w:trHeight w:val="216"/>
        </w:trPr>
        <w:tc>
          <w:tcPr>
            <w:tcW w:w="136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w w:val="93"/>
              </w:rPr>
              <w:t>the exclusion set forth in subdivisions (b)(iv)(iii)(A) and (b)(v) of Item 601 of Regulation S-K (17 CFR 229.601). The registrant agrees</w:t>
            </w:r>
          </w:p>
        </w:tc>
      </w:tr>
      <w:tr>
        <w:trPr>
          <w:trHeight w:val="216"/>
        </w:trPr>
        <w:tc>
          <w:tcPr>
            <w:tcW w:w="136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to provide copies of such instruments to the United States Securities and Exchange Commission upon request.</w:t>
            </w:r>
          </w:p>
        </w:tc>
      </w:tr>
      <w:tr>
        <w:trPr>
          <w:trHeight w:val="190"/>
        </w:trPr>
        <w:tc>
          <w:tcPr>
            <w:tcW w:w="1360" w:type="dxa"/>
            <w:vAlign w:val="bottom"/>
          </w:tcPr>
          <w:p>
            <w:pPr>
              <w:jc w:val="right"/>
              <w:ind w:right="950"/>
              <w:spacing w:after="0" w:line="190" w:lineRule="exact"/>
              <w:rPr>
                <w:sz w:val="20"/>
                <w:szCs w:val="20"/>
                <w:color w:val="auto"/>
              </w:rPr>
            </w:pPr>
            <w:r>
              <w:rPr>
                <w:rFonts w:ascii="Arial" w:cs="Arial" w:eastAsia="Arial" w:hAnsi="Arial"/>
                <w:sz w:val="18"/>
                <w:szCs w:val="18"/>
                <w:color w:val="auto"/>
                <w:w w:val="85"/>
              </w:rPr>
              <w:t>31.1</w:t>
            </w:r>
          </w:p>
        </w:tc>
        <w:tc>
          <w:tcPr>
            <w:tcW w:w="9880" w:type="dxa"/>
            <w:vAlign w:val="bottom"/>
            <w:gridSpan w:val="2"/>
          </w:tcPr>
          <w:p>
            <w:pPr>
              <w:spacing w:after="0" w:line="190" w:lineRule="exact"/>
              <w:rPr>
                <w:sz w:val="20"/>
                <w:szCs w:val="20"/>
                <w:color w:val="auto"/>
              </w:rPr>
            </w:pPr>
            <w:r>
              <w:rPr>
                <w:rFonts w:ascii="Arial" w:cs="Arial" w:eastAsia="Arial" w:hAnsi="Arial"/>
                <w:sz w:val="18"/>
                <w:szCs w:val="18"/>
                <w:color w:val="0000EE"/>
              </w:rPr>
              <w:t>Rule 13a-14(a) Certification of the Chief Executive Officer of the registrant</w:t>
            </w:r>
            <w:r>
              <w:rPr>
                <w:rFonts w:ascii="Arial" w:cs="Arial" w:eastAsia="Arial" w:hAnsi="Arial"/>
                <w:sz w:val="18"/>
                <w:szCs w:val="18"/>
                <w:color w:val="000000"/>
              </w:rPr>
              <w:t>.</w:t>
            </w:r>
          </w:p>
        </w:tc>
      </w:tr>
      <w:tr>
        <w:trPr>
          <w:trHeight w:val="20"/>
        </w:trPr>
        <w:tc>
          <w:tcPr>
            <w:tcW w:w="1360" w:type="dxa"/>
            <w:vAlign w:val="bottom"/>
          </w:tcPr>
          <w:p>
            <w:pPr>
              <w:spacing w:after="0" w:line="20" w:lineRule="exact"/>
              <w:rPr>
                <w:sz w:val="1"/>
                <w:szCs w:val="1"/>
                <w:color w:val="auto"/>
              </w:rPr>
            </w:pPr>
          </w:p>
        </w:tc>
        <w:tc>
          <w:tcPr>
            <w:tcW w:w="5400" w:type="dxa"/>
            <w:vAlign w:val="bottom"/>
            <w:shd w:val="clear" w:color="auto" w:fill="0000EE"/>
          </w:tcPr>
          <w:p>
            <w:pPr>
              <w:spacing w:after="0" w:line="20" w:lineRule="exact"/>
              <w:rPr>
                <w:sz w:val="1"/>
                <w:szCs w:val="1"/>
                <w:color w:val="auto"/>
              </w:rPr>
            </w:pPr>
          </w:p>
        </w:tc>
        <w:tc>
          <w:tcPr>
            <w:tcW w:w="4480" w:type="dxa"/>
            <w:vAlign w:val="bottom"/>
            <w:tcBorders>
              <w:left w:val="single" w:sz="8" w:color="0000EE"/>
            </w:tcBorders>
          </w:tcPr>
          <w:p>
            <w:pPr>
              <w:spacing w:after="0" w:line="20" w:lineRule="exact"/>
              <w:rPr>
                <w:sz w:val="1"/>
                <w:szCs w:val="1"/>
                <w:color w:val="auto"/>
              </w:rPr>
            </w:pPr>
          </w:p>
        </w:tc>
      </w:tr>
      <w:tr>
        <w:trPr>
          <w:trHeight w:val="196"/>
        </w:trPr>
        <w:tc>
          <w:tcPr>
            <w:tcW w:w="1360" w:type="dxa"/>
            <w:vAlign w:val="bottom"/>
          </w:tcPr>
          <w:p>
            <w:pPr>
              <w:jc w:val="right"/>
              <w:ind w:right="950"/>
              <w:spacing w:after="0" w:line="196" w:lineRule="exact"/>
              <w:rPr>
                <w:sz w:val="20"/>
                <w:szCs w:val="20"/>
                <w:color w:val="auto"/>
              </w:rPr>
            </w:pPr>
            <w:r>
              <w:rPr>
                <w:rFonts w:ascii="Arial" w:cs="Arial" w:eastAsia="Arial" w:hAnsi="Arial"/>
                <w:sz w:val="18"/>
                <w:szCs w:val="18"/>
                <w:color w:val="auto"/>
                <w:w w:val="85"/>
              </w:rPr>
              <w:t>31.2</w:t>
            </w:r>
          </w:p>
        </w:tc>
        <w:tc>
          <w:tcPr>
            <w:tcW w:w="9880" w:type="dxa"/>
            <w:vAlign w:val="bottom"/>
            <w:gridSpan w:val="2"/>
          </w:tcPr>
          <w:p>
            <w:pPr>
              <w:spacing w:after="0" w:line="196" w:lineRule="exact"/>
              <w:rPr>
                <w:sz w:val="20"/>
                <w:szCs w:val="20"/>
                <w:color w:val="auto"/>
              </w:rPr>
            </w:pPr>
            <w:r>
              <w:rPr>
                <w:rFonts w:ascii="Arial" w:cs="Arial" w:eastAsia="Arial" w:hAnsi="Arial"/>
                <w:sz w:val="18"/>
                <w:szCs w:val="18"/>
                <w:color w:val="0000EE"/>
              </w:rPr>
              <w:t>Rule 13a-14(a) Certification of the Chief Financial Officer of the registrant</w:t>
            </w:r>
            <w:r>
              <w:rPr>
                <w:rFonts w:ascii="Arial" w:cs="Arial" w:eastAsia="Arial" w:hAnsi="Arial"/>
                <w:sz w:val="18"/>
                <w:szCs w:val="18"/>
                <w:color w:val="000000"/>
              </w:rPr>
              <w:t>.</w:t>
            </w:r>
          </w:p>
        </w:tc>
      </w:tr>
      <w:tr>
        <w:trPr>
          <w:trHeight w:val="20"/>
        </w:trPr>
        <w:tc>
          <w:tcPr>
            <w:tcW w:w="1360" w:type="dxa"/>
            <w:vAlign w:val="bottom"/>
          </w:tcPr>
          <w:p>
            <w:pPr>
              <w:spacing w:after="0" w:line="20" w:lineRule="exact"/>
              <w:rPr>
                <w:sz w:val="1"/>
                <w:szCs w:val="1"/>
                <w:color w:val="auto"/>
              </w:rPr>
            </w:pPr>
          </w:p>
        </w:tc>
        <w:tc>
          <w:tcPr>
            <w:tcW w:w="5400" w:type="dxa"/>
            <w:vAlign w:val="bottom"/>
            <w:shd w:val="clear" w:color="auto" w:fill="0000EE"/>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bl>
    <w:p>
      <w:pPr>
        <w:spacing w:after="0" w:line="13" w:lineRule="exact"/>
        <w:rPr>
          <w:sz w:val="20"/>
          <w:szCs w:val="20"/>
          <w:color w:val="auto"/>
        </w:rPr>
      </w:pPr>
    </w:p>
    <w:p>
      <w:pPr>
        <w:ind w:left="1360" w:hanging="1352"/>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0000EE"/>
        </w:rPr>
        <w:t>Section 1350 Certifications</w:t>
      </w:r>
      <w:r>
        <w:rPr>
          <w:rFonts w:ascii="Arial" w:cs="Arial" w:eastAsia="Arial" w:hAnsi="Arial"/>
          <w:sz w:val="18"/>
          <w:szCs w:val="18"/>
          <w:color w:val="000000"/>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220" w:type="dxa"/>
            <w:vAlign w:val="bottom"/>
          </w:tcPr>
          <w:p>
            <w:pPr>
              <w:ind w:left="340"/>
              <w:spacing w:after="0"/>
              <w:rPr>
                <w:sz w:val="20"/>
                <w:szCs w:val="20"/>
                <w:color w:val="auto"/>
              </w:rPr>
            </w:pPr>
            <w:r>
              <w:rPr>
                <w:rFonts w:ascii="Arial" w:cs="Arial" w:eastAsia="Arial" w:hAnsi="Arial"/>
                <w:sz w:val="18"/>
                <w:szCs w:val="18"/>
                <w:color w:val="auto"/>
                <w:w w:val="97"/>
              </w:rPr>
              <w:t>Inline XBRL Instance Document (the instance document does not appear in the Interactive Data File because its XBRL tags are</w:t>
            </w:r>
          </w:p>
        </w:tc>
      </w:tr>
      <w:tr>
        <w:trPr>
          <w:trHeight w:val="216"/>
        </w:trPr>
        <w:tc>
          <w:tcPr>
            <w:tcW w:w="1020" w:type="dxa"/>
            <w:vAlign w:val="bottom"/>
          </w:tcPr>
          <w:p>
            <w:pPr>
              <w:spacing w:after="0"/>
              <w:rPr>
                <w:sz w:val="18"/>
                <w:szCs w:val="18"/>
                <w:color w:val="auto"/>
              </w:rPr>
            </w:pPr>
          </w:p>
        </w:tc>
        <w:tc>
          <w:tcPr>
            <w:tcW w:w="10220" w:type="dxa"/>
            <w:vAlign w:val="bottom"/>
          </w:tcPr>
          <w:p>
            <w:pPr>
              <w:ind w:left="340"/>
              <w:spacing w:after="0"/>
              <w:rPr>
                <w:sz w:val="20"/>
                <w:szCs w:val="20"/>
                <w:color w:val="auto"/>
              </w:rPr>
            </w:pPr>
            <w:r>
              <w:rPr>
                <w:rFonts w:ascii="Arial" w:cs="Arial" w:eastAsia="Arial" w:hAnsi="Arial"/>
                <w:sz w:val="18"/>
                <w:szCs w:val="18"/>
                <w:color w:val="auto"/>
              </w:rPr>
              <w:t>embedded within the Inline XBRL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220" w:type="dxa"/>
            <w:vAlign w:val="bottom"/>
          </w:tcPr>
          <w:p>
            <w:pPr>
              <w:ind w:left="34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220" w:type="dxa"/>
            <w:vAlign w:val="bottom"/>
          </w:tcPr>
          <w:p>
            <w:pPr>
              <w:ind w:left="34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220" w:type="dxa"/>
            <w:vAlign w:val="bottom"/>
          </w:tcPr>
          <w:p>
            <w:pPr>
              <w:ind w:left="34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220" w:type="dxa"/>
            <w:vAlign w:val="bottom"/>
          </w:tcPr>
          <w:p>
            <w:pPr>
              <w:ind w:left="34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tcPr>
          <w:p>
            <w:pPr>
              <w:ind w:left="340"/>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360" w:hanging="1352"/>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included in exhibit 101).</w:t>
      </w:r>
    </w:p>
    <w:p>
      <w:pPr>
        <w:spacing w:after="0" w:line="210" w:lineRule="exact"/>
        <w:rPr>
          <w:rFonts w:ascii="Arial" w:cs="Arial" w:eastAsia="Arial" w:hAnsi="Arial"/>
          <w:sz w:val="18"/>
          <w:szCs w:val="18"/>
          <w:color w:val="auto"/>
        </w:rPr>
      </w:pPr>
    </w:p>
    <w:p>
      <w:pPr>
        <w:jc w:val="both"/>
        <w:ind w:firstLine="259"/>
        <w:spacing w:after="0" w:line="311" w:lineRule="auto"/>
        <w:rPr>
          <w:rFonts w:ascii="Arial" w:cs="Arial" w:eastAsia="Arial" w:hAnsi="Arial"/>
          <w:sz w:val="18"/>
          <w:szCs w:val="18"/>
          <w:color w:val="auto"/>
        </w:rPr>
      </w:pPr>
      <w:r>
        <w:rPr>
          <w:rFonts w:ascii="Arial" w:cs="Arial" w:eastAsia="Arial" w:hAnsi="Arial"/>
          <w:sz w:val="16"/>
          <w:szCs w:val="16"/>
          <w:color w:val="auto"/>
        </w:rPr>
        <w:t>* 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duly caused this report to be signed on its behalf by the undersigned thereunto duly authorized.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CONSUMER PORTFOLIO SERVICES,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CHARLES E. BRADLEY, JR.</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Charles E. Bradley, Jr.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DENESH BHARWANI</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Denesh Bharwani</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2023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2"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1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4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4"/>
        <w:spacing w:after="0" w:line="308" w:lineRule="auto"/>
        <w:tabs>
          <w:tab w:leader="none" w:pos="938"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3" w:lineRule="auto"/>
        <w:tabs>
          <w:tab w:leader="none" w:pos="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89"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897"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31"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358775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87750" cy="215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 Chief Executive Officer</w:t>
      </w:r>
    </w:p>
    <w:p>
      <w:pPr>
        <w:sectPr>
          <w:pgSz w:w="11900" w:h="16838" w:orient="portrait"/>
          <w:cols w:equalWidth="0" w:num="1">
            <w:col w:w="11240"/>
          </w:cols>
          <w:pgMar w:left="320" w:top="121" w:right="339" w:bottom="1440" w:gutter="0" w:footer="0" w:header="0"/>
        </w:sectPr>
      </w:pPr>
    </w:p>
    <w:bookmarkStart w:id="49" w:name="page50"/>
    <w:bookmarkEnd w:id="49"/>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Denesh Bharwani,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2023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2"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1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4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4"/>
        <w:spacing w:after="0" w:line="308" w:lineRule="auto"/>
        <w:tabs>
          <w:tab w:leader="none" w:pos="938"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3" w:lineRule="auto"/>
        <w:tabs>
          <w:tab w:leader="none" w:pos="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89"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897"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31"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DENESH BHARWANI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358775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87750" cy="209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Denesh Bharwani, Chief Financial Officer</w:t>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Consumer Portfolio Services, Inc. (the “Company”) for the quarterly period ended June 30, 2023, as filed with the Securities and Exchange Commission on the date hereof (the “Report”), Charles E. Bradley, Jr., as Chief Executive Officer of the Company, and Denesh Bharwani, as Chief Financial Officer of the Company, each hereby certifies, pursuant to 18 U.S.C. §1350, as adopted pursuant to §906 of the Sarbanes-Oxley Act of 2002, that:</w:t>
      </w:r>
    </w:p>
    <w:p>
      <w:pPr>
        <w:spacing w:after="0" w:line="187" w:lineRule="exact"/>
        <w:rPr>
          <w:sz w:val="20"/>
          <w:szCs w:val="20"/>
          <w:color w:val="auto"/>
        </w:rPr>
      </w:pPr>
    </w:p>
    <w:p>
      <w:pPr>
        <w:ind w:left="680" w:hanging="348"/>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120" w:firstLine="332"/>
        <w:spacing w:after="0" w:line="500" w:lineRule="auto"/>
        <w:tabs>
          <w:tab w:leader="none" w:pos="66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8, 2023</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DENESH BHARWANI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358775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87750" cy="209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Denesh Bharwani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lowerRoman"/>
      <w:start w:val="3"/>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3"/>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4"/>
    </w:lvl>
  </w:abstractNum>
  <w:abstractNum w:abstractNumId="7">
    <w:nsid w:val="6B68079A"/>
    <w:multiLevelType w:val="hybridMultilevel"/>
    <w:lvl w:ilvl="0">
      <w:lvlJc w:val="left"/>
      <w:lvlText w:val="(%1)"/>
      <w:numFmt w:val="decimal"/>
      <w:start w:val="5"/>
    </w:lvl>
  </w:abstractNum>
  <w:abstractNum w:abstractNumId="8">
    <w:nsid w:val="4E6AFB66"/>
    <w:multiLevelType w:val="hybridMultilevel"/>
    <w:lvl w:ilvl="0">
      <w:lvlJc w:val="left"/>
      <w:lvlText w:val="(%1)"/>
      <w:numFmt w:val="decimal"/>
      <w:start w:val="6"/>
    </w:lvl>
  </w:abstractNum>
  <w:abstractNum w:abstractNumId="9">
    <w:nsid w:val="25E45D32"/>
    <w:multiLevelType w:val="hybridMultilevel"/>
    <w:lvl w:ilvl="0">
      <w:lvlJc w:val="left"/>
      <w:lvlText w:val="(%1)"/>
      <w:numFmt w:val="decimal"/>
      <w:start w:val="7"/>
    </w:lvl>
  </w:abstractNum>
  <w:abstractNum w:abstractNumId="10">
    <w:nsid w:val="519B500D"/>
    <w:multiLevelType w:val="hybridMultilevel"/>
    <w:lvl w:ilvl="0">
      <w:lvlJc w:val="left"/>
      <w:lvlText w:val="(%1)"/>
      <w:numFmt w:val="decimal"/>
      <w:start w:val="8"/>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2"/>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32"/>
    </w:lvl>
  </w:abstractNum>
  <w:abstractNum w:abstractNumId="20">
    <w:nsid w:val="2443A858"/>
    <w:multiLevelType w:val="hybridMultilevel"/>
    <w:lvl w:ilvl="0">
      <w:lvlJc w:val="left"/>
      <w:lvlText w:val="%1"/>
      <w:numFmt w:val="decimal"/>
      <w:start w:val="104"/>
    </w:lvl>
    <w:lvl w:ilvl="1">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2023-08-26T09:34:11Z</dcterms:created>
  <dcterms:modified xsi:type="dcterms:W3CDTF">2023-08-26T09:34:11Z</dcterms:modified>
</cp:coreProperties>
</file>