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ps_8k.htm"/>
      <w:bookmarkStart w:id="1" w:name="kscps_8k"/>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w:t>
      </w:r>
      <w:bookmarkStart w:id="2" w:name="xdx_900_edei--DocumentType_c20260804__20"/>
      <w:bookmarkEnd w:id="2"/>
      <w:r>
        <w:rPr>
          <w:rFonts w:ascii="Times New Roman;Times;Serif" w:hAnsi="Times New Roman;Times;Serif"/>
          <w:b w:val="false"/>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August 4, 2026</w:t>
      </w:r>
    </w:p>
    <w:p>
      <w:pPr>
        <w:pStyle w:val="TextBody"/>
        <w:bidi w:val="0"/>
        <w:spacing w:before="0" w:after="0"/>
        <w:ind w:left="0" w:right="0" w:hanging="0"/>
        <w:jc w:val="left"/>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75"/>
        <w:gridCol w:w="4865"/>
        <w:gridCol w:w="75"/>
      </w:tblGrid>
      <w:tr>
        <w:trPr/>
        <w:tc>
          <w:tcPr>
            <w:tcW w:w="75" w:type="dxa"/>
            <w:tcBorders/>
            <w:vAlign w:val="center"/>
          </w:tcPr>
          <w:p>
            <w:pPr>
              <w:pStyle w:val="TableContents"/>
              <w:bidi w:val="0"/>
              <w:spacing w:before="0" w:after="283"/>
              <w:jc w:val="left"/>
              <w:rPr/>
            </w:pPr>
            <w:r>
              <w:rPr/>
              <w:t> </w:t>
            </w:r>
          </w:p>
        </w:tc>
        <w:tc>
          <w:tcPr>
            <w:tcW w:w="4865" w:type="dxa"/>
            <w:tcBorders>
              <w:bottom w:val="single" w:sz="8" w:space="0" w:color="000000"/>
            </w:tcBorders>
            <w:tcMar>
              <w:bottom w:w="28" w:type="dxa"/>
            </w:tcMar>
            <w:vAlign w:val="center"/>
          </w:tcPr>
          <w:p>
            <w:pPr>
              <w:pStyle w:val="TableContents"/>
              <w:bidi w:val="0"/>
              <w:spacing w:before="0" w:after="283"/>
              <w:jc w:val="center"/>
              <w:rPr>
                <w:b/>
                <w:sz w:val="24"/>
              </w:rPr>
            </w:pPr>
            <w:bookmarkStart w:id="4" w:name="xdx_908_edei--EntityRegistrantName_c2026"/>
            <w:bookmarkEnd w:id="4"/>
            <w:r>
              <w:rPr>
                <w:b/>
                <w:sz w:val="24"/>
              </w:rPr>
              <w:t>CONSUMER PORTFOLIO SERVICES,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center"/>
              <w:rPr>
                <w:sz w:val="20"/>
              </w:rPr>
            </w:pPr>
            <w:r>
              <w:rPr>
                <w:sz w:val="20"/>
              </w:rPr>
              <w:t>(Exact Name of Registrant as Specified in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jc w:val="center"/>
              <w:rPr>
                <w:caps/>
                <w:sz w:val="20"/>
                <w:u w:val="single"/>
              </w:rPr>
            </w:pPr>
            <w:bookmarkStart w:id="5" w:name="xdx_90A_edei--EntityIncorporationStateCo"/>
            <w:bookmarkEnd w:id="5"/>
            <w:r>
              <w:rPr>
                <w:caps/>
                <w:sz w:val="20"/>
                <w:u w:val="single"/>
              </w:rPr>
              <w:t>california</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u w:val="single"/>
              </w:rPr>
            </w:pPr>
            <w:bookmarkStart w:id="6" w:name="xdx_90E_edei--EntityFileNumber_c20260804"/>
            <w:bookmarkEnd w:id="6"/>
            <w:r>
              <w:rPr>
                <w:sz w:val="20"/>
                <w:u w:val="single"/>
              </w:rPr>
              <w:t>1-11416</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u w:val="single"/>
              </w:rPr>
            </w:pPr>
            <w:bookmarkStart w:id="7" w:name="xdx_909_edei--EntityTaxIdentificationNum"/>
            <w:bookmarkEnd w:id="7"/>
            <w:r>
              <w:rPr>
                <w:sz w:val="20"/>
                <w:u w:val="single"/>
              </w:rPr>
              <w:t>33-0459135</w:t>
            </w:r>
          </w:p>
        </w:tc>
      </w:tr>
      <w:tr>
        <w:trPr/>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75"/>
        <w:gridCol w:w="5090"/>
        <w:gridCol w:w="75"/>
      </w:tblGrid>
      <w:tr>
        <w:trPr/>
        <w:tc>
          <w:tcPr>
            <w:tcW w:w="75" w:type="dxa"/>
            <w:tcBorders/>
            <w:vAlign w:val="center"/>
          </w:tcPr>
          <w:p>
            <w:pPr>
              <w:pStyle w:val="TableContents"/>
              <w:bidi w:val="0"/>
              <w:spacing w:before="0" w:after="283"/>
              <w:jc w:val="left"/>
              <w:rPr/>
            </w:pPr>
            <w:r>
              <w:rPr/>
              <w:t> </w:t>
            </w:r>
          </w:p>
        </w:tc>
        <w:tc>
          <w:tcPr>
            <w:tcW w:w="5090" w:type="dxa"/>
            <w:tcBorders>
              <w:bottom w:val="single" w:sz="8" w:space="0" w:color="000000"/>
            </w:tcBorders>
            <w:tcMar>
              <w:bottom w:w="28" w:type="dxa"/>
            </w:tcMar>
            <w:vAlign w:val="center"/>
          </w:tcPr>
          <w:p>
            <w:pPr>
              <w:pStyle w:val="TableContents"/>
              <w:bidi w:val="0"/>
              <w:spacing w:before="0" w:after="283"/>
              <w:jc w:val="center"/>
              <w:rPr>
                <w:sz w:val="20"/>
              </w:rPr>
            </w:pPr>
            <w:bookmarkStart w:id="8" w:name="xdx_900_edei--EntityAddressAddressLine1_"/>
            <w:bookmarkEnd w:id="8"/>
            <w:r>
              <w:rPr>
                <w:sz w:val="20"/>
              </w:rPr>
              <w:t xml:space="preserve">3800 Howard Hughes Pkwy, </w:t>
            </w:r>
            <w:bookmarkStart w:id="9" w:name="xdx_90E_edei--EntityAddressAddressLine2_"/>
            <w:bookmarkEnd w:id="9"/>
            <w:r>
              <w:rPr>
                <w:sz w:val="20"/>
              </w:rPr>
              <w:t xml:space="preserve">Suite 1400, </w:t>
            </w:r>
            <w:bookmarkStart w:id="10" w:name="xdx_900_edei--EntityAddressCityOrTown_c2"/>
            <w:bookmarkEnd w:id="10"/>
            <w:r>
              <w:rPr>
                <w:sz w:val="20"/>
              </w:rPr>
              <w:t xml:space="preserve">Las Vegas, </w:t>
            </w:r>
            <w:bookmarkStart w:id="11" w:name="xdx_90D_edei--EntityAddressStateOrProvin"/>
            <w:bookmarkEnd w:id="11"/>
            <w:r>
              <w:rPr>
                <w:sz w:val="20"/>
              </w:rPr>
              <w:t xml:space="preserve">NV </w:t>
            </w:r>
            <w:bookmarkStart w:id="12" w:name="xdx_903_edei--EntityAddressPostalZipCode"/>
            <w:bookmarkEnd w:id="12"/>
            <w:r>
              <w:rPr>
                <w:sz w:val="20"/>
              </w:rPr>
              <w:t>89169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center"/>
              <w:rPr>
                <w:sz w:val="20"/>
              </w:rPr>
            </w:pPr>
            <w:r>
              <w:rPr>
                <w:sz w:val="20"/>
              </w:rPr>
              <w:t>(Address of Principal Executive Offices) (Zip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5_edei--CityAreaCode_c20260804__20"/>
      <w:bookmarkEnd w:id="13"/>
      <w:r>
        <w:rPr>
          <w:rFonts w:ascii="Times New Roman;Times;Serif" w:hAnsi="Times New Roman;Times;Serif"/>
          <w:b w:val="false"/>
          <w:i w:val="false"/>
          <w:caps w:val="false"/>
          <w:smallCaps w:val="false"/>
          <w:sz w:val="20"/>
        </w:rPr>
        <w:t xml:space="preserve">949) </w:t>
      </w:r>
      <w:bookmarkStart w:id="14" w:name="xdx_908_edei--LocalPhoneNumber_c20260804"/>
      <w:bookmarkEnd w:id="14"/>
      <w:r>
        <w:rPr>
          <w:rFonts w:ascii="Times New Roman;Times;Serif" w:hAnsi="Times New Roman;Times;Serif"/>
          <w:b w:val="false"/>
          <w:i w:val="false"/>
          <w:caps w:val="false"/>
          <w:smallCaps w:val="false"/>
          <w:sz w:val="20"/>
        </w:rPr>
        <w:t>753-6800</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75"/>
        <w:gridCol w:w="4880"/>
        <w:gridCol w:w="75"/>
      </w:tblGrid>
      <w:tr>
        <w:trPr/>
        <w:tc>
          <w:tcPr>
            <w:tcW w:w="75" w:type="dxa"/>
            <w:tcBorders/>
            <w:vAlign w:val="center"/>
          </w:tcPr>
          <w:p>
            <w:pPr>
              <w:pStyle w:val="TableContents"/>
              <w:bidi w:val="0"/>
              <w:spacing w:before="0" w:after="283"/>
              <w:jc w:val="left"/>
              <w:rPr/>
            </w:pPr>
            <w:r>
              <w:rPr/>
              <w:t> </w:t>
            </w:r>
          </w:p>
        </w:tc>
        <w:tc>
          <w:tcPr>
            <w:tcW w:w="4880" w:type="dxa"/>
            <w:tcBorders>
              <w:bottom w:val="single" w:sz="8" w:space="0" w:color="000000"/>
            </w:tcBorders>
            <w:tcMar>
              <w:bottom w:w="28" w:type="dxa"/>
            </w:tcMar>
            <w:vAlign w:val="center"/>
          </w:tcPr>
          <w:p>
            <w:pPr>
              <w:pStyle w:val="TableContents"/>
              <w:bidi w:val="0"/>
              <w:spacing w:before="0" w:after="283"/>
              <w:jc w:val="center"/>
              <w:rPr>
                <w:sz w:val="20"/>
              </w:rPr>
            </w:pPr>
            <w:bookmarkStart w:id="15" w:name="xdx_90A_edei--EntityInformationFormerLeg"/>
            <w:bookmarkEnd w:id="15"/>
            <w:r>
              <w:rPr>
                <w:sz w:val="20"/>
              </w:rPr>
              <w:t>Not Applicable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center"/>
              <w:rPr>
                <w:sz w:val="20"/>
              </w:rPr>
            </w:pPr>
            <w:r>
              <w:rPr>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2_edei--WrittenCommunications_c202"/>
      <w:bookmarkEnd w:id="16"/>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7_edei--SolicitingMaterial_c202608"/>
      <w:bookmarkEnd w:id="17"/>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0_edei--PreCommencementTenderOffer"/>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9" w:name="xdx_907_edei--PreCommencementIssuerTende"/>
      <w:bookmarkEnd w:id="19"/>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2390"/>
        <w:gridCol w:w="1535"/>
        <w:gridCol w:w="3905"/>
      </w:tblGrid>
      <w:tr>
        <w:trPr/>
        <w:tc>
          <w:tcPr>
            <w:tcW w:w="239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3905"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390" w:type="dxa"/>
            <w:tcBorders/>
            <w:tcMar>
              <w:bottom w:w="0" w:type="dxa"/>
            </w:tcMar>
            <w:vAlign w:val="center"/>
          </w:tcPr>
          <w:p>
            <w:pPr>
              <w:pStyle w:val="TableContents"/>
              <w:bidi w:val="0"/>
              <w:spacing w:before="0" w:after="283"/>
              <w:jc w:val="center"/>
              <w:rPr>
                <w:sz w:val="20"/>
              </w:rPr>
            </w:pPr>
            <w:bookmarkStart w:id="20" w:name="xdx_904_edei--Security12bTitle_c20260804"/>
            <w:bookmarkEnd w:id="20"/>
            <w:r>
              <w:rPr>
                <w:sz w:val="20"/>
              </w:rPr>
              <w:t>Common Stock, no par value</w:t>
            </w:r>
          </w:p>
        </w:tc>
        <w:tc>
          <w:tcPr>
            <w:tcW w:w="1535" w:type="dxa"/>
            <w:tcBorders/>
            <w:tcMar>
              <w:bottom w:w="0" w:type="dxa"/>
            </w:tcMar>
            <w:vAlign w:val="center"/>
          </w:tcPr>
          <w:p>
            <w:pPr>
              <w:pStyle w:val="TableContents"/>
              <w:bidi w:val="0"/>
              <w:spacing w:before="0" w:after="283"/>
              <w:jc w:val="center"/>
              <w:rPr>
                <w:sz w:val="20"/>
              </w:rPr>
            </w:pPr>
            <w:bookmarkStart w:id="21" w:name="xdx_906_edei--TradingSymbol_c20260804__2"/>
            <w:bookmarkEnd w:id="21"/>
            <w:r>
              <w:rPr>
                <w:sz w:val="20"/>
              </w:rPr>
              <w:t>CPSS</w:t>
            </w:r>
          </w:p>
        </w:tc>
        <w:tc>
          <w:tcPr>
            <w:tcW w:w="3905" w:type="dxa"/>
            <w:tcBorders/>
            <w:tcMar>
              <w:bottom w:w="0" w:type="dxa"/>
            </w:tcMar>
            <w:vAlign w:val="center"/>
          </w:tcPr>
          <w:p>
            <w:pPr>
              <w:pStyle w:val="TableContents"/>
              <w:bidi w:val="0"/>
              <w:spacing w:before="0" w:after="283"/>
              <w:jc w:val="center"/>
              <w:rPr>
                <w:sz w:val="20"/>
              </w:rPr>
            </w:pPr>
            <w:r>
              <w:rPr>
                <w:sz w:val="20"/>
              </w:rPr>
              <w:t xml:space="preserve">The </w:t>
            </w:r>
            <w:bookmarkStart w:id="22" w:name="xdx_902_edei--SecurityExchangeName_c2026"/>
            <w:bookmarkEnd w:id="22"/>
            <w:r>
              <w:rPr>
                <w:sz w:val="20"/>
              </w:rPr>
              <w:t>Nasdaq Stock Market LLC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A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registrant announced its earnings for the three-month and six month periods ended June 30, 2026. A copy of the announcement is attached as an exhibit to this report. As noted in the announcement, the registrant will hold a conference call on August 5, 2026 at 1:00 p.m. ET to discuss its second quarter 2026 operating results. Those wishing to participate can pre-register for the conference call at the following link https://register-conf.media-server.com/register/BI6cf5cc4ebbd04b06973dad16be4d5d43. Registered participants will receive an email containing conference call details for dial-in options.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financial statements nor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financial information are filed with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exhibit is included with this report:</w:t>
      </w:r>
    </w:p>
    <w:p>
      <w:pPr>
        <w:pStyle w:val="TextBody"/>
        <w:bidi w:val="0"/>
        <w:jc w:val="left"/>
        <w:rPr>
          <w:caps w:val="false"/>
          <w:smallCaps w:val="false"/>
        </w:rPr>
      </w:pPr>
      <w:r>
        <w:rPr>
          <w:caps w:val="false"/>
          <w:smallCaps w:val="false"/>
        </w:rPr>
        <w:t> </w:t>
      </w:r>
    </w:p>
    <w:tbl>
      <w:tblPr>
        <w:tblW w:w="6925" w:type="dxa"/>
        <w:jc w:val="left"/>
        <w:tblInd w:w="0" w:type="dxa"/>
        <w:shd w:fill="FFFFFF" w:val="clear"/>
        <w:tblLayout w:type="fixed"/>
        <w:tblCellMar>
          <w:top w:w="0" w:type="dxa"/>
          <w:left w:w="0" w:type="dxa"/>
          <w:bottom w:w="0" w:type="dxa"/>
          <w:right w:w="0" w:type="dxa"/>
        </w:tblCellMar>
      </w:tblPr>
      <w:tblGrid>
        <w:gridCol w:w="395"/>
        <w:gridCol w:w="6530"/>
      </w:tblGrid>
      <w:tr>
        <w:trPr/>
        <w:tc>
          <w:tcPr>
            <w:tcW w:w="395" w:type="dxa"/>
            <w:tcBorders/>
            <w:shd w:fill="FFFFFF" w:val="clear"/>
            <w:vAlign w:val="center"/>
          </w:tcPr>
          <w:p>
            <w:pPr>
              <w:pStyle w:val="TableContents"/>
              <w:bidi w:val="0"/>
              <w:spacing w:before="0" w:after="283"/>
              <w:jc w:val="left"/>
              <w:rPr>
                <w:sz w:val="20"/>
              </w:rPr>
            </w:pPr>
            <w:r>
              <w:rPr>
                <w:sz w:val="20"/>
              </w:rPr>
              <w:t>99.1</w:t>
            </w:r>
          </w:p>
        </w:tc>
        <w:tc>
          <w:tcPr>
            <w:tcW w:w="6530" w:type="dxa"/>
            <w:tcBorders/>
            <w:shd w:fill="FFFFFF" w:val="clear"/>
            <w:vAlign w:val="center"/>
          </w:tcPr>
          <w:p>
            <w:pPr>
              <w:pStyle w:val="TableContents"/>
              <w:bidi w:val="0"/>
              <w:spacing w:before="0" w:after="283"/>
              <w:jc w:val="left"/>
              <w:rPr/>
            </w:pPr>
            <w:hyperlink w:anchor="cps_ex9901.htm">
              <w:r>
                <w:rPr>
                  <w:rStyle w:val="InternetLink"/>
                  <w:sz w:val="20"/>
                </w:rPr>
                <w:t>News release re earnings</w:t>
              </w:r>
            </w:hyperlink>
            <w:r>
              <w:rPr>
                <w:sz w:val="20"/>
              </w:rPr>
              <w:t>.</w:t>
            </w:r>
          </w:p>
        </w:tc>
      </w:tr>
      <w:tr>
        <w:trPr/>
        <w:tc>
          <w:tcPr>
            <w:tcW w:w="395" w:type="dxa"/>
            <w:tcBorders/>
            <w:shd w:fill="FFFFFF" w:val="clear"/>
            <w:vAlign w:val="center"/>
          </w:tcPr>
          <w:p>
            <w:pPr>
              <w:pStyle w:val="TableContents"/>
              <w:bidi w:val="0"/>
              <w:spacing w:before="0" w:after="283"/>
              <w:jc w:val="left"/>
              <w:rPr>
                <w:sz w:val="20"/>
              </w:rPr>
            </w:pPr>
            <w:r>
              <w:rPr>
                <w:sz w:val="20"/>
              </w:rPr>
              <w:t>104</w:t>
            </w:r>
          </w:p>
        </w:tc>
        <w:tc>
          <w:tcPr>
            <w:tcW w:w="6530" w:type="dxa"/>
            <w:tcBorders/>
            <w:shd w:fill="FFFF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shd w:fill="FFFFFF" w:val="clear"/>
        <w:bidi w:val="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spacing w:before="0" w:after="283"/>
        <w:jc w:val="left"/>
        <w:rPr/>
      </w:pPr>
      <w:r>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865"/>
        <w:gridCol w:w="4325"/>
      </w:tblGrid>
      <w:tr>
        <w:trPr/>
        <w:tc>
          <w:tcPr>
            <w:tcW w:w="186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b/>
                <w:sz w:val="20"/>
              </w:rPr>
            </w:pPr>
            <w:r>
              <w:rPr>
                <w:b/>
                <w:sz w:val="20"/>
              </w:rPr>
              <w:t>CONSUMER PORTFOLIO SERVICES, INC.</w:t>
            </w:r>
          </w:p>
        </w:tc>
      </w:tr>
      <w:tr>
        <w:trPr/>
        <w:tc>
          <w:tcPr>
            <w:tcW w:w="186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Dated: August 4, 2026</w:t>
            </w:r>
          </w:p>
        </w:tc>
        <w:tc>
          <w:tcPr>
            <w:tcW w:w="4325" w:type="dxa"/>
            <w:tcBorders/>
            <w:vAlign w:val="center"/>
          </w:tcPr>
          <w:p>
            <w:pPr>
              <w:pStyle w:val="TableContents"/>
              <w:bidi w:val="0"/>
              <w:spacing w:before="0" w:after="283"/>
              <w:jc w:val="left"/>
              <w:rPr>
                <w:sz w:val="20"/>
              </w:rPr>
            </w:pPr>
            <w:r>
              <w:rPr>
                <w:sz w:val="20"/>
              </w:rPr>
              <w:t xml:space="preserve">By: </w:t>
            </w:r>
            <w:r>
              <w:rPr>
                <w:sz w:val="20"/>
                <w:u w:val="single"/>
              </w:rPr>
              <w:t>/s/ Denesh Bharwani                             </w:t>
            </w:r>
          </w:p>
        </w:tc>
      </w:tr>
      <w:tr>
        <w:trPr/>
        <w:tc>
          <w:tcPr>
            <w:tcW w:w="186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Denesh Bharwani</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on behalf of the registrant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right"/>
        <w:rPr>
          <w:b/>
          <w:sz w:val="20"/>
        </w:rPr>
      </w:pPr>
      <w:bookmarkStart w:id="24" w:name="cps_ex9901.htm"/>
      <w:bookmarkStart w:id="25" w:name="kscps_ex9901"/>
      <w:bookmarkEnd w:id="24"/>
      <w:bookmarkEnd w:id="25"/>
      <w:r>
        <w:rPr>
          <w:b/>
          <w:sz w:val="20"/>
        </w:rPr>
        <w:t>Exhibit 99.1</w:t>
      </w:r>
      <w:r>
        <w:br w:type="page"/>
      </w:r>
    </w:p>
    <w:p>
      <w:pPr>
        <w:pStyle w:val="TextBody"/>
        <w:bidi w:val="0"/>
        <w:jc w:val="right"/>
        <w:rPr/>
      </w:pPr>
      <w:r>
        <w:rPr/>
        <w:t> </w:t>
      </w:r>
    </w:p>
    <w:p>
      <w:pPr>
        <w:pStyle w:val="TextBody"/>
        <w:bidi w:val="0"/>
        <w:spacing w:before="0" w:after="283"/>
        <w:jc w:val="left"/>
        <w:rPr/>
      </w:pPr>
      <w:r>
        <w:rPr/>
        <w:t> </w:t>
      </w:r>
    </w:p>
    <w:tbl>
      <w:tblPr>
        <w:tblW w:w="3965" w:type="dxa"/>
        <w:jc w:val="left"/>
        <w:tblInd w:w="0" w:type="dxa"/>
        <w:tblLayout w:type="fixed"/>
        <w:tblCellMar>
          <w:top w:w="0" w:type="dxa"/>
          <w:left w:w="0" w:type="dxa"/>
          <w:bottom w:w="28" w:type="dxa"/>
          <w:right w:w="0" w:type="dxa"/>
        </w:tblCellMar>
      </w:tblPr>
      <w:tblGrid>
        <w:gridCol w:w="2430"/>
        <w:gridCol w:w="1535"/>
      </w:tblGrid>
      <w:tr>
        <w:trPr/>
        <w:tc>
          <w:tcPr>
            <w:tcW w:w="2430" w:type="dxa"/>
            <w:tcBorders>
              <w:bottom w:val="single" w:sz="8" w:space="0" w:color="000000"/>
            </w:tcBorders>
            <w:vAlign w:val="center"/>
          </w:tcPr>
          <w:p>
            <w:pPr>
              <w:pStyle w:val="TableContents"/>
              <w:bidi w:val="0"/>
              <w:spacing w:before="0" w:after="283"/>
              <w:jc w:val="left"/>
              <w:rPr/>
            </w:pPr>
            <w:r>
              <w:rPr/>
              <w:drawing>
                <wp:inline distT="0" distB="0" distL="0" distR="0">
                  <wp:extent cx="15335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3525" cy="571500"/>
                          </a:xfrm>
                          <a:prstGeom prst="rect">
                            <a:avLst/>
                          </a:prstGeom>
                        </pic:spPr>
                      </pic:pic>
                    </a:graphicData>
                  </a:graphic>
                </wp:inline>
              </w:drawing>
            </w:r>
          </w:p>
        </w:tc>
        <w:tc>
          <w:tcPr>
            <w:tcW w:w="1535" w:type="dxa"/>
            <w:tcBorders>
              <w:bottom w:val="single" w:sz="8" w:space="0" w:color="000000"/>
            </w:tcBorders>
            <w:vAlign w:val="center"/>
          </w:tcPr>
          <w:p>
            <w:pPr>
              <w:pStyle w:val="TableContents"/>
              <w:bidi w:val="0"/>
              <w:spacing w:before="0" w:after="283"/>
              <w:jc w:val="right"/>
              <w:rPr>
                <w:b/>
                <w:i/>
                <w:sz w:val="20"/>
              </w:rPr>
            </w:pPr>
            <w:r>
              <w:rPr>
                <w:b/>
                <w:i/>
                <w:sz w:val="20"/>
              </w:rPr>
              <w:t>NEWS RELEASE</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CPS ANNOUNCES SECOND QUARTER 2026 EARNINGS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22"/>
        <w:gridCol w:w="10042"/>
      </w:tblGrid>
      <w:tr>
        <w:trPr/>
        <w:tc>
          <w:tcPr>
            <w:tcW w:w="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42" w:type="dxa"/>
            <w:tcBorders/>
            <w:vAlign w:val="center"/>
          </w:tcPr>
          <w:p>
            <w:pPr>
              <w:pStyle w:val="TableContents"/>
              <w:bidi w:val="0"/>
              <w:spacing w:before="0" w:after="283"/>
              <w:jc w:val="left"/>
              <w:rPr>
                <w:sz w:val="20"/>
              </w:rPr>
            </w:pPr>
            <w:r>
              <w:rPr>
                <w:sz w:val="20"/>
              </w:rPr>
              <w:t>Revenues of $121.4 million compared to $109.8 million in the prior year period</w:t>
            </w:r>
          </w:p>
        </w:tc>
      </w:tr>
      <w:tr>
        <w:trPr/>
        <w:tc>
          <w:tcPr>
            <w:tcW w:w="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42" w:type="dxa"/>
            <w:tcBorders/>
            <w:vAlign w:val="center"/>
          </w:tcPr>
          <w:p>
            <w:pPr>
              <w:pStyle w:val="TableContents"/>
              <w:bidi w:val="0"/>
              <w:spacing w:before="0" w:after="283"/>
              <w:jc w:val="left"/>
              <w:rPr>
                <w:sz w:val="20"/>
              </w:rPr>
            </w:pPr>
            <w:r>
              <w:rPr>
                <w:sz w:val="20"/>
              </w:rPr>
              <w:t>Net income for the second quarter of 2026 increased 30% to $6.2 million</w:t>
            </w:r>
          </w:p>
        </w:tc>
      </w:tr>
      <w:tr>
        <w:trPr/>
        <w:tc>
          <w:tcPr>
            <w:tcW w:w="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42" w:type="dxa"/>
            <w:tcBorders/>
            <w:vAlign w:val="center"/>
          </w:tcPr>
          <w:p>
            <w:pPr>
              <w:pStyle w:val="TableContents"/>
              <w:bidi w:val="0"/>
              <w:spacing w:before="0" w:after="283"/>
              <w:jc w:val="left"/>
              <w:rPr>
                <w:sz w:val="20"/>
              </w:rPr>
            </w:pPr>
            <w:r>
              <w:rPr>
                <w:sz w:val="20"/>
              </w:rPr>
              <w:t>Total portfolio balance eclipsed $4 billion, finishing the second quarter at $4.31 billion</w:t>
            </w:r>
          </w:p>
        </w:tc>
      </w:tr>
      <w:tr>
        <w:trPr/>
        <w:tc>
          <w:tcPr>
            <w:tcW w:w="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42" w:type="dxa"/>
            <w:tcBorders/>
            <w:vAlign w:val="center"/>
          </w:tcPr>
          <w:p>
            <w:pPr>
              <w:pStyle w:val="TableContents"/>
              <w:bidi w:val="0"/>
              <w:spacing w:before="0" w:after="283"/>
              <w:jc w:val="left"/>
              <w:rPr>
                <w:sz w:val="20"/>
              </w:rPr>
            </w:pPr>
            <w:r>
              <w:rPr>
                <w:sz w:val="20"/>
              </w:rPr>
              <w:t>New contract purchases of $758 million in the second quarter, a 75% increase from the prior year second quarter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LAS VEGAS, NV, August 4, 2026 (GlobeNewswire) </w:t>
      </w:r>
      <w:r>
        <w:rPr>
          <w:rFonts w:ascii="Times New Roman;Times;Serif" w:hAnsi="Times New Roman;Times;Serif"/>
          <w:b w:val="false"/>
          <w:i w:val="false"/>
          <w:caps w:val="false"/>
          <w:smallCaps w:val="false"/>
          <w:sz w:val="20"/>
        </w:rPr>
        <w:t>-- Consumer Portfolio Services, Inc. (Nasdaq: CPSS) (“CPS” or the “Company”) today announced earnings of $6.2 million, or $0.27 per diluted share for its second quarter ended June 30, 2026. This represents a 30% increase in net income compared to $4.8 million in the second quarter of 2025. Earnings per diluted share increased by 35% compared to $0.20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second quarter of 2026 were $121.4 million, an increase of $11.6 million, or 10.6%, compared to $109.8 million for the second quarter of 2025. Total operating expenses for the second quarter of 2026 were $112.4 million compared to $102.8 million for the 2025 period. Pretax income for the second quarter of 2026 was $9.0 million compared to pretax income of $7.0 million, an increase of $2.0 million or 30% from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total revenues were $233.7 million, an increase of approximately $17.1 million, or 8% compared to $216.6 million for the six months ended June 30, 2025. Total operating expenses for the six months ended June 30, 2026, were $216.7 million, compared to $202.9 million for the six months ended June 30, 2025. Pretax income for the six months ended June 30, 2026, increased 24% to $17.1 million, compared to $13.8 million for the six months ended June 30, 2025. Net income and earnings per diluted share for the six months ended June 30, 2026, increased to $11.8 million and $0.50, respectively from the prior year period. This represents a 24% increase in net income and a 28% increase in earnings per diluted share over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CPS purchased $757.7 million of new contracts. This stands as a 75% increase over the $433.0 million purchased during the second quarter of 2025. The Company's receivables totaled $4.307 billion as of June 30, 2026, an increase from $3.708 billion as of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Delinquencies greater than 30 days (including repossession inventory) decreased to 12.16% of the total portfolio as of June 30, 2026, compared to 13.14% as of June 30, 2025. Annualized net charge-offs for the second quarter of 2026 were 7.28% of the average portfolio as compared to 7.45% for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achieved our highest volume of loan originations ever in the second quarter,” said Charles E. Bradley, Chief Executive Officer. “The increase in volume delivers strong revenue and earnings growth without compromising our credit underwriting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CPS announced that it will hold a conference call on August 5, 2026 at 1:00 p.m. ET to discuss its second quarter 2026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wishing to participate can pre-register for the conference call at the following link https://register-conf.media-server.com/register/BI6cf5cc4ebbd04b06973dad16be4d5d43. Registered participants will receive an email containing conference call details for dial-in options. To avoid delays, we encourage participants to dial into the conference call fifteen minutes ahead of the schedule start time. A replay will be available beginning two hours after conclusion of the call for 12 months via the Company’s website at https://ir.consumerportfolio.com/investor-relations.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Consumer Portfolio Services,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Consumer Portfolio Services, Inc. is an independent specialty finance company that provides indirect automobile financing to individuals with past credit problems or limited credit histories. We purchase retail installment sales contracts primarily from franchised automobile dealerships secured by late model used vehicles and, to a lesser extent, new vehicles. We fund these contract purchases on a long-term basis primarily through the securitization markets and service the contracts over their lives.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 in this news release include the Company's recorded figures representing allowances for remaining expected lifetime credit losses, its estimates of fair value (most significantly for its receivables accounted for at fair value), its provision for credit losses, its entries offsetting the preceding, and figures derived from any of the preceding. In each case, such figures are forward-looking statements because they are dependent on the Company’s estimates of losses to be incurred in the future. The accuracy of such estimates may be adversely affected by various factors, which include the following: possible increased delinquencies; repossessions and losses on retail installment contracts; incorrect prepayment speed and/or discount rate assumptions; possible unavailability of qualified personnel, which could adversely affect the Company’s ability to service its portfolio; possible increases in the rate of consumer bankruptcy filings, which could adversely affect the Company’s rights to collect payments from its portfolio; other changes in government regulations affecting consumer credit; possible declines in the market price for used vehicles, which could adversely affect the Company’s realization upon repossessed vehicles; and economic conditions in geographic areas in which the Company's business is concentrated. Any or all of such factors also may affect the Company’s future financial results, as to which there can be no assurance. Any implication that the results of the most recently completed quarter are indicative of future results is disclaimed, and the reader should draw no such inference. Factors such as those identified above in relation to losses to be incurred in the future may affect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Danny Bharwani,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949-753-6811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8325" w:type="dxa"/>
        <w:jc w:val="left"/>
        <w:tblInd w:w="0" w:type="dxa"/>
        <w:tblLayout w:type="fixed"/>
        <w:tblCellMar>
          <w:top w:w="0" w:type="dxa"/>
          <w:left w:w="0" w:type="dxa"/>
          <w:bottom w:w="0" w:type="dxa"/>
          <w:right w:w="0" w:type="dxa"/>
        </w:tblCellMar>
      </w:tblPr>
      <w:tblGrid>
        <w:gridCol w:w="4550"/>
        <w:gridCol w:w="60"/>
        <w:gridCol w:w="125"/>
        <w:gridCol w:w="695"/>
        <w:gridCol w:w="60"/>
        <w:gridCol w:w="60"/>
        <w:gridCol w:w="125"/>
        <w:gridCol w:w="695"/>
        <w:gridCol w:w="60"/>
        <w:gridCol w:w="60"/>
        <w:gridCol w:w="125"/>
        <w:gridCol w:w="695"/>
        <w:gridCol w:w="60"/>
        <w:gridCol w:w="60"/>
        <w:gridCol w:w="125"/>
        <w:gridCol w:w="695"/>
        <w:gridCol w:w="75"/>
      </w:tblGrid>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vAlign w:val="center"/>
          </w:tcPr>
          <w:p>
            <w:pPr>
              <w:pStyle w:val="TableContents"/>
              <w:bidi w:val="0"/>
              <w:spacing w:before="0" w:after="283"/>
              <w:jc w:val="center"/>
              <w:rPr>
                <w:sz w:val="20"/>
              </w:rPr>
            </w:pPr>
            <w:r>
              <w:rPr>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vAlign w:val="center"/>
          </w:tcPr>
          <w:p>
            <w:pPr>
              <w:pStyle w:val="TableContents"/>
              <w:bidi w:val="0"/>
              <w:spacing w:before="0" w:after="283"/>
              <w:jc w:val="center"/>
              <w:rPr>
                <w:sz w:val="20"/>
              </w:rPr>
            </w:pPr>
            <w:r>
              <w:rPr>
                <w:sz w:val="20"/>
              </w:rPr>
              <w:t>Six months ended</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sz w:val="20"/>
              </w:rPr>
            </w:pPr>
            <w:r>
              <w:rPr>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sz w:val="20"/>
              </w:rPr>
            </w:pPr>
            <w:r>
              <w:rPr>
                <w:sz w:val="20"/>
              </w:rPr>
              <w:t>June 30,</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75" w:type="dxa"/>
            <w:tcBorders/>
            <w:vAlign w:val="center"/>
          </w:tcPr>
          <w:p>
            <w:pPr>
              <w:pStyle w:val="TableContents"/>
              <w:bidi w:val="0"/>
              <w:spacing w:before="0" w:after="283"/>
              <w:jc w:val="left"/>
              <w:rPr/>
            </w:pPr>
            <w:r>
              <w:rPr/>
              <w:t> </w:t>
            </w:r>
          </w:p>
        </w:tc>
      </w:tr>
      <w:tr>
        <w:trPr/>
        <w:tc>
          <w:tcPr>
            <w:tcW w:w="4550" w:type="dxa"/>
            <w:tcBorders/>
            <w:shd w:fill="EEEEEE" w:val="clear"/>
            <w:vAlign w:val="center"/>
          </w:tcPr>
          <w:p>
            <w:pPr>
              <w:pStyle w:val="TableContents"/>
              <w:bidi w:val="0"/>
              <w:spacing w:before="0" w:after="283"/>
              <w:jc w:val="left"/>
              <w:rPr>
                <w:b/>
                <w:sz w:val="20"/>
              </w:rPr>
            </w:pPr>
            <w:r>
              <w:rPr>
                <w:b/>
                <w:sz w:val="20"/>
              </w:rPr>
              <w:t>Revenues:</w:t>
            </w:r>
          </w:p>
        </w:tc>
        <w:tc>
          <w:tcPr>
            <w:tcW w:w="60" w:type="dxa"/>
            <w:tcBorders/>
            <w:shd w:fill="EEEEEE" w:val="clear"/>
            <w:vAlign w:val="center"/>
          </w:tcPr>
          <w:p>
            <w:pPr>
              <w:pStyle w:val="TableContents"/>
              <w:bidi w:val="0"/>
              <w:spacing w:before="0" w:after="283"/>
              <w:jc w:val="left"/>
              <w:rPr/>
            </w:pPr>
            <w:r>
              <w:rPr/>
              <w:t> </w:t>
            </w:r>
          </w:p>
        </w:tc>
        <w:tc>
          <w:tcPr>
            <w:tcW w:w="820" w:type="dxa"/>
            <w:gridSpan w:val="2"/>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20" w:type="dxa"/>
            <w:gridSpan w:val="2"/>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20" w:type="dxa"/>
            <w:gridSpan w:val="2"/>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20" w:type="dxa"/>
            <w:gridSpan w:val="2"/>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sz w:val="20"/>
              </w:rPr>
            </w:pPr>
            <w:r>
              <w:rPr>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118,112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105,362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226,833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207,295</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EEEEEE" w:val="clear"/>
            <w:vAlign w:val="center"/>
          </w:tcPr>
          <w:p>
            <w:pPr>
              <w:pStyle w:val="TableContents"/>
              <w:bidi w:val="0"/>
              <w:spacing w:before="0" w:after="283"/>
              <w:jc w:val="left"/>
              <w:rPr>
                <w:sz w:val="20"/>
              </w:rPr>
            </w:pPr>
            <w:r>
              <w:rPr>
                <w:sz w:val="20"/>
              </w:rPr>
              <w:t>Mark to finance receivables measured at fair value</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3,000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6,500</w:t>
            </w:r>
          </w:p>
        </w:tc>
        <w:tc>
          <w:tcPr>
            <w:tcW w:w="75" w:type="dxa"/>
            <w:tcBorders/>
            <w:shd w:fill="EEEEEE"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sz w:val="20"/>
              </w:rPr>
            </w:pPr>
            <w:r>
              <w:rPr>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2,843</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121,389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109,764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233,723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216,638</w:t>
            </w:r>
          </w:p>
        </w:tc>
        <w:tc>
          <w:tcPr>
            <w:tcW w:w="75" w:type="dxa"/>
            <w:tcBorders/>
            <w:shd w:fill="EEEEEE"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b/>
                <w:sz w:val="20"/>
              </w:rPr>
            </w:pPr>
            <w:r>
              <w:rPr>
                <w:b/>
                <w:sz w:val="20"/>
              </w:rPr>
              <w:t>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EEEEEE" w:val="clear"/>
            <w:vAlign w:val="center"/>
          </w:tcPr>
          <w:p>
            <w:pPr>
              <w:pStyle w:val="TableContents"/>
              <w:bidi w:val="0"/>
              <w:spacing w:before="0" w:after="283"/>
              <w:jc w:val="left"/>
              <w:rPr>
                <w:sz w:val="20"/>
              </w:rPr>
            </w:pPr>
            <w:r>
              <w:rPr>
                <w:sz w:val="20"/>
              </w:rPr>
              <w:t>Employee costs</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23,418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24,362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46,464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49,395</w:t>
            </w:r>
          </w:p>
        </w:tc>
        <w:tc>
          <w:tcPr>
            <w:tcW w:w="75" w:type="dxa"/>
            <w:tcBorders/>
            <w:shd w:fill="EEEEEE"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sz w:val="20"/>
              </w:rPr>
            </w:pPr>
            <w:r>
              <w:rPr>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14,673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12,402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27,581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24,966</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EEEEEE" w:val="clear"/>
            <w:vAlign w:val="center"/>
          </w:tcPr>
          <w:p>
            <w:pPr>
              <w:pStyle w:val="TableContents"/>
              <w:bidi w:val="0"/>
              <w:spacing w:before="0" w:after="283"/>
              <w:jc w:val="left"/>
              <w:rPr>
                <w:sz w:val="20"/>
              </w:rPr>
            </w:pPr>
            <w:r>
              <w:rPr>
                <w:sz w:val="20"/>
              </w:rPr>
              <w:t>Interest</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64,253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58,704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124,314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113,622</w:t>
            </w:r>
          </w:p>
        </w:tc>
        <w:tc>
          <w:tcPr>
            <w:tcW w:w="75" w:type="dxa"/>
            <w:tcBorders/>
            <w:shd w:fill="EEEEEE"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sz w:val="20"/>
              </w:rPr>
            </w:pPr>
            <w:r>
              <w:rPr>
                <w:sz w:val="20"/>
              </w:rPr>
              <w:t>Other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14,901</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112,354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102,812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216,660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202,884</w:t>
            </w:r>
          </w:p>
        </w:tc>
        <w:tc>
          <w:tcPr>
            <w:tcW w:w="75" w:type="dxa"/>
            <w:tcBorders/>
            <w:shd w:fill="EEEEEE"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sz w:val="20"/>
              </w:rPr>
            </w:pPr>
            <w:r>
              <w:rPr>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17,063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13,754</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EEEEEE" w:val="clear"/>
            <w:vAlign w:val="center"/>
          </w:tcPr>
          <w:p>
            <w:pPr>
              <w:pStyle w:val="TableContents"/>
              <w:bidi w:val="0"/>
              <w:spacing w:before="0" w:after="283"/>
              <w:jc w:val="left"/>
              <w:rPr>
                <w:sz w:val="20"/>
              </w:rPr>
            </w:pPr>
            <w:r>
              <w:rPr>
                <w:sz w:val="20"/>
              </w:rPr>
              <w:t>Income tax expense</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2,801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2,155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5,290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4,263</w:t>
            </w:r>
          </w:p>
        </w:tc>
        <w:tc>
          <w:tcPr>
            <w:tcW w:w="75" w:type="dxa"/>
            <w:tcBorders/>
            <w:shd w:fill="EEEEEE"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r>
              <w:rPr>
                <w:sz w:val="20"/>
              </w:rPr>
              <w:t>Net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9,491</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sz w:val="20"/>
              </w:rPr>
            </w:pPr>
            <w:r>
              <w:rPr>
                <w:sz w:val="20"/>
              </w:rPr>
              <w:t>Earnings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EEEEEE" w:val="clear"/>
            <w:vAlign w:val="center"/>
          </w:tcPr>
          <w:p>
            <w:pPr>
              <w:pStyle w:val="TableContents"/>
              <w:bidi w:val="0"/>
              <w:spacing w:before="0" w:after="283"/>
              <w:jc w:val="left"/>
              <w:rPr/>
            </w:pPr>
            <w:r>
              <w:rPr/>
              <w:t>     </w:t>
            </w:r>
            <w:r>
              <w:rPr>
                <w:sz w:val="20"/>
              </w:rPr>
              <w:t>Basic</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695" w:type="dxa"/>
            <w:tcBorders/>
            <w:shd w:fill="EEEEEE" w:val="clear"/>
            <w:vAlign w:val="center"/>
          </w:tcPr>
          <w:p>
            <w:pPr>
              <w:pStyle w:val="TableContents"/>
              <w:bidi w:val="0"/>
              <w:spacing w:before="0" w:after="283"/>
              <w:jc w:val="right"/>
              <w:rPr>
                <w:sz w:val="20"/>
              </w:rPr>
            </w:pPr>
            <w:r>
              <w:rPr>
                <w:sz w:val="20"/>
              </w:rPr>
              <w:t>0.29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695" w:type="dxa"/>
            <w:tcBorders/>
            <w:shd w:fill="EEEEEE" w:val="clear"/>
            <w:vAlign w:val="center"/>
          </w:tcPr>
          <w:p>
            <w:pPr>
              <w:pStyle w:val="TableContents"/>
              <w:bidi w:val="0"/>
              <w:spacing w:before="0" w:after="283"/>
              <w:jc w:val="right"/>
              <w:rPr>
                <w:sz w:val="20"/>
              </w:rPr>
            </w:pPr>
            <w:r>
              <w:rPr>
                <w:sz w:val="20"/>
              </w:rPr>
              <w:t>0.22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695" w:type="dxa"/>
            <w:tcBorders/>
            <w:shd w:fill="EEEEEE" w:val="clear"/>
            <w:vAlign w:val="center"/>
          </w:tcPr>
          <w:p>
            <w:pPr>
              <w:pStyle w:val="TableContents"/>
              <w:bidi w:val="0"/>
              <w:spacing w:before="0" w:after="283"/>
              <w:jc w:val="right"/>
              <w:rPr>
                <w:sz w:val="20"/>
              </w:rPr>
            </w:pPr>
            <w:r>
              <w:rPr>
                <w:sz w:val="20"/>
              </w:rPr>
              <w:t>0.54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695" w:type="dxa"/>
            <w:tcBorders/>
            <w:shd w:fill="EEEEEE" w:val="clear"/>
            <w:vAlign w:val="center"/>
          </w:tcPr>
          <w:p>
            <w:pPr>
              <w:pStyle w:val="TableContents"/>
              <w:bidi w:val="0"/>
              <w:spacing w:before="0" w:after="283"/>
              <w:jc w:val="right"/>
              <w:rPr>
                <w:sz w:val="20"/>
              </w:rPr>
            </w:pPr>
            <w:r>
              <w:rPr>
                <w:sz w:val="20"/>
              </w:rPr>
              <w:t>0.44</w:t>
            </w:r>
          </w:p>
        </w:tc>
        <w:tc>
          <w:tcPr>
            <w:tcW w:w="75" w:type="dxa"/>
            <w:tcBorders/>
            <w:shd w:fill="EEEEEE"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r>
              <w:rPr>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0.39</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EEEEEE" w:val="clear"/>
            <w:vAlign w:val="center"/>
          </w:tcPr>
          <w:p>
            <w:pPr>
              <w:pStyle w:val="TableContents"/>
              <w:bidi w:val="0"/>
              <w:spacing w:before="0" w:after="283"/>
              <w:jc w:val="left"/>
              <w:rPr>
                <w:sz w:val="20"/>
              </w:rPr>
            </w:pPr>
            <w:r>
              <w:rPr>
                <w:sz w:val="20"/>
              </w:rPr>
              <w:t>Number of shares used in computing earnings per share:</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4550" w:type="dxa"/>
            <w:tcBorders/>
            <w:shd w:fill="EEEEEE" w:val="clear"/>
            <w:vAlign w:val="center"/>
          </w:tcPr>
          <w:p>
            <w:pPr>
              <w:pStyle w:val="TableContents"/>
              <w:bidi w:val="0"/>
              <w:spacing w:before="0" w:after="283"/>
              <w:jc w:val="left"/>
              <w:rPr/>
            </w:pPr>
            <w:r>
              <w:rPr/>
              <w:t>     </w:t>
            </w:r>
            <w:r>
              <w:rPr>
                <w:sz w:val="20"/>
              </w:rPr>
              <w:t>Basic</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21,633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21,893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21,704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21,670</w:t>
            </w:r>
          </w:p>
        </w:tc>
        <w:tc>
          <w:tcPr>
            <w:tcW w:w="75" w:type="dxa"/>
            <w:tcBorders/>
            <w:shd w:fill="EEEEEE"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r>
              <w:rPr>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23,485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24,180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23,509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24,254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5809" w:type="dxa"/>
        <w:jc w:val="left"/>
        <w:tblInd w:w="0" w:type="dxa"/>
        <w:tblLayout w:type="fixed"/>
        <w:tblCellMar>
          <w:top w:w="0" w:type="dxa"/>
          <w:left w:w="0" w:type="dxa"/>
          <w:bottom w:w="0" w:type="dxa"/>
          <w:right w:w="0" w:type="dxa"/>
        </w:tblCellMar>
      </w:tblPr>
      <w:tblGrid>
        <w:gridCol w:w="3455"/>
        <w:gridCol w:w="60"/>
        <w:gridCol w:w="125"/>
        <w:gridCol w:w="845"/>
        <w:gridCol w:w="60"/>
        <w:gridCol w:w="60"/>
        <w:gridCol w:w="145"/>
        <w:gridCol w:w="984"/>
        <w:gridCol w:w="75"/>
      </w:tblGrid>
      <w:tr>
        <w:trPr/>
        <w:tc>
          <w:tcPr>
            <w:tcW w:w="3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center"/>
              <w:rPr>
                <w:sz w:val="20"/>
              </w:rPr>
            </w:pPr>
            <w:r>
              <w:rPr>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sz w:val="20"/>
              </w:rPr>
            </w:pPr>
            <w:r>
              <w:rPr>
                <w:sz w:val="20"/>
              </w:rPr>
              <w:t>December 31,</w:t>
            </w:r>
          </w:p>
        </w:tc>
        <w:tc>
          <w:tcPr>
            <w:tcW w:w="7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75" w:type="dxa"/>
            <w:tcBorders/>
            <w:vAlign w:val="center"/>
          </w:tcPr>
          <w:p>
            <w:pPr>
              <w:pStyle w:val="TableContents"/>
              <w:bidi w:val="0"/>
              <w:spacing w:before="0" w:after="283"/>
              <w:jc w:val="left"/>
              <w:rPr/>
            </w:pPr>
            <w:r>
              <w:rPr/>
              <w:t> </w:t>
            </w:r>
          </w:p>
        </w:tc>
      </w:tr>
      <w:tr>
        <w:trPr/>
        <w:tc>
          <w:tcPr>
            <w:tcW w:w="3455" w:type="dxa"/>
            <w:tcBorders/>
            <w:shd w:fill="EEEEEE" w:val="clear"/>
            <w:vAlign w:val="center"/>
          </w:tcPr>
          <w:p>
            <w:pPr>
              <w:pStyle w:val="TableContents"/>
              <w:bidi w:val="0"/>
              <w:spacing w:before="0" w:after="283"/>
              <w:jc w:val="left"/>
              <w:rPr>
                <w:b/>
                <w:sz w:val="20"/>
              </w:rPr>
            </w:pPr>
            <w:r>
              <w:rPr>
                <w:b/>
                <w:sz w:val="20"/>
              </w:rPr>
              <w:t>Assets:</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84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984"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sz w:val="20"/>
              </w:rPr>
            </w:pPr>
            <w:r>
              <w:rPr>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7,501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sz w:val="20"/>
              </w:rPr>
            </w:pPr>
            <w:r>
              <w:rPr>
                <w:sz w:val="20"/>
              </w:rPr>
              <w:t>$</w:t>
            </w:r>
          </w:p>
        </w:tc>
        <w:tc>
          <w:tcPr>
            <w:tcW w:w="984" w:type="dxa"/>
            <w:tcBorders/>
            <w:shd w:fill="FFFFFF" w:val="clear"/>
            <w:vAlign w:val="center"/>
          </w:tcPr>
          <w:p>
            <w:pPr>
              <w:pStyle w:val="TableContents"/>
              <w:bidi w:val="0"/>
              <w:spacing w:before="0" w:after="283"/>
              <w:jc w:val="right"/>
              <w:rPr>
                <w:sz w:val="20"/>
              </w:rPr>
            </w:pPr>
            <w:r>
              <w:rPr>
                <w:sz w:val="20"/>
              </w:rPr>
              <w:t>6,322</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EEEEEE" w:val="clear"/>
            <w:vAlign w:val="center"/>
          </w:tcPr>
          <w:p>
            <w:pPr>
              <w:pStyle w:val="TableContents"/>
              <w:bidi w:val="0"/>
              <w:spacing w:before="0" w:after="283"/>
              <w:jc w:val="left"/>
              <w:rPr>
                <w:sz w:val="20"/>
              </w:rPr>
            </w:pPr>
            <w:r>
              <w:rPr>
                <w:sz w:val="20"/>
              </w:rPr>
              <w:t>Restricted cash and equivalents</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845" w:type="dxa"/>
            <w:tcBorders/>
            <w:shd w:fill="EEEEEE" w:val="clear"/>
            <w:vAlign w:val="center"/>
          </w:tcPr>
          <w:p>
            <w:pPr>
              <w:pStyle w:val="TableContents"/>
              <w:bidi w:val="0"/>
              <w:spacing w:before="0" w:after="283"/>
              <w:jc w:val="right"/>
              <w:rPr>
                <w:sz w:val="20"/>
              </w:rPr>
            </w:pPr>
            <w:r>
              <w:rPr>
                <w:sz w:val="20"/>
              </w:rPr>
              <w:t>172,703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984" w:type="dxa"/>
            <w:tcBorders/>
            <w:shd w:fill="EEEEEE" w:val="clear"/>
            <w:vAlign w:val="center"/>
          </w:tcPr>
          <w:p>
            <w:pPr>
              <w:pStyle w:val="TableContents"/>
              <w:bidi w:val="0"/>
              <w:spacing w:before="0" w:after="283"/>
              <w:jc w:val="right"/>
              <w:rPr>
                <w:sz w:val="20"/>
              </w:rPr>
            </w:pPr>
            <w:r>
              <w:rPr>
                <w:sz w:val="20"/>
              </w:rPr>
              <w:t>165,885</w:t>
            </w:r>
          </w:p>
        </w:tc>
        <w:tc>
          <w:tcPr>
            <w:tcW w:w="75" w:type="dxa"/>
            <w:tcBorders/>
            <w:shd w:fill="EEEEEE"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sz w:val="20"/>
              </w:rPr>
            </w:pPr>
            <w:r>
              <w:rPr>
                <w:sz w:val="20"/>
              </w:rPr>
              <w:t>Finance receivables measured at fair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4,212,167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sz w:val="20"/>
              </w:rPr>
            </w:pPr>
            <w:r>
              <w:rPr>
                <w:sz w:val="20"/>
              </w:rPr>
              <w:t>3,655,855</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EEEEEE" w:val="clear"/>
            <w:vAlign w:val="center"/>
          </w:tcPr>
          <w:p>
            <w:pPr>
              <w:pStyle w:val="TableContents"/>
              <w:bidi w:val="0"/>
              <w:spacing w:before="0" w:after="283"/>
              <w:jc w:val="left"/>
              <w:rPr>
                <w:sz w:val="20"/>
              </w:rPr>
            </w:pPr>
            <w:r>
              <w:rPr>
                <w:sz w:val="20"/>
              </w:rPr>
              <w:t>Other assets</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29,850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30,131</w:t>
            </w:r>
          </w:p>
        </w:tc>
        <w:tc>
          <w:tcPr>
            <w:tcW w:w="75" w:type="dxa"/>
            <w:tcBorders/>
            <w:shd w:fill="EEEEEE"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4,422,221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8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3,858,193</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84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984"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b/>
                <w:sz w:val="20"/>
              </w:rPr>
            </w:pPr>
            <w:r>
              <w:rPr>
                <w:b/>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EEEEEE" w:val="clear"/>
            <w:vAlign w:val="center"/>
          </w:tcPr>
          <w:p>
            <w:pPr>
              <w:pStyle w:val="TableContents"/>
              <w:bidi w:val="0"/>
              <w:spacing w:before="0" w:after="283"/>
              <w:jc w:val="left"/>
              <w:rPr>
                <w:sz w:val="20"/>
              </w:rPr>
            </w:pPr>
            <w:r>
              <w:rPr>
                <w:sz w:val="20"/>
              </w:rPr>
              <w:t>Accounts payable and accrued expenses</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845" w:type="dxa"/>
            <w:tcBorders/>
            <w:shd w:fill="EEEEEE" w:val="clear"/>
            <w:vAlign w:val="center"/>
          </w:tcPr>
          <w:p>
            <w:pPr>
              <w:pStyle w:val="TableContents"/>
              <w:bidi w:val="0"/>
              <w:spacing w:before="0" w:after="283"/>
              <w:jc w:val="right"/>
              <w:rPr>
                <w:sz w:val="20"/>
              </w:rPr>
            </w:pPr>
            <w:r>
              <w:rPr>
                <w:sz w:val="20"/>
              </w:rPr>
              <w:t>94,698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sz w:val="20"/>
              </w:rPr>
            </w:pPr>
            <w:r>
              <w:rPr>
                <w:sz w:val="20"/>
              </w:rPr>
              <w:t>$</w:t>
            </w:r>
          </w:p>
        </w:tc>
        <w:tc>
          <w:tcPr>
            <w:tcW w:w="984" w:type="dxa"/>
            <w:tcBorders/>
            <w:shd w:fill="EEEEEE" w:val="clear"/>
            <w:vAlign w:val="center"/>
          </w:tcPr>
          <w:p>
            <w:pPr>
              <w:pStyle w:val="TableContents"/>
              <w:bidi w:val="0"/>
              <w:spacing w:before="0" w:after="283"/>
              <w:jc w:val="right"/>
              <w:rPr>
                <w:sz w:val="20"/>
              </w:rPr>
            </w:pPr>
            <w:r>
              <w:rPr>
                <w:sz w:val="20"/>
              </w:rPr>
              <w:t>65,244</w:t>
            </w:r>
          </w:p>
        </w:tc>
        <w:tc>
          <w:tcPr>
            <w:tcW w:w="75" w:type="dxa"/>
            <w:tcBorders/>
            <w:shd w:fill="EEEEEE"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sz w:val="20"/>
              </w:rPr>
            </w:pPr>
            <w:r>
              <w:rPr>
                <w:sz w:val="20"/>
              </w:rPr>
              <w:t>Warehouse lines of credit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679,900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sz w:val="20"/>
              </w:rPr>
            </w:pPr>
            <w:r>
              <w:rPr>
                <w:sz w:val="20"/>
              </w:rPr>
              <w:t>324,871</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EEEEEE" w:val="clear"/>
            <w:vAlign w:val="center"/>
          </w:tcPr>
          <w:p>
            <w:pPr>
              <w:pStyle w:val="TableContents"/>
              <w:bidi w:val="0"/>
              <w:spacing w:before="0" w:after="283"/>
              <w:jc w:val="left"/>
              <w:rPr>
                <w:sz w:val="20"/>
              </w:rPr>
            </w:pPr>
            <w:r>
              <w:rPr>
                <w:sz w:val="20"/>
              </w:rPr>
              <w:t>Residual interest financing</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845" w:type="dxa"/>
            <w:tcBorders/>
            <w:shd w:fill="EEEEEE" w:val="clear"/>
            <w:vAlign w:val="center"/>
          </w:tcPr>
          <w:p>
            <w:pPr>
              <w:pStyle w:val="TableContents"/>
              <w:bidi w:val="0"/>
              <w:spacing w:before="0" w:after="283"/>
              <w:jc w:val="right"/>
              <w:rPr>
                <w:sz w:val="20"/>
              </w:rPr>
            </w:pPr>
            <w:r>
              <w:rPr>
                <w:sz w:val="20"/>
              </w:rPr>
              <w:t>168,809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984" w:type="dxa"/>
            <w:tcBorders/>
            <w:shd w:fill="EEEEEE" w:val="clear"/>
            <w:vAlign w:val="center"/>
          </w:tcPr>
          <w:p>
            <w:pPr>
              <w:pStyle w:val="TableContents"/>
              <w:bidi w:val="0"/>
              <w:spacing w:before="0" w:after="283"/>
              <w:jc w:val="right"/>
              <w:rPr>
                <w:sz w:val="20"/>
              </w:rPr>
            </w:pPr>
            <w:r>
              <w:rPr>
                <w:sz w:val="20"/>
              </w:rPr>
              <w:t>142,982</w:t>
            </w:r>
          </w:p>
        </w:tc>
        <w:tc>
          <w:tcPr>
            <w:tcW w:w="75" w:type="dxa"/>
            <w:tcBorders/>
            <w:shd w:fill="EEEEEE"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sz w:val="20"/>
              </w:rPr>
            </w:pPr>
            <w:r>
              <w:rPr>
                <w:sz w:val="20"/>
              </w:rPr>
              <w:t>Securitization trust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3,131,105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sz w:val="20"/>
              </w:rPr>
            </w:pPr>
            <w:r>
              <w:rPr>
                <w:sz w:val="20"/>
              </w:rPr>
              <w:t>2,986,574</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EEEEEE" w:val="clear"/>
            <w:vAlign w:val="center"/>
          </w:tcPr>
          <w:p>
            <w:pPr>
              <w:pStyle w:val="TableContents"/>
              <w:bidi w:val="0"/>
              <w:spacing w:before="0" w:after="283"/>
              <w:jc w:val="left"/>
              <w:rPr>
                <w:sz w:val="20"/>
              </w:rPr>
            </w:pPr>
            <w:r>
              <w:rPr>
                <w:sz w:val="20"/>
              </w:rPr>
              <w:t>Subordinated renewable notes</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28,461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28,986</w:t>
            </w:r>
          </w:p>
        </w:tc>
        <w:tc>
          <w:tcPr>
            <w:tcW w:w="75" w:type="dxa"/>
            <w:tcBorders/>
            <w:shd w:fill="EEEEEE"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4,102,973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3,548,657</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84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984"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sz w:val="20"/>
              </w:rPr>
            </w:pPr>
            <w:r>
              <w:rPr>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319,248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309,536</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EEEEEE" w:val="clear"/>
            <w:tcMar>
              <w:bottom w:w="28" w:type="dxa"/>
            </w:tcMar>
            <w:vAlign w:val="center"/>
          </w:tcPr>
          <w:p>
            <w:pPr>
              <w:pStyle w:val="TableContents"/>
              <w:bidi w:val="0"/>
              <w:spacing w:before="0" w:after="283"/>
              <w:jc w:val="right"/>
              <w:rPr>
                <w:sz w:val="20"/>
              </w:rPr>
            </w:pPr>
            <w:r>
              <w:rPr>
                <w:sz w:val="20"/>
              </w:rPr>
              <w:t>4,422,221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p>
        </w:tc>
        <w:tc>
          <w:tcPr>
            <w:tcW w:w="984" w:type="dxa"/>
            <w:tcBorders>
              <w:bottom w:val="double" w:sz="6" w:space="0" w:color="000000"/>
            </w:tcBorders>
            <w:shd w:fill="EEEEEE" w:val="clear"/>
            <w:tcMar>
              <w:bottom w:w="28" w:type="dxa"/>
            </w:tcMar>
            <w:vAlign w:val="center"/>
          </w:tcPr>
          <w:p>
            <w:pPr>
              <w:pStyle w:val="TableContents"/>
              <w:bidi w:val="0"/>
              <w:spacing w:before="0" w:after="283"/>
              <w:jc w:val="right"/>
              <w:rPr>
                <w:sz w:val="20"/>
              </w:rPr>
            </w:pPr>
            <w:r>
              <w:rPr>
                <w:sz w:val="20"/>
              </w:rPr>
              <w:t>3,858,193</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8640" w:type="dxa"/>
        <w:jc w:val="left"/>
        <w:tblInd w:w="0" w:type="dxa"/>
        <w:tblLayout w:type="fixed"/>
        <w:tblCellMar>
          <w:top w:w="0" w:type="dxa"/>
          <w:left w:w="0" w:type="dxa"/>
          <w:bottom w:w="0" w:type="dxa"/>
          <w:right w:w="0" w:type="dxa"/>
        </w:tblCellMar>
      </w:tblPr>
      <w:tblGrid>
        <w:gridCol w:w="4685"/>
        <w:gridCol w:w="60"/>
        <w:gridCol w:w="125"/>
        <w:gridCol w:w="740"/>
        <w:gridCol w:w="60"/>
        <w:gridCol w:w="60"/>
        <w:gridCol w:w="125"/>
        <w:gridCol w:w="740"/>
        <w:gridCol w:w="60"/>
        <w:gridCol w:w="60"/>
        <w:gridCol w:w="125"/>
        <w:gridCol w:w="740"/>
        <w:gridCol w:w="60"/>
        <w:gridCol w:w="60"/>
        <w:gridCol w:w="125"/>
        <w:gridCol w:w="740"/>
        <w:gridCol w:w="75"/>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6"/>
            <w:tcBorders/>
            <w:vAlign w:val="center"/>
          </w:tcPr>
          <w:p>
            <w:pPr>
              <w:pStyle w:val="TableContents"/>
              <w:bidi w:val="0"/>
              <w:spacing w:before="0" w:after="283"/>
              <w:jc w:val="center"/>
              <w:rPr>
                <w:sz w:val="20"/>
              </w:rPr>
            </w:pPr>
            <w:r>
              <w:rPr>
                <w:sz w:val="20"/>
              </w:rPr>
              <w:t>At and for the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6"/>
            <w:tcBorders/>
            <w:vAlign w:val="center"/>
          </w:tcPr>
          <w:p>
            <w:pPr>
              <w:pStyle w:val="TableContents"/>
              <w:bidi w:val="0"/>
              <w:spacing w:before="0" w:after="283"/>
              <w:jc w:val="center"/>
              <w:rPr>
                <w:sz w:val="20"/>
              </w:rPr>
            </w:pPr>
            <w:r>
              <w:rPr>
                <w:sz w:val="20"/>
              </w:rPr>
              <w:t>At and for the</w:t>
            </w:r>
          </w:p>
        </w:tc>
        <w:tc>
          <w:tcPr>
            <w:tcW w:w="7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6"/>
            <w:tcBorders/>
            <w:vAlign w:val="center"/>
          </w:tcPr>
          <w:p>
            <w:pPr>
              <w:pStyle w:val="TableContents"/>
              <w:bidi w:val="0"/>
              <w:spacing w:before="0" w:after="283"/>
              <w:jc w:val="center"/>
              <w:rPr>
                <w:sz w:val="20"/>
              </w:rPr>
            </w:pPr>
            <w:r>
              <w:rPr>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6"/>
            <w:tcBorders/>
            <w:vAlign w:val="center"/>
          </w:tcPr>
          <w:p>
            <w:pPr>
              <w:pStyle w:val="TableContents"/>
              <w:bidi w:val="0"/>
              <w:spacing w:before="0" w:after="283"/>
              <w:jc w:val="center"/>
              <w:rPr>
                <w:sz w:val="20"/>
              </w:rPr>
            </w:pPr>
            <w:r>
              <w:rPr>
                <w:sz w:val="20"/>
              </w:rPr>
              <w:t>Six months ended</w:t>
            </w:r>
          </w:p>
        </w:tc>
        <w:tc>
          <w:tcPr>
            <w:tcW w:w="7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6"/>
            <w:tcBorders>
              <w:bottom w:val="single" w:sz="8" w:space="0" w:color="000000"/>
            </w:tcBorders>
            <w:tcMar>
              <w:bottom w:w="28" w:type="dxa"/>
            </w:tcMar>
            <w:vAlign w:val="center"/>
          </w:tcPr>
          <w:p>
            <w:pPr>
              <w:pStyle w:val="TableContents"/>
              <w:bidi w:val="0"/>
              <w:spacing w:before="0" w:after="283"/>
              <w:jc w:val="center"/>
              <w:rPr>
                <w:sz w:val="20"/>
              </w:rPr>
            </w:pPr>
            <w:r>
              <w:rPr>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6"/>
            <w:tcBorders>
              <w:bottom w:val="single" w:sz="8" w:space="0" w:color="000000"/>
            </w:tcBorders>
            <w:tcMar>
              <w:bottom w:w="28" w:type="dxa"/>
            </w:tcMar>
            <w:vAlign w:val="center"/>
          </w:tcPr>
          <w:p>
            <w:pPr>
              <w:pStyle w:val="TableContents"/>
              <w:bidi w:val="0"/>
              <w:spacing w:before="0" w:after="283"/>
              <w:jc w:val="center"/>
              <w:rPr>
                <w:sz w:val="20"/>
              </w:rPr>
            </w:pPr>
            <w:r>
              <w:rPr>
                <w:sz w:val="20"/>
              </w:rPr>
              <w:t>June 30,</w:t>
            </w:r>
          </w:p>
        </w:tc>
        <w:tc>
          <w:tcPr>
            <w:tcW w:w="7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7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sz w:val="20"/>
              </w:rPr>
            </w:pPr>
            <w:r>
              <w:rPr>
                <w:sz w:val="20"/>
              </w:rPr>
              <w:t>Contracts purchased</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740" w:type="dxa"/>
            <w:tcBorders/>
            <w:shd w:fill="EEEEEE" w:val="clear"/>
            <w:vAlign w:val="center"/>
          </w:tcPr>
          <w:p>
            <w:pPr>
              <w:pStyle w:val="TableContents"/>
              <w:bidi w:val="0"/>
              <w:spacing w:before="0" w:after="283"/>
              <w:jc w:val="right"/>
              <w:rPr>
                <w:sz w:val="20"/>
              </w:rPr>
            </w:pPr>
            <w:r>
              <w:rPr>
                <w:sz w:val="20"/>
              </w:rPr>
              <w:t>757.67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740" w:type="dxa"/>
            <w:tcBorders/>
            <w:shd w:fill="EEEEEE" w:val="clear"/>
            <w:vAlign w:val="center"/>
          </w:tcPr>
          <w:p>
            <w:pPr>
              <w:pStyle w:val="TableContents"/>
              <w:bidi w:val="0"/>
              <w:spacing w:before="0" w:after="283"/>
              <w:jc w:val="right"/>
              <w:rPr>
                <w:sz w:val="20"/>
              </w:rPr>
            </w:pPr>
            <w:r>
              <w:rPr>
                <w:sz w:val="20"/>
              </w:rPr>
              <w:t>433.02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740" w:type="dxa"/>
            <w:tcBorders/>
            <w:shd w:fill="EEEEEE" w:val="clear"/>
            <w:vAlign w:val="center"/>
          </w:tcPr>
          <w:p>
            <w:pPr>
              <w:pStyle w:val="TableContents"/>
              <w:bidi w:val="0"/>
              <w:spacing w:before="0" w:after="283"/>
              <w:jc w:val="right"/>
              <w:rPr>
                <w:sz w:val="20"/>
              </w:rPr>
            </w:pPr>
            <w:r>
              <w:rPr>
                <w:sz w:val="20"/>
              </w:rPr>
              <w:t>1,290.89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740" w:type="dxa"/>
            <w:tcBorders/>
            <w:shd w:fill="EEEEEE" w:val="clear"/>
            <w:vAlign w:val="center"/>
          </w:tcPr>
          <w:p>
            <w:pPr>
              <w:pStyle w:val="TableContents"/>
              <w:bidi w:val="0"/>
              <w:spacing w:before="0" w:after="283"/>
              <w:jc w:val="right"/>
              <w:rPr>
                <w:sz w:val="20"/>
              </w:rPr>
            </w:pPr>
            <w:r>
              <w:rPr>
                <w:sz w:val="20"/>
              </w:rPr>
              <w:t>884.24</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sz w:val="20"/>
              </w:rPr>
            </w:pPr>
            <w:r>
              <w:rPr>
                <w:sz w:val="20"/>
              </w:rPr>
              <w:t>Contracts securitized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740" w:type="dxa"/>
            <w:tcBorders/>
            <w:shd w:fill="FFFFFF" w:val="clear"/>
            <w:vAlign w:val="center"/>
          </w:tcPr>
          <w:p>
            <w:pPr>
              <w:pStyle w:val="TableContents"/>
              <w:bidi w:val="0"/>
              <w:spacing w:before="0" w:after="283"/>
              <w:jc w:val="right"/>
              <w:rPr>
                <w:sz w:val="20"/>
              </w:rPr>
            </w:pPr>
            <w:r>
              <w:rPr>
                <w:sz w:val="20"/>
              </w:rPr>
              <w:t>526.17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740" w:type="dxa"/>
            <w:tcBorders/>
            <w:shd w:fill="FFFFFF" w:val="clear"/>
            <w:vAlign w:val="center"/>
          </w:tcPr>
          <w:p>
            <w:pPr>
              <w:pStyle w:val="TableContents"/>
              <w:bidi w:val="0"/>
              <w:spacing w:before="0" w:after="283"/>
              <w:jc w:val="right"/>
              <w:rPr>
                <w:sz w:val="20"/>
              </w:rPr>
            </w:pPr>
            <w:r>
              <w:rPr>
                <w:sz w:val="20"/>
              </w:rPr>
              <w:t>439.29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878.83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901.83</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sz w:val="20"/>
              </w:rPr>
            </w:pPr>
            <w:r>
              <w:rPr>
                <w:sz w:val="20"/>
              </w:rPr>
              <w:t>Total portfolio balance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740" w:type="dxa"/>
            <w:tcBorders/>
            <w:shd w:fill="FFFFFF" w:val="clear"/>
            <w:vAlign w:val="center"/>
          </w:tcPr>
          <w:p>
            <w:pPr>
              <w:pStyle w:val="TableContents"/>
              <w:bidi w:val="0"/>
              <w:spacing w:before="0" w:after="283"/>
              <w:jc w:val="right"/>
              <w:rPr>
                <w:sz w:val="20"/>
              </w:rPr>
            </w:pPr>
            <w:r>
              <w:rPr>
                <w:sz w:val="20"/>
              </w:rPr>
              <w:t>4,306.66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740" w:type="dxa"/>
            <w:tcBorders/>
            <w:shd w:fill="FFFFFF" w:val="clear"/>
            <w:vAlign w:val="center"/>
          </w:tcPr>
          <w:p>
            <w:pPr>
              <w:pStyle w:val="TableContents"/>
              <w:bidi w:val="0"/>
              <w:spacing w:before="0" w:after="283"/>
              <w:jc w:val="right"/>
              <w:rPr>
                <w:sz w:val="20"/>
              </w:rPr>
            </w:pPr>
            <w:r>
              <w:rPr>
                <w:sz w:val="20"/>
              </w:rPr>
              <w:t>3,708.38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740" w:type="dxa"/>
            <w:tcBorders/>
            <w:shd w:fill="FFFFFF" w:val="clear"/>
            <w:vAlign w:val="center"/>
          </w:tcPr>
          <w:p>
            <w:pPr>
              <w:pStyle w:val="TableContents"/>
              <w:bidi w:val="0"/>
              <w:spacing w:before="0" w:after="283"/>
              <w:jc w:val="right"/>
              <w:rPr>
                <w:sz w:val="20"/>
              </w:rPr>
            </w:pPr>
            <w:r>
              <w:rPr>
                <w:sz w:val="20"/>
              </w:rPr>
              <w:t>4,306.66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740" w:type="dxa"/>
            <w:tcBorders/>
            <w:shd w:fill="FFFFFF" w:val="clear"/>
            <w:vAlign w:val="center"/>
          </w:tcPr>
          <w:p>
            <w:pPr>
              <w:pStyle w:val="TableContents"/>
              <w:bidi w:val="0"/>
              <w:spacing w:before="0" w:after="283"/>
              <w:jc w:val="right"/>
              <w:rPr>
                <w:sz w:val="20"/>
              </w:rPr>
            </w:pPr>
            <w:r>
              <w:rPr>
                <w:sz w:val="20"/>
              </w:rPr>
              <w:t>3,708.38</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sz w:val="20"/>
              </w:rPr>
            </w:pPr>
            <w:r>
              <w:rPr>
                <w:sz w:val="20"/>
              </w:rPr>
              <w:t>Average portfolio balance (1)</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740" w:type="dxa"/>
            <w:tcBorders/>
            <w:shd w:fill="EEEEEE" w:val="clear"/>
            <w:vAlign w:val="center"/>
          </w:tcPr>
          <w:p>
            <w:pPr>
              <w:pStyle w:val="TableContents"/>
              <w:bidi w:val="0"/>
              <w:spacing w:before="0" w:after="283"/>
              <w:jc w:val="right"/>
              <w:rPr>
                <w:sz w:val="20"/>
              </w:rPr>
            </w:pPr>
            <w:r>
              <w:rPr>
                <w:sz w:val="20"/>
              </w:rPr>
              <w:t>4,185.95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740" w:type="dxa"/>
            <w:tcBorders/>
            <w:shd w:fill="EEEEEE" w:val="clear"/>
            <w:vAlign w:val="center"/>
          </w:tcPr>
          <w:p>
            <w:pPr>
              <w:pStyle w:val="TableContents"/>
              <w:bidi w:val="0"/>
              <w:spacing w:before="0" w:after="283"/>
              <w:jc w:val="right"/>
              <w:rPr>
                <w:sz w:val="20"/>
              </w:rPr>
            </w:pPr>
            <w:r>
              <w:rPr>
                <w:sz w:val="20"/>
              </w:rPr>
              <w:t>3,682.96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sz w:val="20"/>
              </w:rPr>
            </w:pPr>
            <w:r>
              <w:rPr>
                <w:sz w:val="20"/>
              </w:rPr>
              <w:t>4,019.85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sz w:val="20"/>
              </w:rPr>
            </w:pPr>
            <w:r>
              <w:rPr>
                <w:sz w:val="20"/>
              </w:rPr>
              <w:t>3,627.80</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sz w:val="20"/>
              </w:rPr>
            </w:pPr>
            <w:r>
              <w:rPr>
                <w:sz w:val="20"/>
              </w:rPr>
              <w:t>Delinquencies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right"/>
              <w:rPr>
                <w:sz w:val="20"/>
              </w:rPr>
            </w:pPr>
            <w:r>
              <w:rPr>
                <w:sz w:val="20"/>
              </w:rPr>
              <w:t>31+ Days</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sz w:val="20"/>
              </w:rPr>
            </w:pPr>
            <w:r>
              <w:rPr>
                <w:sz w:val="20"/>
              </w:rPr>
              <w:t>9.97%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sz w:val="20"/>
              </w:rPr>
            </w:pPr>
            <w:r>
              <w:rPr>
                <w:sz w:val="20"/>
              </w:rPr>
              <w:t>10.50%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right"/>
              <w:rPr>
                <w:sz w:val="20"/>
              </w:rPr>
            </w:pPr>
            <w:r>
              <w:rPr>
                <w:sz w:val="20"/>
              </w:rPr>
              <w:t>Repossession Inventory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right"/>
              <w:rPr>
                <w:sz w:val="20"/>
              </w:rPr>
            </w:pPr>
            <w:r>
              <w:rPr>
                <w:sz w:val="20"/>
              </w:rPr>
              <w:t>Total Delinquencies and Repo. Inventory</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sz w:val="20"/>
              </w:rPr>
            </w:pPr>
            <w:r>
              <w:rPr>
                <w:sz w:val="20"/>
              </w:rPr>
              <w:t>12.16%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sz w:val="20"/>
              </w:rPr>
            </w:pPr>
            <w:r>
              <w:rPr>
                <w:sz w:val="20"/>
              </w:rPr>
              <w:t>13.14%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sz w:val="20"/>
              </w:rPr>
            </w:pPr>
            <w:r>
              <w:rPr>
                <w:sz w:val="20"/>
              </w:rPr>
              <w:t>Annualized Net Charge-offs as % of Average Portfolio (1)</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sz w:val="20"/>
              </w:rPr>
            </w:pPr>
            <w:r>
              <w:rPr>
                <w:sz w:val="20"/>
              </w:rPr>
              <w:t>7.28%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sz w:val="20"/>
              </w:rPr>
            </w:pPr>
            <w:r>
              <w:rPr>
                <w:sz w:val="20"/>
              </w:rPr>
              <w:t>7.45%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sz w:val="20"/>
              </w:rPr>
            </w:pPr>
            <w:r>
              <w:rPr>
                <w:sz w:val="20"/>
              </w:rPr>
              <w:t>7.90%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sz w:val="20"/>
              </w:rPr>
            </w:pPr>
            <w:r>
              <w:rPr>
                <w:sz w:val="20"/>
              </w:rPr>
              <w:t>7.49%</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sz w:val="20"/>
              </w:rPr>
            </w:pPr>
            <w:r>
              <w:rPr>
                <w:sz w:val="20"/>
              </w:rPr>
              <w:t>Recovery rates (1), (2)</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sz w:val="20"/>
              </w:rPr>
            </w:pPr>
            <w:r>
              <w:rPr>
                <w:sz w:val="20"/>
              </w:rPr>
              <w:t>33.3%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sz w:val="20"/>
              </w:rPr>
            </w:pPr>
            <w:r>
              <w:rPr>
                <w:sz w:val="20"/>
              </w:rPr>
              <w:t>30.4%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sz w:val="20"/>
              </w:rPr>
            </w:pPr>
            <w:r>
              <w:rPr>
                <w:sz w:val="20"/>
              </w:rPr>
              <w:t>32.1%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sz w:val="20"/>
              </w:rPr>
            </w:pPr>
            <w:r>
              <w:rPr>
                <w:sz w:val="20"/>
              </w:rPr>
              <w:t>29.0%</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3530"/>
        <w:gridCol w:w="60"/>
        <w:gridCol w:w="110"/>
        <w:gridCol w:w="515"/>
        <w:gridCol w:w="80"/>
        <w:gridCol w:w="60"/>
        <w:gridCol w:w="60"/>
        <w:gridCol w:w="470"/>
        <w:gridCol w:w="60"/>
        <w:gridCol w:w="60"/>
        <w:gridCol w:w="110"/>
        <w:gridCol w:w="515"/>
        <w:gridCol w:w="80"/>
        <w:gridCol w:w="60"/>
        <w:gridCol w:w="60"/>
        <w:gridCol w:w="470"/>
        <w:gridCol w:w="60"/>
        <w:gridCol w:w="60"/>
        <w:gridCol w:w="110"/>
        <w:gridCol w:w="575"/>
        <w:gridCol w:w="80"/>
        <w:gridCol w:w="60"/>
        <w:gridCol w:w="60"/>
        <w:gridCol w:w="470"/>
        <w:gridCol w:w="60"/>
        <w:gridCol w:w="60"/>
        <w:gridCol w:w="110"/>
        <w:gridCol w:w="575"/>
        <w:gridCol w:w="80"/>
        <w:gridCol w:w="60"/>
        <w:gridCol w:w="60"/>
        <w:gridCol w:w="470"/>
        <w:gridCol w:w="75"/>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14"/>
            <w:tcBorders/>
            <w:vAlign w:val="center"/>
          </w:tcPr>
          <w:p>
            <w:pPr>
              <w:pStyle w:val="TableContents"/>
              <w:bidi w:val="0"/>
              <w:spacing w:before="0" w:after="283"/>
              <w:jc w:val="center"/>
              <w:rPr>
                <w:sz w:val="16"/>
              </w:rPr>
            </w:pPr>
            <w:r>
              <w:rPr>
                <w:sz w:val="16"/>
              </w:rPr>
              <w:t>For the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14"/>
            <w:tcBorders/>
            <w:vAlign w:val="center"/>
          </w:tcPr>
          <w:p>
            <w:pPr>
              <w:pStyle w:val="TableContents"/>
              <w:bidi w:val="0"/>
              <w:spacing w:before="0" w:after="283"/>
              <w:jc w:val="center"/>
              <w:rPr>
                <w:sz w:val="16"/>
              </w:rPr>
            </w:pPr>
            <w:r>
              <w:rPr>
                <w:sz w:val="16"/>
              </w:rPr>
              <w:t>For the</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14"/>
            <w:tcBorders/>
            <w:vAlign w:val="center"/>
          </w:tcPr>
          <w:p>
            <w:pPr>
              <w:pStyle w:val="TableContents"/>
              <w:bidi w:val="0"/>
              <w:spacing w:before="0" w:after="283"/>
              <w:jc w:val="center"/>
              <w:rPr>
                <w:sz w:val="16"/>
              </w:rPr>
            </w:pPr>
            <w:r>
              <w:rPr>
                <w:sz w:val="16"/>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14"/>
            <w:tcBorders/>
            <w:vAlign w:val="center"/>
          </w:tcPr>
          <w:p>
            <w:pPr>
              <w:pStyle w:val="TableContents"/>
              <w:bidi w:val="0"/>
              <w:spacing w:before="0" w:after="283"/>
              <w:jc w:val="center"/>
              <w:rPr>
                <w:sz w:val="16"/>
              </w:rPr>
            </w:pPr>
            <w:r>
              <w:rPr>
                <w:sz w:val="16"/>
              </w:rPr>
              <w:t>Six months ended</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14"/>
            <w:tcBorders>
              <w:bottom w:val="single" w:sz="8" w:space="0" w:color="000000"/>
            </w:tcBorders>
            <w:tcMar>
              <w:bottom w:w="28" w:type="dxa"/>
            </w:tcMar>
            <w:vAlign w:val="center"/>
          </w:tcPr>
          <w:p>
            <w:pPr>
              <w:pStyle w:val="TableContents"/>
              <w:bidi w:val="0"/>
              <w:spacing w:before="0" w:after="283"/>
              <w:jc w:val="center"/>
              <w:rPr>
                <w:sz w:val="16"/>
              </w:rPr>
            </w:pPr>
            <w:r>
              <w:rPr>
                <w:sz w:val="16"/>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14"/>
            <w:tcBorders>
              <w:bottom w:val="single" w:sz="8" w:space="0" w:color="000000"/>
            </w:tcBorders>
            <w:tcMar>
              <w:bottom w:w="28" w:type="dxa"/>
            </w:tcMar>
            <w:vAlign w:val="center"/>
          </w:tcPr>
          <w:p>
            <w:pPr>
              <w:pStyle w:val="TableContents"/>
              <w:bidi w:val="0"/>
              <w:spacing w:before="0" w:after="283"/>
              <w:jc w:val="center"/>
              <w:rPr>
                <w:sz w:val="16"/>
              </w:rPr>
            </w:pPr>
            <w:r>
              <w:rPr>
                <w:sz w:val="16"/>
              </w:rPr>
              <w:t>June 30,</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6"/>
            <w:tcBorders>
              <w:bottom w:val="single" w:sz="8" w:space="0" w:color="000000"/>
            </w:tcBorders>
            <w:tcMar>
              <w:bottom w:w="28" w:type="dxa"/>
            </w:tcMar>
            <w:vAlign w:val="center"/>
          </w:tcPr>
          <w:p>
            <w:pPr>
              <w:pStyle w:val="TableContents"/>
              <w:bidi w:val="0"/>
              <w:spacing w:before="0" w:after="283"/>
              <w:jc w:val="center"/>
              <w:rPr>
                <w:sz w:val="16"/>
              </w:rPr>
            </w:pPr>
            <w:r>
              <w:rPr>
                <w:sz w:val="16"/>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6"/>
            <w:tcBorders>
              <w:bottom w:val="single" w:sz="8" w:space="0" w:color="000000"/>
            </w:tcBorders>
            <w:tcMar>
              <w:bottom w:w="28" w:type="dxa"/>
            </w:tcMar>
            <w:vAlign w:val="center"/>
          </w:tcPr>
          <w:p>
            <w:pPr>
              <w:pStyle w:val="TableContents"/>
              <w:bidi w:val="0"/>
              <w:spacing w:before="0" w:after="283"/>
              <w:jc w:val="center"/>
              <w:rPr>
                <w:sz w:val="16"/>
              </w:rPr>
            </w:pPr>
            <w:r>
              <w:rPr>
                <w:sz w:val="16"/>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6"/>
            <w:tcBorders>
              <w:bottom w:val="single" w:sz="8" w:space="0" w:color="000000"/>
            </w:tcBorders>
            <w:tcMar>
              <w:bottom w:w="28" w:type="dxa"/>
            </w:tcMar>
            <w:vAlign w:val="center"/>
          </w:tcPr>
          <w:p>
            <w:pPr>
              <w:pStyle w:val="TableContents"/>
              <w:bidi w:val="0"/>
              <w:spacing w:before="0" w:after="283"/>
              <w:jc w:val="center"/>
              <w:rPr>
                <w:sz w:val="16"/>
              </w:rPr>
            </w:pPr>
            <w:r>
              <w:rPr>
                <w:sz w:val="16"/>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6"/>
            <w:tcBorders>
              <w:bottom w:val="single" w:sz="8" w:space="0" w:color="000000"/>
            </w:tcBorders>
            <w:tcMar>
              <w:bottom w:w="28" w:type="dxa"/>
            </w:tcMar>
            <w:vAlign w:val="center"/>
          </w:tcPr>
          <w:p>
            <w:pPr>
              <w:pStyle w:val="TableContents"/>
              <w:bidi w:val="0"/>
              <w:spacing w:before="0" w:after="283"/>
              <w:jc w:val="center"/>
              <w:rPr>
                <w:sz w:val="16"/>
              </w:rPr>
            </w:pPr>
            <w:r>
              <w:rPr>
                <w:sz w:val="16"/>
              </w:rPr>
              <w:t>2025</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8" w:space="0" w:color="000000"/>
            </w:tcBorders>
            <w:tcMar>
              <w:bottom w:w="28" w:type="dxa"/>
            </w:tcMar>
            <w:vAlign w:val="center"/>
          </w:tcPr>
          <w:p>
            <w:pPr>
              <w:pStyle w:val="TableContents"/>
              <w:bidi w:val="0"/>
              <w:spacing w:before="0" w:after="283"/>
              <w:jc w:val="center"/>
              <w:rPr>
                <w:sz w:val="16"/>
              </w:rPr>
            </w:pPr>
            <w:r>
              <w:rPr>
                <w:sz w:val="16"/>
              </w:rPr>
              <w:t>$</w:t>
            </w:r>
          </w:p>
        </w:tc>
        <w:tc>
          <w:tcPr>
            <w:tcW w:w="515" w:type="dxa"/>
            <w:tcBorders>
              <w:bottom w:val="single" w:sz="8" w:space="0" w:color="000000"/>
            </w:tcBorders>
            <w:tcMar>
              <w:bottom w:w="28" w:type="dxa"/>
            </w:tcMar>
            <w:vAlign w:val="center"/>
          </w:tcPr>
          <w:p>
            <w:pPr>
              <w:pStyle w:val="TableContents"/>
              <w:bidi w:val="0"/>
              <w:spacing w:before="0" w:after="283"/>
              <w:jc w:val="center"/>
              <w:rPr>
                <w:sz w:val="16"/>
              </w:rPr>
            </w:pPr>
            <w:r>
              <w:rPr>
                <w:sz w:val="16"/>
              </w:rPr>
              <w:t>(3)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70" w:type="dxa"/>
            <w:tcBorders>
              <w:bottom w:val="single" w:sz="8" w:space="0" w:color="000000"/>
            </w:tcBorders>
            <w:tcMar>
              <w:bottom w:w="28" w:type="dxa"/>
            </w:tcMar>
            <w:vAlign w:val="center"/>
          </w:tcPr>
          <w:p>
            <w:pPr>
              <w:pStyle w:val="TableContents"/>
              <w:bidi w:val="0"/>
              <w:spacing w:before="0" w:after="283"/>
              <w:jc w:val="center"/>
              <w:rPr/>
            </w:pPr>
            <w:r>
              <w:rPr>
                <w:sz w:val="16"/>
              </w:rPr>
              <w:t>%(4</w:t>
            </w:r>
            <w:r>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8" w:space="0" w:color="000000"/>
            </w:tcBorders>
            <w:tcMar>
              <w:bottom w:w="28" w:type="dxa"/>
            </w:tcMar>
            <w:vAlign w:val="center"/>
          </w:tcPr>
          <w:p>
            <w:pPr>
              <w:pStyle w:val="TableContents"/>
              <w:bidi w:val="0"/>
              <w:spacing w:before="0" w:after="283"/>
              <w:jc w:val="center"/>
              <w:rPr>
                <w:sz w:val="16"/>
              </w:rPr>
            </w:pPr>
            <w:r>
              <w:rPr>
                <w:sz w:val="16"/>
              </w:rPr>
              <w:t>$</w:t>
            </w:r>
          </w:p>
        </w:tc>
        <w:tc>
          <w:tcPr>
            <w:tcW w:w="515" w:type="dxa"/>
            <w:tcBorders>
              <w:bottom w:val="single" w:sz="8" w:space="0" w:color="000000"/>
            </w:tcBorders>
            <w:tcMar>
              <w:bottom w:w="28" w:type="dxa"/>
            </w:tcMar>
            <w:vAlign w:val="center"/>
          </w:tcPr>
          <w:p>
            <w:pPr>
              <w:pStyle w:val="TableContents"/>
              <w:bidi w:val="0"/>
              <w:spacing w:before="0" w:after="283"/>
              <w:jc w:val="center"/>
              <w:rPr>
                <w:sz w:val="16"/>
              </w:rPr>
            </w:pPr>
            <w:r>
              <w:rPr>
                <w:sz w:val="16"/>
              </w:rPr>
              <w:t>(3)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70" w:type="dxa"/>
            <w:tcBorders>
              <w:bottom w:val="single" w:sz="8" w:space="0" w:color="000000"/>
            </w:tcBorders>
            <w:tcMar>
              <w:bottom w:w="28" w:type="dxa"/>
            </w:tcMar>
            <w:vAlign w:val="center"/>
          </w:tcPr>
          <w:p>
            <w:pPr>
              <w:pStyle w:val="TableContents"/>
              <w:bidi w:val="0"/>
              <w:spacing w:before="0" w:after="283"/>
              <w:jc w:val="center"/>
              <w:rPr>
                <w:sz w:val="16"/>
              </w:rPr>
            </w:pPr>
            <w:r>
              <w:rPr>
                <w:sz w:val="16"/>
              </w:rPr>
              <w:t>%(4)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8" w:space="0" w:color="000000"/>
            </w:tcBorders>
            <w:tcMar>
              <w:bottom w:w="28" w:type="dxa"/>
            </w:tcMar>
            <w:vAlign w:val="center"/>
          </w:tcPr>
          <w:p>
            <w:pPr>
              <w:pStyle w:val="TableContents"/>
              <w:bidi w:val="0"/>
              <w:spacing w:before="0" w:after="283"/>
              <w:jc w:val="center"/>
              <w:rPr>
                <w:sz w:val="16"/>
              </w:rPr>
            </w:pPr>
            <w:r>
              <w:rPr>
                <w:sz w:val="16"/>
              </w:rPr>
              <w:t>$</w:t>
            </w:r>
          </w:p>
        </w:tc>
        <w:tc>
          <w:tcPr>
            <w:tcW w:w="575" w:type="dxa"/>
            <w:tcBorders>
              <w:bottom w:val="single" w:sz="8" w:space="0" w:color="000000"/>
            </w:tcBorders>
            <w:tcMar>
              <w:bottom w:w="28" w:type="dxa"/>
            </w:tcMar>
            <w:vAlign w:val="center"/>
          </w:tcPr>
          <w:p>
            <w:pPr>
              <w:pStyle w:val="TableContents"/>
              <w:bidi w:val="0"/>
              <w:spacing w:before="0" w:after="283"/>
              <w:jc w:val="center"/>
              <w:rPr>
                <w:sz w:val="16"/>
              </w:rPr>
            </w:pPr>
            <w:r>
              <w:rPr>
                <w:sz w:val="16"/>
              </w:rPr>
              <w:t>(3)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70" w:type="dxa"/>
            <w:tcBorders>
              <w:bottom w:val="single" w:sz="8" w:space="0" w:color="000000"/>
            </w:tcBorders>
            <w:tcMar>
              <w:bottom w:w="28" w:type="dxa"/>
            </w:tcMar>
            <w:vAlign w:val="center"/>
          </w:tcPr>
          <w:p>
            <w:pPr>
              <w:pStyle w:val="TableContents"/>
              <w:bidi w:val="0"/>
              <w:spacing w:before="0" w:after="283"/>
              <w:jc w:val="center"/>
              <w:rPr>
                <w:sz w:val="16"/>
              </w:rPr>
            </w:pPr>
            <w:r>
              <w:rPr>
                <w:sz w:val="16"/>
              </w:rPr>
              <w:t>%(4)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110" w:type="dxa"/>
            <w:tcBorders>
              <w:bottom w:val="single" w:sz="8" w:space="0" w:color="000000"/>
            </w:tcBorders>
            <w:tcMar>
              <w:bottom w:w="28" w:type="dxa"/>
            </w:tcMar>
            <w:vAlign w:val="center"/>
          </w:tcPr>
          <w:p>
            <w:pPr>
              <w:pStyle w:val="TableContents"/>
              <w:bidi w:val="0"/>
              <w:spacing w:before="0" w:after="283"/>
              <w:jc w:val="center"/>
              <w:rPr>
                <w:sz w:val="16"/>
              </w:rPr>
            </w:pPr>
            <w:r>
              <w:rPr>
                <w:sz w:val="16"/>
              </w:rPr>
              <w:t>$</w:t>
            </w:r>
          </w:p>
        </w:tc>
        <w:tc>
          <w:tcPr>
            <w:tcW w:w="575" w:type="dxa"/>
            <w:tcBorders>
              <w:bottom w:val="single" w:sz="8" w:space="0" w:color="000000"/>
            </w:tcBorders>
            <w:tcMar>
              <w:bottom w:w="28" w:type="dxa"/>
            </w:tcMar>
            <w:vAlign w:val="center"/>
          </w:tcPr>
          <w:p>
            <w:pPr>
              <w:pStyle w:val="TableContents"/>
              <w:bidi w:val="0"/>
              <w:spacing w:before="0" w:after="283"/>
              <w:jc w:val="center"/>
              <w:rPr>
                <w:sz w:val="16"/>
              </w:rPr>
            </w:pPr>
            <w:r>
              <w:rPr>
                <w:sz w:val="16"/>
              </w:rPr>
              <w:t>(3)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70" w:type="dxa"/>
            <w:tcBorders>
              <w:bottom w:val="single" w:sz="8" w:space="0" w:color="000000"/>
            </w:tcBorders>
            <w:tcMar>
              <w:bottom w:w="28" w:type="dxa"/>
            </w:tcMar>
            <w:vAlign w:val="center"/>
          </w:tcPr>
          <w:p>
            <w:pPr>
              <w:pStyle w:val="TableContents"/>
              <w:bidi w:val="0"/>
              <w:spacing w:before="0" w:after="283"/>
              <w:jc w:val="center"/>
              <w:rPr>
                <w:sz w:val="16"/>
              </w:rPr>
            </w:pPr>
            <w:r>
              <w:rPr>
                <w:sz w:val="16"/>
              </w:rPr>
              <w:t>%(4)</w:t>
            </w:r>
          </w:p>
        </w:tc>
        <w:tc>
          <w:tcPr>
            <w:tcW w:w="75" w:type="dxa"/>
            <w:tcBorders/>
            <w:vAlign w:val="center"/>
          </w:tcPr>
          <w:p>
            <w:pPr>
              <w:pStyle w:val="TableContents"/>
              <w:bidi w:val="0"/>
              <w:spacing w:before="0" w:after="283"/>
              <w:jc w:val="center"/>
              <w:rPr/>
            </w:pPr>
            <w:r>
              <w:rPr/>
              <w:t> </w:t>
            </w:r>
          </w:p>
        </w:tc>
      </w:tr>
      <w:tr>
        <w:trPr/>
        <w:tc>
          <w:tcPr>
            <w:tcW w:w="3530" w:type="dxa"/>
            <w:tcBorders/>
            <w:shd w:fill="EEEEEE" w:val="clear"/>
            <w:vAlign w:val="center"/>
          </w:tcPr>
          <w:p>
            <w:pPr>
              <w:pStyle w:val="TableContents"/>
              <w:bidi w:val="0"/>
              <w:spacing w:before="0" w:after="283"/>
              <w:jc w:val="left"/>
              <w:rPr>
                <w:sz w:val="16"/>
              </w:rPr>
            </w:pPr>
            <w:r>
              <w:rPr>
                <w:sz w:val="16"/>
              </w:rPr>
              <w:t>Interest income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6"/>
              </w:rPr>
            </w:pPr>
            <w:r>
              <w:rPr>
                <w:sz w:val="16"/>
              </w:rPr>
              <w:t>$</w:t>
            </w:r>
          </w:p>
        </w:tc>
        <w:tc>
          <w:tcPr>
            <w:tcW w:w="515" w:type="dxa"/>
            <w:tcBorders/>
            <w:shd w:fill="EEEEEE" w:val="clear"/>
            <w:vAlign w:val="center"/>
          </w:tcPr>
          <w:p>
            <w:pPr>
              <w:pStyle w:val="TableContents"/>
              <w:bidi w:val="0"/>
              <w:spacing w:before="0" w:after="283"/>
              <w:jc w:val="right"/>
              <w:rPr>
                <w:sz w:val="16"/>
              </w:rPr>
            </w:pPr>
            <w:r>
              <w:rPr>
                <w:sz w:val="16"/>
              </w:rPr>
              <w:t>118.11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11.3%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6"/>
              </w:rPr>
            </w:pPr>
            <w:r>
              <w:rPr>
                <w:sz w:val="16"/>
              </w:rPr>
              <w:t>$</w:t>
            </w:r>
          </w:p>
        </w:tc>
        <w:tc>
          <w:tcPr>
            <w:tcW w:w="515" w:type="dxa"/>
            <w:tcBorders/>
            <w:shd w:fill="EEEEEE" w:val="clear"/>
            <w:vAlign w:val="center"/>
          </w:tcPr>
          <w:p>
            <w:pPr>
              <w:pStyle w:val="TableContents"/>
              <w:bidi w:val="0"/>
              <w:spacing w:before="0" w:after="283"/>
              <w:jc w:val="right"/>
              <w:rPr>
                <w:sz w:val="16"/>
              </w:rPr>
            </w:pPr>
            <w:r>
              <w:rPr>
                <w:sz w:val="16"/>
              </w:rPr>
              <w:t>105.36</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11.4%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6"/>
              </w:rPr>
            </w:pPr>
            <w:r>
              <w:rPr>
                <w:sz w:val="16"/>
              </w:rPr>
              <w:t>$</w:t>
            </w:r>
          </w:p>
        </w:tc>
        <w:tc>
          <w:tcPr>
            <w:tcW w:w="575" w:type="dxa"/>
            <w:tcBorders/>
            <w:shd w:fill="EEEEEE" w:val="clear"/>
            <w:vAlign w:val="center"/>
          </w:tcPr>
          <w:p>
            <w:pPr>
              <w:pStyle w:val="TableContents"/>
              <w:bidi w:val="0"/>
              <w:spacing w:before="0" w:after="283"/>
              <w:jc w:val="right"/>
              <w:rPr>
                <w:sz w:val="16"/>
              </w:rPr>
            </w:pPr>
            <w:r>
              <w:rPr>
                <w:sz w:val="16"/>
              </w:rPr>
              <w:t>226.83</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11.3%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6"/>
              </w:rPr>
            </w:pPr>
            <w:r>
              <w:rPr>
                <w:sz w:val="16"/>
              </w:rPr>
              <w:t>$</w:t>
            </w:r>
          </w:p>
        </w:tc>
        <w:tc>
          <w:tcPr>
            <w:tcW w:w="575" w:type="dxa"/>
            <w:tcBorders/>
            <w:shd w:fill="EEEEEE" w:val="clear"/>
            <w:vAlign w:val="center"/>
          </w:tcPr>
          <w:p>
            <w:pPr>
              <w:pStyle w:val="TableContents"/>
              <w:bidi w:val="0"/>
              <w:spacing w:before="0" w:after="283"/>
              <w:jc w:val="right"/>
              <w:rPr>
                <w:sz w:val="16"/>
              </w:rPr>
            </w:pPr>
            <w:r>
              <w:rPr>
                <w:sz w:val="16"/>
              </w:rPr>
              <w:t>207.30</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11.4%</w:t>
            </w:r>
          </w:p>
        </w:tc>
        <w:tc>
          <w:tcPr>
            <w:tcW w:w="75" w:type="dxa"/>
            <w:tcBorders/>
            <w:shd w:fill="EEEEEE"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16"/>
              </w:rPr>
            </w:pPr>
            <w:r>
              <w:rPr>
                <w:sz w:val="16"/>
              </w:rPr>
              <w:t>Interest expense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(64.25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(58.70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(124.31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(113.62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-6.3%</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EEEEEE" w:val="clear"/>
            <w:vAlign w:val="center"/>
          </w:tcPr>
          <w:p>
            <w:pPr>
              <w:pStyle w:val="TableContents"/>
              <w:bidi w:val="0"/>
              <w:spacing w:before="0" w:after="283"/>
              <w:jc w:val="left"/>
              <w:rPr>
                <w:sz w:val="16"/>
              </w:rPr>
            </w:pPr>
            <w:r>
              <w:rPr>
                <w:sz w:val="16"/>
              </w:rPr>
              <w:t>Net interest margin</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515" w:type="dxa"/>
            <w:tcBorders/>
            <w:shd w:fill="EEEEEE" w:val="clear"/>
            <w:vAlign w:val="center"/>
          </w:tcPr>
          <w:p>
            <w:pPr>
              <w:pStyle w:val="TableContents"/>
              <w:bidi w:val="0"/>
              <w:spacing w:before="0" w:after="283"/>
              <w:jc w:val="right"/>
              <w:rPr>
                <w:sz w:val="16"/>
              </w:rPr>
            </w:pPr>
            <w:r>
              <w:rPr>
                <w:sz w:val="16"/>
              </w:rPr>
              <w:t>53.86</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5.1%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515" w:type="dxa"/>
            <w:tcBorders/>
            <w:shd w:fill="EEEEEE" w:val="clear"/>
            <w:vAlign w:val="center"/>
          </w:tcPr>
          <w:p>
            <w:pPr>
              <w:pStyle w:val="TableContents"/>
              <w:bidi w:val="0"/>
              <w:spacing w:before="0" w:after="283"/>
              <w:jc w:val="right"/>
              <w:rPr>
                <w:sz w:val="16"/>
              </w:rPr>
            </w:pPr>
            <w:r>
              <w:rPr>
                <w:sz w:val="16"/>
              </w:rPr>
              <w:t>46.66</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5.1%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575" w:type="dxa"/>
            <w:tcBorders/>
            <w:shd w:fill="EEEEEE" w:val="clear"/>
            <w:vAlign w:val="center"/>
          </w:tcPr>
          <w:p>
            <w:pPr>
              <w:pStyle w:val="TableContents"/>
              <w:bidi w:val="0"/>
              <w:spacing w:before="0" w:after="283"/>
              <w:jc w:val="right"/>
              <w:rPr>
                <w:sz w:val="16"/>
              </w:rPr>
            </w:pPr>
            <w:r>
              <w:rPr>
                <w:sz w:val="16"/>
              </w:rPr>
              <w:t>102.52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5.1%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575" w:type="dxa"/>
            <w:tcBorders/>
            <w:shd w:fill="EEEEEE" w:val="clear"/>
            <w:vAlign w:val="center"/>
          </w:tcPr>
          <w:p>
            <w:pPr>
              <w:pStyle w:val="TableContents"/>
              <w:bidi w:val="0"/>
              <w:spacing w:before="0" w:after="283"/>
              <w:jc w:val="right"/>
              <w:rPr>
                <w:sz w:val="16"/>
              </w:rPr>
            </w:pPr>
            <w:r>
              <w:rPr>
                <w:sz w:val="16"/>
              </w:rPr>
              <w:t>93.67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5.2%</w:t>
            </w:r>
          </w:p>
        </w:tc>
        <w:tc>
          <w:tcPr>
            <w:tcW w:w="75" w:type="dxa"/>
            <w:tcBorders/>
            <w:shd w:fill="EEEEEE"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16"/>
              </w:rPr>
            </w:pPr>
            <w:r>
              <w:rPr>
                <w:sz w:val="16"/>
              </w:rPr>
              <w:t>Mark to finance receivables measured at fair value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sz w:val="16"/>
              </w:rPr>
            </w:pPr>
            <w:r>
              <w:rPr>
                <w:sz w:val="16"/>
              </w:rPr>
              <w:t>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sz w:val="16"/>
              </w:rPr>
            </w:pPr>
            <w:r>
              <w:rPr>
                <w:sz w:val="16"/>
              </w:rPr>
              <w:t>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sz w:val="16"/>
              </w:rPr>
            </w:pPr>
            <w:r>
              <w:rPr>
                <w:sz w:val="16"/>
              </w:rPr>
              <w:t>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sz w:val="16"/>
              </w:rPr>
            </w:pPr>
            <w:r>
              <w:rPr>
                <w:sz w:val="16"/>
              </w:rPr>
              <w:t>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16"/>
              </w:rPr>
            </w:pPr>
            <w:r>
              <w:rPr>
                <w:sz w:val="16"/>
              </w:rPr>
              <w:t>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sz w:val="16"/>
              </w:rPr>
            </w:pPr>
            <w:r>
              <w:rPr>
                <w:sz w:val="16"/>
              </w:rPr>
              <w:t>0.4%</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EEEEEE" w:val="clear"/>
            <w:vAlign w:val="center"/>
          </w:tcPr>
          <w:p>
            <w:pPr>
              <w:pStyle w:val="TableContents"/>
              <w:bidi w:val="0"/>
              <w:spacing w:before="0" w:after="283"/>
              <w:jc w:val="left"/>
              <w:rPr>
                <w:sz w:val="16"/>
              </w:rPr>
            </w:pPr>
            <w:r>
              <w:rPr>
                <w:sz w:val="16"/>
              </w:rPr>
              <w:t>Other income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515" w:type="dxa"/>
            <w:tcBorders/>
            <w:shd w:fill="EEEEEE" w:val="clear"/>
            <w:vAlign w:val="center"/>
          </w:tcPr>
          <w:p>
            <w:pPr>
              <w:pStyle w:val="TableContents"/>
              <w:bidi w:val="0"/>
              <w:spacing w:before="0" w:after="283"/>
              <w:jc w:val="right"/>
              <w:rPr>
                <w:sz w:val="16"/>
              </w:rPr>
            </w:pPr>
            <w:r>
              <w:rPr>
                <w:sz w:val="16"/>
              </w:rPr>
              <w:t>3.28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0.3%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515" w:type="dxa"/>
            <w:tcBorders/>
            <w:shd w:fill="EEEEEE" w:val="clear"/>
            <w:vAlign w:val="center"/>
          </w:tcPr>
          <w:p>
            <w:pPr>
              <w:pStyle w:val="TableContents"/>
              <w:bidi w:val="0"/>
              <w:spacing w:before="0" w:after="283"/>
              <w:jc w:val="right"/>
              <w:rPr>
                <w:sz w:val="16"/>
              </w:rPr>
            </w:pPr>
            <w:r>
              <w:rPr>
                <w:sz w:val="16"/>
              </w:rPr>
              <w:t>1.40</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0.2%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575" w:type="dxa"/>
            <w:tcBorders/>
            <w:shd w:fill="EEEEEE" w:val="clear"/>
            <w:vAlign w:val="center"/>
          </w:tcPr>
          <w:p>
            <w:pPr>
              <w:pStyle w:val="TableContents"/>
              <w:bidi w:val="0"/>
              <w:spacing w:before="0" w:after="283"/>
              <w:jc w:val="right"/>
              <w:rPr>
                <w:sz w:val="16"/>
              </w:rPr>
            </w:pPr>
            <w:r>
              <w:rPr>
                <w:sz w:val="16"/>
              </w:rPr>
              <w:t>6.89</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0.3%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575" w:type="dxa"/>
            <w:tcBorders/>
            <w:shd w:fill="EEEEEE" w:val="clear"/>
            <w:vAlign w:val="center"/>
          </w:tcPr>
          <w:p>
            <w:pPr>
              <w:pStyle w:val="TableContents"/>
              <w:bidi w:val="0"/>
              <w:spacing w:before="0" w:after="283"/>
              <w:jc w:val="right"/>
              <w:rPr>
                <w:sz w:val="16"/>
              </w:rPr>
            </w:pPr>
            <w:r>
              <w:rPr>
                <w:sz w:val="16"/>
              </w:rPr>
              <w:t>2.84</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0.2%</w:t>
            </w:r>
          </w:p>
        </w:tc>
        <w:tc>
          <w:tcPr>
            <w:tcW w:w="75" w:type="dxa"/>
            <w:tcBorders/>
            <w:shd w:fill="EEEEEE"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16"/>
              </w:rPr>
            </w:pPr>
            <w:r>
              <w:rPr>
                <w:sz w:val="16"/>
              </w:rPr>
              <w:t>Operating expenses (5)</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(48.10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(44.11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(92.35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(89.26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-4.9%</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EEEEEE" w:val="clear"/>
            <w:vAlign w:val="center"/>
          </w:tcPr>
          <w:p>
            <w:pPr>
              <w:pStyle w:val="TableContents"/>
              <w:bidi w:val="0"/>
              <w:spacing w:before="0" w:after="283"/>
              <w:jc w:val="left"/>
              <w:rPr>
                <w:sz w:val="16"/>
              </w:rPr>
            </w:pPr>
            <w:r>
              <w:rPr>
                <w:sz w:val="16"/>
              </w:rPr>
              <w:t>Pre-tax income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6"/>
              </w:rPr>
            </w:pPr>
            <w:r>
              <w:rPr>
                <w:sz w:val="16"/>
              </w:rPr>
              <w:t>$</w:t>
            </w:r>
          </w:p>
        </w:tc>
        <w:tc>
          <w:tcPr>
            <w:tcW w:w="515" w:type="dxa"/>
            <w:tcBorders/>
            <w:shd w:fill="EEEEEE" w:val="clear"/>
            <w:vAlign w:val="center"/>
          </w:tcPr>
          <w:p>
            <w:pPr>
              <w:pStyle w:val="TableContents"/>
              <w:bidi w:val="0"/>
              <w:spacing w:before="0" w:after="283"/>
              <w:jc w:val="right"/>
              <w:rPr>
                <w:sz w:val="16"/>
              </w:rPr>
            </w:pPr>
            <w:r>
              <w:rPr>
                <w:sz w:val="16"/>
              </w:rPr>
              <w:t>9.04</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0.9%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6"/>
              </w:rPr>
            </w:pPr>
            <w:r>
              <w:rPr>
                <w:sz w:val="16"/>
              </w:rPr>
              <w:t>$</w:t>
            </w:r>
          </w:p>
        </w:tc>
        <w:tc>
          <w:tcPr>
            <w:tcW w:w="515" w:type="dxa"/>
            <w:tcBorders/>
            <w:shd w:fill="EEEEEE" w:val="clear"/>
            <w:vAlign w:val="center"/>
          </w:tcPr>
          <w:p>
            <w:pPr>
              <w:pStyle w:val="TableContents"/>
              <w:bidi w:val="0"/>
              <w:spacing w:before="0" w:after="283"/>
              <w:jc w:val="right"/>
              <w:rPr>
                <w:sz w:val="16"/>
              </w:rPr>
            </w:pPr>
            <w:r>
              <w:rPr>
                <w:sz w:val="16"/>
              </w:rPr>
              <w:t>6.95</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0.8%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6"/>
              </w:rPr>
            </w:pPr>
            <w:r>
              <w:rPr>
                <w:sz w:val="16"/>
              </w:rPr>
              <w:t>$</w:t>
            </w:r>
          </w:p>
        </w:tc>
        <w:tc>
          <w:tcPr>
            <w:tcW w:w="575" w:type="dxa"/>
            <w:tcBorders/>
            <w:shd w:fill="EEEEEE" w:val="clear"/>
            <w:vAlign w:val="center"/>
          </w:tcPr>
          <w:p>
            <w:pPr>
              <w:pStyle w:val="TableContents"/>
              <w:bidi w:val="0"/>
              <w:spacing w:before="0" w:after="283"/>
              <w:jc w:val="right"/>
              <w:rPr>
                <w:sz w:val="16"/>
              </w:rPr>
            </w:pPr>
            <w:r>
              <w:rPr>
                <w:sz w:val="16"/>
              </w:rPr>
              <w:t>17.06</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0.8%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6"/>
              </w:rPr>
            </w:pPr>
            <w:r>
              <w:rPr>
                <w:sz w:val="16"/>
              </w:rPr>
              <w:t>$</w:t>
            </w:r>
          </w:p>
        </w:tc>
        <w:tc>
          <w:tcPr>
            <w:tcW w:w="575" w:type="dxa"/>
            <w:tcBorders/>
            <w:shd w:fill="EEEEEE" w:val="clear"/>
            <w:vAlign w:val="center"/>
          </w:tcPr>
          <w:p>
            <w:pPr>
              <w:pStyle w:val="TableContents"/>
              <w:bidi w:val="0"/>
              <w:spacing w:before="0" w:after="283"/>
              <w:jc w:val="right"/>
              <w:rPr>
                <w:sz w:val="16"/>
              </w:rPr>
            </w:pPr>
            <w:r>
              <w:rPr>
                <w:sz w:val="16"/>
              </w:rPr>
              <w:t>13.75</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70" w:type="dxa"/>
            <w:tcBorders/>
            <w:shd w:fill="EEEEEE" w:val="clear"/>
            <w:vAlign w:val="center"/>
          </w:tcPr>
          <w:p>
            <w:pPr>
              <w:pStyle w:val="TableContents"/>
              <w:bidi w:val="0"/>
              <w:spacing w:before="0" w:after="283"/>
              <w:jc w:val="right"/>
              <w:rPr>
                <w:sz w:val="16"/>
              </w:rPr>
            </w:pPr>
            <w:r>
              <w:rPr>
                <w:sz w:val="16"/>
              </w:rPr>
              <w:t>0.8%</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Excludes third party portfolios.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Wholesale auction liquidation amounts (net of expenses) as a percentage of the account balance at the time of sale.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Numbers may not add due to rounding.</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Annualized percentage of the average portfolio balance. Percentages may not add due to rounding.</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Total pre-tax expenses less interest expense.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1976</Words>
  <Characters>10835</Characters>
  <CharactersWithSpaces>13456</CharactersWithSpaces>
  <Paragraphs>1420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