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4" w:lineRule="exact"/>
        <w:rPr>
          <w:sz w:val="24"/>
          <w:szCs w:val="24"/>
          <w:color w:val="auto"/>
        </w:rPr>
      </w:pPr>
    </w:p>
    <w:p>
      <w:pPr>
        <w:ind w:left="3980" w:right="1700" w:hanging="3972"/>
        <w:spacing w:after="0" w:line="501" w:lineRule="auto"/>
        <w:tabs>
          <w:tab w:leader="none" w:pos="58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7"/>
              </w:rPr>
              <w:t>California</w:t>
            </w:r>
          </w:p>
        </w:tc>
        <w:tc>
          <w:tcPr>
            <w:tcW w:w="3640" w:type="dxa"/>
            <w:vAlign w:val="bottom"/>
          </w:tcPr>
          <w:p>
            <w:pPr>
              <w:jc w:val="right"/>
              <w:ind w:right="71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9"/>
              </w:rPr>
              <w:t>3800 Howard Hughes Parkway, Suite 1400,</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spacing w:after="0"/>
              <w:rPr>
                <w:sz w:val="18"/>
                <w:szCs w:val="18"/>
                <w:color w:val="auto"/>
              </w:rPr>
            </w:pP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Securities Exchange Act of 1934 during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[_]</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[_]</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7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Large Accelerated Filer [_]</w:t>
      </w:r>
      <w:r>
        <w:rPr>
          <w:sz w:val="20"/>
          <w:szCs w:val="20"/>
          <w:color w:val="auto"/>
        </w:rPr>
        <w:tab/>
      </w:r>
      <w:r>
        <w:rPr>
          <w:rFonts w:ascii="Arial" w:cs="Arial" w:eastAsia="Arial" w:hAnsi="Arial"/>
          <w:sz w:val="17"/>
          <w:szCs w:val="17"/>
          <w:color w:val="auto"/>
        </w:rPr>
        <w:t>Accelerated Filer [X]</w:t>
      </w:r>
    </w:p>
    <w:p>
      <w:pPr>
        <w:spacing w:after="0" w:line="2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Non-Accelerated Filer [_]</w:t>
      </w:r>
      <w:r>
        <w:rPr>
          <w:sz w:val="20"/>
          <w:szCs w:val="20"/>
          <w:color w:val="auto"/>
        </w:rPr>
        <w:tab/>
      </w:r>
      <w:r>
        <w:rPr>
          <w:rFonts w:ascii="Arial" w:cs="Arial" w:eastAsia="Arial" w:hAnsi="Arial"/>
          <w:sz w:val="16"/>
          <w:szCs w:val="16"/>
          <w:color w:val="auto"/>
        </w:rPr>
        <w:t>Smaller Reporting Company [_]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July 21, 2015 the registrant had 26,081,055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6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PART I. FINANCIAL INFORMATION</w:t>
            </w:r>
          </w:p>
        </w:tc>
        <w:tc>
          <w:tcPr>
            <w:tcW w:w="86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Financial Statements</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60" w:type="dxa"/>
            <w:vAlign w:val="bottom"/>
          </w:tcPr>
          <w:p>
            <w:pPr>
              <w:ind w:left="360"/>
              <w:spacing w:after="0"/>
              <w:rPr>
                <w:sz w:val="20"/>
                <w:szCs w:val="20"/>
                <w:color w:val="auto"/>
              </w:rPr>
            </w:pPr>
            <w:r>
              <w:rPr>
                <w:rFonts w:ascii="Arial" w:cs="Arial" w:eastAsia="Arial" w:hAnsi="Arial"/>
                <w:sz w:val="18"/>
                <w:szCs w:val="18"/>
                <w:color w:val="auto"/>
              </w:rPr>
              <w:t>Unaudited Condensed Consolidated Balance Sheets as of June 30, 2015 and December 31, 2014</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660" w:type="dxa"/>
            <w:vAlign w:val="bottom"/>
            <w:shd w:val="clear" w:color="auto" w:fill="EEEEEE"/>
          </w:tcPr>
          <w:p>
            <w:pPr>
              <w:ind w:left="360"/>
              <w:spacing w:after="0" w:line="201" w:lineRule="exact"/>
              <w:rPr>
                <w:sz w:val="20"/>
                <w:szCs w:val="20"/>
                <w:color w:val="auto"/>
              </w:rPr>
            </w:pPr>
            <w:r>
              <w:rPr>
                <w:rFonts w:ascii="Arial" w:cs="Arial" w:eastAsia="Arial" w:hAnsi="Arial"/>
                <w:sz w:val="18"/>
                <w:szCs w:val="18"/>
                <w:color w:val="auto"/>
                <w:w w:val="91"/>
              </w:rPr>
              <w:t>Unaudited Condensed Consolidated Statements of Operations for the three-month and six-month periods ended June 30, 2015</w:t>
            </w: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2014</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60" w:type="dxa"/>
            <w:vAlign w:val="bottom"/>
          </w:tcPr>
          <w:p>
            <w:pPr>
              <w:ind w:left="360"/>
              <w:spacing w:after="0" w:line="201" w:lineRule="exact"/>
              <w:rPr>
                <w:sz w:val="20"/>
                <w:szCs w:val="20"/>
                <w:color w:val="auto"/>
              </w:rPr>
            </w:pPr>
            <w:r>
              <w:rPr>
                <w:rFonts w:ascii="Arial" w:cs="Arial" w:eastAsia="Arial" w:hAnsi="Arial"/>
                <w:sz w:val="18"/>
                <w:szCs w:val="18"/>
                <w:color w:val="auto"/>
                <w:w w:val="93"/>
              </w:rPr>
              <w:t>Unaudited Condensed Consolidated Statements of Comprehensive Income for the three-month and six-month periods ended</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60" w:type="dxa"/>
            <w:vAlign w:val="bottom"/>
          </w:tcPr>
          <w:p>
            <w:pPr>
              <w:ind w:left="360"/>
              <w:spacing w:after="0"/>
              <w:rPr>
                <w:sz w:val="20"/>
                <w:szCs w:val="20"/>
                <w:color w:val="auto"/>
              </w:rPr>
            </w:pPr>
            <w:r>
              <w:rPr>
                <w:rFonts w:ascii="Arial" w:cs="Arial" w:eastAsia="Arial" w:hAnsi="Arial"/>
                <w:sz w:val="18"/>
                <w:szCs w:val="18"/>
                <w:color w:val="auto"/>
              </w:rPr>
              <w:t>June 30, 2015 and 2014</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660" w:type="dxa"/>
            <w:vAlign w:val="bottom"/>
            <w:shd w:val="clear" w:color="auto" w:fill="EEEEEE"/>
          </w:tcPr>
          <w:p>
            <w:pPr>
              <w:ind w:left="360"/>
              <w:spacing w:after="0"/>
              <w:rPr>
                <w:sz w:val="20"/>
                <w:szCs w:val="20"/>
                <w:color w:val="auto"/>
              </w:rPr>
            </w:pPr>
            <w:r>
              <w:rPr>
                <w:rFonts w:ascii="Arial" w:cs="Arial" w:eastAsia="Arial" w:hAnsi="Arial"/>
                <w:sz w:val="18"/>
                <w:szCs w:val="18"/>
                <w:color w:val="auto"/>
                <w:w w:val="96"/>
              </w:rPr>
              <w:t>Unaudited Condensed Consolidated Statements of Cash Flows for the six-month periods ended June 30, 2015 and 2014</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9"/>
              </w:rPr>
              <w:t>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60" w:type="dxa"/>
            <w:vAlign w:val="bottom"/>
          </w:tcPr>
          <w:p>
            <w:pPr>
              <w:ind w:left="360"/>
              <w:spacing w:after="0"/>
              <w:rPr>
                <w:sz w:val="20"/>
                <w:szCs w:val="20"/>
                <w:color w:val="auto"/>
              </w:rPr>
            </w:pPr>
            <w:r>
              <w:rPr>
                <w:rFonts w:ascii="Arial" w:cs="Arial" w:eastAsia="Arial" w:hAnsi="Arial"/>
                <w:sz w:val="18"/>
                <w:szCs w:val="18"/>
                <w:color w:val="auto"/>
              </w:rPr>
              <w:t>Notes to Unaudited Condensed Consolidated Financial Statements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9"/>
              </w:rPr>
              <w:t>22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tcPr>
          <w:p>
            <w:pPr>
              <w:ind w:left="360"/>
              <w:spacing w:after="0"/>
              <w:rPr>
                <w:sz w:val="20"/>
                <w:szCs w:val="20"/>
                <w:color w:val="auto"/>
              </w:rPr>
            </w:pPr>
            <w:r>
              <w:rPr>
                <w:rFonts w:ascii="Arial" w:cs="Arial" w:eastAsia="Arial" w:hAnsi="Arial"/>
                <w:sz w:val="18"/>
                <w:szCs w:val="18"/>
                <w:color w:val="auto"/>
              </w:rPr>
              <w:t>Controls and Procedures</w:t>
            </w:r>
          </w:p>
        </w:tc>
        <w:tc>
          <w:tcPr>
            <w:tcW w:w="6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20" w:type="dxa"/>
            <w:vAlign w:val="bottom"/>
          </w:tcPr>
          <w:p>
            <w:pPr>
              <w:ind w:left="3380"/>
              <w:spacing w:after="0"/>
              <w:rPr>
                <w:sz w:val="20"/>
                <w:szCs w:val="20"/>
                <w:color w:val="auto"/>
              </w:rPr>
            </w:pPr>
            <w:r>
              <w:rPr>
                <w:rFonts w:ascii="Arial" w:cs="Arial" w:eastAsia="Arial" w:hAnsi="Arial"/>
                <w:sz w:val="18"/>
                <w:szCs w:val="18"/>
                <w:b w:val="1"/>
                <w:bCs w:val="1"/>
                <w:color w:val="auto"/>
              </w:rPr>
              <w:t>PART II. OTHER INFORMATION</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8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Legal Proceedings</w:t>
            </w:r>
          </w:p>
        </w:tc>
        <w:tc>
          <w:tcPr>
            <w:tcW w:w="244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802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8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244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020" w:type="dxa"/>
            <w:vAlign w:val="bottom"/>
          </w:tcPr>
          <w:p>
            <w:pPr>
              <w:ind w:left="300"/>
              <w:spacing w:after="0"/>
              <w:rPr>
                <w:sz w:val="20"/>
                <w:szCs w:val="20"/>
                <w:color w:val="auto"/>
              </w:rPr>
            </w:pPr>
            <w:r>
              <w:rPr>
                <w:rFonts w:ascii="Arial" w:cs="Arial" w:eastAsia="Arial" w:hAnsi="Arial"/>
                <w:sz w:val="18"/>
                <w:szCs w:val="18"/>
                <w:color w:val="auto"/>
              </w:rPr>
              <w:t>Exhibits</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0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Signatures</w:t>
            </w:r>
          </w:p>
        </w:tc>
        <w:tc>
          <w:tcPr>
            <w:tcW w:w="244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2</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18,436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200,122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1,784,798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1,595,956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(74,541)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1,710,257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1,534,496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1,692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13,893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42,217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28,079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16,892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2,031,904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22,367</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61,771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11,274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Debt secured by receivables measured at fair value</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1,775,574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1,598,496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14,982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1,885,968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1,705,805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26,150,459 and 24,540,640 shares issued</w:t>
            </w: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June 30, 2015 and December 31, 2014 respectively</w:t>
            </w:r>
          </w:p>
        </w:tc>
        <w:tc>
          <w:tcPr>
            <w:tcW w:w="28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82,326</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68,661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(5,051)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145,936</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2,031,904</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84,900</w:t>
            </w:r>
          </w:p>
        </w:tc>
        <w:tc>
          <w:tcPr>
            <w:tcW w:w="5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68,221</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167,259</w:t>
            </w:r>
          </w:p>
        </w:tc>
        <w:tc>
          <w:tcPr>
            <w:tcW w:w="7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3,399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3,006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6,881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88,361</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71,594</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174,350</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139,740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Employee costs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13,144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11,774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27,630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5,108</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5,075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9,944</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13,688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11,942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26,861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35,683</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25,627</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69,122</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4,436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8,639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908</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73,161</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59,265</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144,401</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115,647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6,663</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5,303</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13,079</w:t>
            </w:r>
          </w:p>
        </w:tc>
        <w:tc>
          <w:tcPr>
            <w:tcW w:w="1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16,870</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13,731</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0.33</w:t>
            </w:r>
          </w:p>
        </w:tc>
        <w:tc>
          <w:tcPr>
            <w:tcW w:w="560" w:type="dxa"/>
            <w:vAlign w:val="bottom"/>
            <w:gridSpan w:val="2"/>
            <w:shd w:val="clear" w:color="auto" w:fill="EEEEEE"/>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0.28</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0.65</w:t>
            </w:r>
          </w:p>
        </w:tc>
        <w:tc>
          <w:tcPr>
            <w:tcW w:w="74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w w:val="96"/>
              </w:rPr>
              <w:t>Number of shares used in computing earnings per</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26,234</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25,029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25,936</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31,917</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32,002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31,955</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32,009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40" w:type="dxa"/>
            <w:vAlign w:val="bottom"/>
            <w:gridSpan w:val="5"/>
          </w:tcPr>
          <w:p>
            <w:pPr>
              <w:jc w:val="right"/>
              <w:ind w:right="365"/>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865"/>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8,537</w:t>
            </w:r>
          </w:p>
        </w:tc>
        <w:tc>
          <w:tcPr>
            <w:tcW w:w="1260" w:type="dxa"/>
            <w:vAlign w:val="bottom"/>
            <w:gridSpan w:val="2"/>
            <w:shd w:val="clear" w:color="auto" w:fill="EEEEEE"/>
          </w:tcPr>
          <w:p>
            <w:pPr>
              <w:jc w:val="right"/>
              <w:ind w:right="9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7,026</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16,870</w:t>
            </w:r>
          </w:p>
        </w:tc>
        <w:tc>
          <w:tcPr>
            <w:tcW w:w="560" w:type="dxa"/>
            <w:vAlign w:val="bottom"/>
            <w:gridSpan w:val="2"/>
            <w:shd w:val="clear" w:color="auto" w:fill="EEEEEE"/>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13,731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Other comprehensive income/(loss); change in</w:t>
            </w:r>
          </w:p>
        </w:tc>
        <w:tc>
          <w:tcPr>
            <w:tcW w:w="1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funded status of pension plan</w:t>
            </w:r>
          </w:p>
        </w:tc>
        <w:tc>
          <w:tcPr>
            <w:tcW w:w="1100" w:type="dxa"/>
            <w:vAlign w:val="bottom"/>
            <w:shd w:val="clear" w:color="auto" w:fill="EEEEEE"/>
          </w:tcPr>
          <w:p>
            <w:pPr>
              <w:spacing w:after="0"/>
              <w:rPr>
                <w:sz w:val="21"/>
                <w:szCs w:val="21"/>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540" w:type="dxa"/>
            <w:vAlign w:val="bottom"/>
            <w:shd w:val="clear" w:color="auto" w:fill="EEEEEE"/>
          </w:tcPr>
          <w:p>
            <w:pPr>
              <w:spacing w:after="0"/>
              <w:rPr>
                <w:sz w:val="21"/>
                <w:szCs w:val="21"/>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16,870</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(5,318)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3,437</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69,122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2,176</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(4,707)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5,697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88,891</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(503,791)</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264,226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216,698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1,348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Increases in restricted cash and cash equivalents,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(24,740)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(22,618)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(262,398</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(200,311</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495,000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proceeds from (repayments of)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4,932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(repayments of) residual interest financing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(317,963)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(4,968)</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(1,773)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1,410</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174,084</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125,341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77" w:right="239" w:bottom="451" w:gutter="0" w:footer="0" w:header="0"/>
        </w:sect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(7,686)</w:t>
            </w:r>
          </w:p>
        </w:tc>
      </w:tr>
      <w:tr>
        <w:trPr>
          <w:trHeight w:val="431"/>
        </w:trPr>
        <w:tc>
          <w:tcPr>
            <w:tcW w:w="6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17,859</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22,112</w:t>
            </w:r>
          </w:p>
        </w:tc>
        <w:tc>
          <w:tcPr>
            <w:tcW w:w="60" w:type="dxa"/>
            <w:vAlign w:val="bottom"/>
          </w:tcPr>
          <w:p>
            <w:pPr>
              <w:spacing w:after="0"/>
              <w:rPr>
                <w:sz w:val="24"/>
                <w:szCs w:val="24"/>
                <w:color w:val="auto"/>
              </w:rPr>
            </w:pPr>
          </w:p>
        </w:tc>
      </w:tr>
      <w:tr>
        <w:trPr>
          <w:trHeight w:val="223"/>
        </w:trPr>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14,426</w:t>
            </w:r>
          </w:p>
        </w:tc>
        <w:tc>
          <w:tcPr>
            <w:tcW w:w="60" w:type="dxa"/>
            <w:vAlign w:val="bottom"/>
          </w:tcPr>
          <w:p>
            <w:pPr>
              <w:spacing w:after="0"/>
              <w:rPr>
                <w:sz w:val="19"/>
                <w:szCs w:val="19"/>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877" w:right="239" w:bottom="451"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26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Interest</w:t>
            </w:r>
          </w:p>
        </w:tc>
        <w:tc>
          <w:tcPr>
            <w:tcW w:w="2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22,941</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23,289</w:t>
            </w:r>
          </w:p>
        </w:tc>
      </w:tr>
      <w:tr>
        <w:trPr>
          <w:trHeight w:val="230"/>
        </w:trPr>
        <w:tc>
          <w:tcPr>
            <w:tcW w:w="572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8,455</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451"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 and six month periods ended June 30, 2015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primary components of Other Income for the three-month and six-month periods ending June 30, 2015 and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40" w:type="dxa"/>
            <w:vAlign w:val="bottom"/>
            <w:gridSpan w:val="5"/>
          </w:tcPr>
          <w:p>
            <w:pPr>
              <w:jc w:val="center"/>
              <w:ind w:left="437"/>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505"/>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gridSpan w:val="4"/>
          </w:tcPr>
          <w:p>
            <w:pPr>
              <w:jc w:val="center"/>
              <w:ind w:right="505"/>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2,382</w:t>
            </w:r>
          </w:p>
        </w:tc>
        <w:tc>
          <w:tcPr>
            <w:tcW w:w="1260" w:type="dxa"/>
            <w:vAlign w:val="bottom"/>
            <w:gridSpan w:val="2"/>
            <w:shd w:val="clear" w:color="auto" w:fill="EEEEEE"/>
          </w:tcPr>
          <w:p>
            <w:pPr>
              <w:jc w:val="right"/>
              <w:ind w:right="9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2,171</w:t>
            </w:r>
          </w:p>
        </w:tc>
        <w:tc>
          <w:tcPr>
            <w:tcW w:w="1160" w:type="dxa"/>
            <w:vAlign w:val="bottom"/>
            <w:gridSpan w:val="2"/>
            <w:shd w:val="clear" w:color="auto" w:fill="EEEEEE"/>
          </w:tcPr>
          <w:p>
            <w:pPr>
              <w:jc w:val="right"/>
              <w:ind w:right="83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4,519</w:t>
            </w:r>
          </w:p>
        </w:tc>
        <w:tc>
          <w:tcPr>
            <w:tcW w:w="560" w:type="dxa"/>
            <w:vAlign w:val="bottom"/>
            <w:gridSpan w:val="2"/>
            <w:shd w:val="clear" w:color="auto" w:fill="EEEEEE"/>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1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11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333</w:t>
            </w: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Sales tax refunds</w:t>
            </w:r>
          </w:p>
        </w:tc>
        <w:tc>
          <w:tcPr>
            <w:tcW w:w="1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399</w:t>
            </w:r>
          </w:p>
        </w:tc>
        <w:tc>
          <w:tcPr>
            <w:tcW w:w="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(304)</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2015, we recorded stock-based compensation costs in the amount of $1.1 million and $2.2 million, respectively. These stock-based compensation costs were $0.7 million and $1.5 million for the three and six months ended June 30, 2014. As of June 30, 2015, unrecognized stock-based compensation costs to be recognized over future periods equaled $16.7 million. This amount will be recognized as expense over a weighted-average period of 3.02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six months ended June 30,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10,828</w:t>
            </w: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w:t>
            </w:r>
          </w:p>
        </w:tc>
        <w:tc>
          <w:tcPr>
            <w:tcW w:w="3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6.01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1,965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6.11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5.12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11,551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EEEEEE"/>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5.93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5,763</w:t>
            </w:r>
          </w:p>
        </w:tc>
        <w:tc>
          <w:tcPr>
            <w:tcW w:w="36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3.15</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5.05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2015, the aggregate intrinsic value of options outstanding and exercisable was $22.9 million and $19.5 million, respectively. There were 971,000 options exercised for the six months ended June 30, 2015 compared to 978,000 for the comparable period in 2014. The total intrinsic value of options exercised was $5.4 million and $6.7 million for the six-month periods ended June 30, 2015 and 2014. There were 5.4 million shares available for future stock option grants under existing plans as of June 30,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six-month period ended June 30, 2015, we purchased 361,046 shares of our common stock, at an average price of $6.39. We purchased 285,473 shares of our stock in the open market at an average price of $6.21. The remaining purchases of 75,573 shares were related to net exercises of outstanding options and warrants. In transactions during the six-month period ended June 30, 2015, the holders of options and warrants to purchase 392,200 shares of our common stock paid the aggregate $535,000 exercise price by surrender to us of 75,573 of such 392,200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the six-month period ended June 30, 2014, we purchased 73,788 shares of our common stock, at an average price of $7.91. The purchases were related to net exercises of outstanding options and warrants. In transactions during the six-month period ended June 30, 2014, the holder of options and warrants to purchase 395,000 shares of our common stock paid the aggregate $583,000 exercise price by surrender to us of 73,788 of such 395,000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2015,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recorded a liability as of June 30, 2015, which represents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EEEEEE"/>
            </w:tcBorders>
          </w:tcPr>
          <w:p>
            <w:pPr>
              <w:spacing w:after="0"/>
              <w:rPr>
                <w:sz w:val="20"/>
                <w:szCs w:val="20"/>
                <w:color w:val="auto"/>
              </w:rPr>
            </w:pPr>
          </w:p>
        </w:tc>
        <w:tc>
          <w:tcPr>
            <w:tcW w:w="278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7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260" w:type="dxa"/>
            <w:vAlign w:val="bottom"/>
            <w:gridSpan w:val="5"/>
            <w:shd w:val="clear" w:color="auto" w:fill="EEEEEE"/>
          </w:tcPr>
          <w:p>
            <w:pPr>
              <w:jc w:val="right"/>
              <w:ind w:right="10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306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1,796,077</w:t>
            </w:r>
          </w:p>
        </w:tc>
        <w:tc>
          <w:tcPr>
            <w:tcW w:w="2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1,612,246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380"/>
              <w:spacing w:after="0"/>
              <w:rPr>
                <w:sz w:val="20"/>
                <w:szCs w:val="20"/>
                <w:color w:val="auto"/>
              </w:rPr>
            </w:pPr>
            <w:r>
              <w:rPr>
                <w:rFonts w:ascii="Arial" w:cs="Arial" w:eastAsia="Arial" w:hAnsi="Arial"/>
                <w:sz w:val="18"/>
                <w:szCs w:val="18"/>
                <w:color w:val="auto"/>
              </w:rPr>
              <w:t>Less: Unearned acquisition fees and originations costs</w:t>
            </w: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(11,279)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(16,290)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EEEEEE"/>
              <w:bottom w:val="single" w:sz="8" w:color="EEEEEE"/>
            </w:tcBorders>
            <w:shd w:val="clear" w:color="auto" w:fill="EEEEEE"/>
          </w:tcPr>
          <w:p>
            <w:pPr>
              <w:ind w:left="380"/>
              <w:spacing w:after="0"/>
              <w:rPr>
                <w:sz w:val="20"/>
                <w:szCs w:val="20"/>
                <w:color w:val="auto"/>
              </w:rPr>
            </w:pPr>
            <w:r>
              <w:rPr>
                <w:rFonts w:ascii="Arial" w:cs="Arial" w:eastAsia="Arial" w:hAnsi="Arial"/>
                <w:sz w:val="18"/>
                <w:szCs w:val="18"/>
                <w:color w:val="auto"/>
              </w:rPr>
              <w:t>Finance Receivables</w:t>
            </w:r>
          </w:p>
        </w:tc>
        <w:tc>
          <w:tcPr>
            <w:tcW w:w="27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1,784,798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1,595,956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780" w:type="dxa"/>
            <w:vAlign w:val="bottom"/>
            <w:vMerge w:val="restart"/>
          </w:tcPr>
          <w:p>
            <w:pPr>
              <w:jc w:val="right"/>
              <w:ind w:right="193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June 30, 2015 and December 31,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1,684,617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1,523,020</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52,704</w:t>
            </w:r>
          </w:p>
        </w:tc>
        <w:tc>
          <w:tcPr>
            <w:tcW w:w="18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42,730</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5280" w:type="dxa"/>
            <w:vAlign w:val="bottom"/>
          </w:tcPr>
          <w:p>
            <w:pPr>
              <w:ind w:left="20"/>
              <w:spacing w:after="0"/>
              <w:rPr>
                <w:sz w:val="20"/>
                <w:szCs w:val="20"/>
                <w:color w:val="auto"/>
              </w:rPr>
            </w:pPr>
            <w:r>
              <w:rPr>
                <w:rFonts w:ascii="Arial" w:cs="Arial" w:eastAsia="Arial" w:hAnsi="Arial"/>
                <w:sz w:val="18"/>
                <w:szCs w:val="18"/>
                <w:color w:val="auto"/>
              </w:rPr>
              <w:t>- 90 days</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27,064</w:t>
            </w:r>
          </w:p>
        </w:tc>
        <w:tc>
          <w:tcPr>
            <w:tcW w:w="180" w:type="dxa"/>
            <w:vAlign w:val="bottom"/>
          </w:tcPr>
          <w:p>
            <w:pPr>
              <w:spacing w:after="0"/>
              <w:rPr>
                <w:sz w:val="18"/>
                <w:szCs w:val="18"/>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23,300</w:t>
            </w: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31,692</w:t>
            </w:r>
          </w:p>
        </w:tc>
        <w:tc>
          <w:tcPr>
            <w:tcW w:w="18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23,196</w:t>
            </w:r>
          </w:p>
        </w:tc>
      </w:tr>
      <w:tr>
        <w:trPr>
          <w:trHeight w:val="223"/>
        </w:trPr>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1,796,077</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1,612,246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receivables totaling $31.7 million and $23.2 million at June 30, 2015 and December 31, 2014,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2980" w:type="dxa"/>
            <w:vAlign w:val="bottom"/>
            <w:gridSpan w:val="5"/>
          </w:tcPr>
          <w:p>
            <w:pPr>
              <w:jc w:val="center"/>
              <w:ind w:left="497"/>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365"/>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gridSpan w:val="4"/>
          </w:tcPr>
          <w:p>
            <w:pPr>
              <w:jc w:val="center"/>
              <w:ind w:right="365"/>
              <w:spacing w:after="0"/>
              <w:rPr>
                <w:sz w:val="20"/>
                <w:szCs w:val="20"/>
                <w:color w:val="auto"/>
              </w:rPr>
            </w:pPr>
            <w:r>
              <w:rPr>
                <w:rFonts w:ascii="Arial" w:cs="Arial" w:eastAsia="Arial" w:hAnsi="Arial"/>
                <w:sz w:val="18"/>
                <w:szCs w:val="18"/>
                <w:b w:val="1"/>
                <w:bCs w:val="1"/>
                <w:color w:val="auto"/>
                <w:w w:val="90"/>
              </w:rPr>
              <w:t>(In thousands)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20" w:type="dxa"/>
            <w:vAlign w:val="bottom"/>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68,142</w:t>
            </w:r>
          </w:p>
        </w:tc>
        <w:tc>
          <w:tcPr>
            <w:tcW w:w="1280" w:type="dxa"/>
            <w:vAlign w:val="bottom"/>
            <w:gridSpan w:val="2"/>
            <w:shd w:val="clear" w:color="auto" w:fill="EEEEEE"/>
          </w:tcPr>
          <w:p>
            <w:pPr>
              <w:jc w:val="right"/>
              <w:ind w:right="8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44,652</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61,460</w:t>
            </w:r>
          </w:p>
        </w:tc>
        <w:tc>
          <w:tcPr>
            <w:tcW w:w="70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39,626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9"/>
              </w:rPr>
              <w:t>Provision for credit losses on finance receivables</w:t>
            </w:r>
          </w:p>
        </w:tc>
        <w:tc>
          <w:tcPr>
            <w:tcW w:w="10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35,683</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25,627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69,122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49,508</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10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2"/>
              </w:rPr>
              <w:t>(34,836)</w:t>
            </w: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(26,985)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(66,665)</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(50,526)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Recoveries</w:t>
            </w:r>
          </w:p>
        </w:tc>
        <w:tc>
          <w:tcPr>
            <w:tcW w:w="10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5,552</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10,032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10,624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14,718</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20" w:type="dxa"/>
            <w:vAlign w:val="bottom"/>
            <w:tcBorders>
              <w:top w:val="single" w:sz="8" w:color="auto"/>
              <w:bottom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74,541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53,326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74,541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53,326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10</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31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Finance Receivables Measured at Fair Value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80" w:type="dxa"/>
            <w:vAlign w:val="bottom"/>
          </w:tcPr>
          <w:p>
            <w:pPr>
              <w:spacing w:after="0"/>
              <w:rPr>
                <w:sz w:val="16"/>
                <w:szCs w:val="16"/>
                <w:color w:val="auto"/>
              </w:rPr>
            </w:pPr>
          </w:p>
        </w:tc>
        <w:tc>
          <w:tcPr>
            <w:tcW w:w="326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24,878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28,234</w:t>
            </w:r>
          </w:p>
        </w:tc>
        <w:tc>
          <w:tcPr>
            <w:tcW w:w="40" w:type="dxa"/>
            <w:vAlign w:val="bottom"/>
          </w:tcPr>
          <w:p>
            <w:pPr>
              <w:spacing w:after="0"/>
              <w:rPr>
                <w:sz w:val="18"/>
                <w:szCs w:val="18"/>
                <w:color w:val="auto"/>
              </w:rPr>
            </w:pPr>
          </w:p>
        </w:tc>
      </w:tr>
      <w:tr>
        <w:trPr>
          <w:trHeight w:val="244"/>
        </w:trPr>
        <w:tc>
          <w:tcPr>
            <w:tcW w:w="28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(15,864)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(17,829)</w:t>
            </w:r>
          </w:p>
        </w:tc>
      </w:tr>
      <w:tr>
        <w:trPr>
          <w:trHeight w:val="223"/>
        </w:trPr>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10,405</w:t>
            </w:r>
          </w:p>
        </w:tc>
        <w:tc>
          <w:tcPr>
            <w:tcW w:w="40" w:type="dxa"/>
            <w:vAlign w:val="bottom"/>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7060" w:space="720"/>
            <w:col w:w="3640"/>
          </w:cols>
          <w:pgMar w:left="240" w:top="877" w:right="239" w:bottom="1440" w:gutter="0" w:footer="0" w:header="0"/>
          <w:type w:val="continuous"/>
        </w:sectPr>
      </w:pPr>
    </w:p>
    <w:p>
      <w:pPr>
        <w:spacing w:after="0" w:line="6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w w:val="96"/>
              </w:rPr>
              <w:t>The following table presents the components of Finance Receivables measured at fair value:</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160" w:type="dxa"/>
            <w:vAlign w:val="bottom"/>
            <w:shd w:val="clear" w:color="auto" w:fill="EEEEEE"/>
          </w:tcPr>
          <w:p>
            <w:pPr>
              <w:spacing w:after="0"/>
              <w:rPr>
                <w:sz w:val="19"/>
                <w:szCs w:val="19"/>
                <w:color w:val="auto"/>
              </w:rPr>
            </w:pPr>
          </w:p>
        </w:tc>
        <w:tc>
          <w:tcPr>
            <w:tcW w:w="2380" w:type="dxa"/>
            <w:vAlign w:val="bottom"/>
            <w:gridSpan w:val="5"/>
            <w:shd w:val="clear" w:color="auto" w:fill="EEEEEE"/>
          </w:tcPr>
          <w:p>
            <w:pPr>
              <w:jc w:val="right"/>
              <w:ind w:right="1130"/>
              <w:spacing w:after="0"/>
              <w:rPr>
                <w:sz w:val="20"/>
                <w:szCs w:val="20"/>
                <w:color w:val="auto"/>
              </w:rPr>
            </w:pPr>
            <w:r>
              <w:rPr>
                <w:rFonts w:ascii="Arial" w:cs="Arial" w:eastAsia="Arial" w:hAnsi="Arial"/>
                <w:sz w:val="18"/>
                <w:szCs w:val="18"/>
                <w:b w:val="1"/>
                <w:bCs w:val="1"/>
                <w:color w:val="auto"/>
                <w:w w:val="91"/>
              </w:rPr>
              <w:t>(In thousands)</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and accrued interest, net of unearned interest</w:t>
            </w:r>
          </w:p>
        </w:tc>
        <w:tc>
          <w:tcPr>
            <w:tcW w:w="1160" w:type="dxa"/>
            <w:vAlign w:val="bottom"/>
            <w:shd w:val="clear" w:color="auto" w:fill="EEEEEE"/>
          </w:tcPr>
          <w:p>
            <w:pPr>
              <w:jc w:val="right"/>
              <w:ind w:right="99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316</w:t>
            </w:r>
          </w:p>
        </w:tc>
        <w:tc>
          <w:tcPr>
            <w:tcW w:w="3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Fair value adjustment</w:t>
            </w:r>
          </w:p>
        </w:tc>
        <w:tc>
          <w:tcPr>
            <w:tcW w:w="11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160" w:type="dxa"/>
            <w:vAlign w:val="bottom"/>
            <w:tcBorders>
              <w:top w:val="single" w:sz="8" w:color="auto"/>
              <w:bottom w:val="single" w:sz="8" w:color="auto"/>
            </w:tcBorders>
            <w:shd w:val="clear" w:color="auto" w:fill="EEEEEE"/>
          </w:tcPr>
          <w:p>
            <w:pPr>
              <w:jc w:val="right"/>
              <w:ind w:right="99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June 30, 2015 and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700" w:type="dxa"/>
            <w:vAlign w:val="bottom"/>
            <w:gridSpan w:val="2"/>
          </w:tcPr>
          <w:p>
            <w:pPr>
              <w:jc w:val="right"/>
              <w:ind w:right="117"/>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w w:val="91"/>
              </w:rPr>
              <w:t>(In thousands)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700" w:type="dxa"/>
            <w:vAlign w:val="bottom"/>
            <w:gridSpan w:val="2"/>
          </w:tcPr>
          <w:p>
            <w:pPr>
              <w:jc w:val="right"/>
              <w:ind w:right="99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202</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2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5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2740" w:type="dxa"/>
            <w:vAlign w:val="bottom"/>
          </w:tcPr>
          <w:p>
            <w:pPr>
              <w:ind w:left="20"/>
              <w:spacing w:after="0"/>
              <w:rPr>
                <w:sz w:val="20"/>
                <w:szCs w:val="20"/>
                <w:color w:val="auto"/>
              </w:rPr>
            </w:pPr>
            <w:r>
              <w:rPr>
                <w:rFonts w:ascii="Arial" w:cs="Arial" w:eastAsia="Arial" w:hAnsi="Arial"/>
                <w:sz w:val="18"/>
                <w:szCs w:val="18"/>
                <w:color w:val="auto"/>
              </w:rPr>
              <w:t>- 90 days</w:t>
            </w:r>
          </w:p>
        </w:tc>
        <w:tc>
          <w:tcPr>
            <w:tcW w:w="2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2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54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160" w:type="dxa"/>
            <w:vAlign w:val="bottom"/>
            <w:tcBorders>
              <w:bottom w:val="single" w:sz="8" w:color="auto"/>
            </w:tcBorders>
          </w:tcPr>
          <w:p>
            <w:pPr>
              <w:jc w:val="right"/>
              <w:ind w:right="99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40" w:type="dxa"/>
            <w:vAlign w:val="bottom"/>
            <w:vMerge w:val="restart"/>
          </w:tcPr>
          <w:p>
            <w:pPr>
              <w:jc w:val="right"/>
              <w:ind w:right="75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Final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Outstanding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Scheduled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Pledged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 Rate at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Initial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1840" w:type="dxa"/>
            <w:vAlign w:val="bottom"/>
            <w:gridSpan w:val="2"/>
          </w:tcPr>
          <w:p>
            <w:pPr>
              <w:ind w:left="640"/>
              <w:spacing w:after="0"/>
              <w:rPr>
                <w:sz w:val="20"/>
                <w:szCs w:val="20"/>
                <w:color w:val="auto"/>
              </w:rPr>
            </w:pPr>
            <w:r>
              <w:rPr>
                <w:rFonts w:ascii="Arial" w:cs="Arial" w:eastAsia="Arial" w:hAnsi="Arial"/>
                <w:sz w:val="18"/>
                <w:szCs w:val="18"/>
                <w:b w:val="1"/>
                <w:bCs w:val="1"/>
                <w:color w:val="auto"/>
              </w:rPr>
              <w:t>Series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Date (1)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Principal</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1"/>
              </w:rPr>
              <w:t>(Dollars in thousands)</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2011-A</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April 2018</w:t>
            </w:r>
          </w:p>
        </w:tc>
        <w:tc>
          <w:tcPr>
            <w:tcW w:w="2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100,364</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8,457</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CPS 2011-B</w:t>
            </w:r>
          </w:p>
        </w:tc>
        <w:tc>
          <w:tcPr>
            <w:tcW w:w="1680" w:type="dxa"/>
            <w:vAlign w:val="bottom"/>
          </w:tcPr>
          <w:p>
            <w:pPr>
              <w:jc w:val="right"/>
              <w:spacing w:after="0"/>
              <w:rPr>
                <w:sz w:val="20"/>
                <w:szCs w:val="20"/>
                <w:color w:val="auto"/>
              </w:rPr>
            </w:pPr>
            <w:r>
              <w:rPr>
                <w:rFonts w:ascii="Arial" w:cs="Arial" w:eastAsia="Arial" w:hAnsi="Arial"/>
                <w:sz w:val="18"/>
                <w:szCs w:val="18"/>
                <w:color w:val="auto"/>
              </w:rPr>
              <w:t>September 2018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16,276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109,936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15,805</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22,985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2011-C</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2019</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21,828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119,400</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21,794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30,601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CPS 2012-A</w:t>
            </w:r>
          </w:p>
        </w:tc>
        <w:tc>
          <w:tcPr>
            <w:tcW w:w="1680" w:type="dxa"/>
            <w:vAlign w:val="bottom"/>
          </w:tcPr>
          <w:p>
            <w:pPr>
              <w:jc w:val="right"/>
              <w:spacing w:after="0"/>
              <w:rPr>
                <w:sz w:val="20"/>
                <w:szCs w:val="20"/>
                <w:color w:val="auto"/>
              </w:rPr>
            </w:pPr>
            <w:r>
              <w:rPr>
                <w:rFonts w:ascii="Arial" w:cs="Arial" w:eastAsia="Arial" w:hAnsi="Arial"/>
                <w:sz w:val="18"/>
                <w:szCs w:val="18"/>
                <w:color w:val="auto"/>
              </w:rPr>
              <w:t>June 2019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26,812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155,000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25,311</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35,923</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2012-B</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2019</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38,128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141,500</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37,281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50,125</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CPS 2012-C</w:t>
            </w:r>
          </w:p>
        </w:tc>
        <w:tc>
          <w:tcPr>
            <w:tcW w:w="1680" w:type="dxa"/>
            <w:vAlign w:val="bottom"/>
          </w:tcPr>
          <w:p>
            <w:pPr>
              <w:jc w:val="right"/>
              <w:spacing w:after="0"/>
              <w:rPr>
                <w:sz w:val="20"/>
                <w:szCs w:val="20"/>
                <w:color w:val="auto"/>
              </w:rPr>
            </w:pPr>
            <w:r>
              <w:rPr>
                <w:rFonts w:ascii="Arial" w:cs="Arial" w:eastAsia="Arial" w:hAnsi="Arial"/>
                <w:sz w:val="18"/>
                <w:szCs w:val="18"/>
                <w:color w:val="auto"/>
              </w:rPr>
              <w:t>December 2019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43,231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147,000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42,302</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55,619</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2012-D</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2020</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52,348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160,000</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51,078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67,833</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CPS 2013-A</w:t>
            </w:r>
          </w:p>
        </w:tc>
        <w:tc>
          <w:tcPr>
            <w:tcW w:w="1680" w:type="dxa"/>
            <w:vAlign w:val="bottom"/>
          </w:tcPr>
          <w:p>
            <w:pPr>
              <w:jc w:val="right"/>
              <w:spacing w:after="0"/>
              <w:rPr>
                <w:sz w:val="20"/>
                <w:szCs w:val="20"/>
                <w:color w:val="auto"/>
              </w:rPr>
            </w:pPr>
            <w:r>
              <w:rPr>
                <w:rFonts w:ascii="Arial" w:cs="Arial" w:eastAsia="Arial" w:hAnsi="Arial"/>
                <w:sz w:val="18"/>
                <w:szCs w:val="18"/>
                <w:color w:val="auto"/>
              </w:rPr>
              <w:t>June 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76,253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185,000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75,479</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97,775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2013-B</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2020</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93,333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205,000</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92,611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118,692</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CPS 2013-C</w:t>
            </w:r>
          </w:p>
        </w:tc>
        <w:tc>
          <w:tcPr>
            <w:tcW w:w="1680" w:type="dxa"/>
            <w:vAlign w:val="bottom"/>
          </w:tcPr>
          <w:p>
            <w:pPr>
              <w:jc w:val="right"/>
              <w:spacing w:after="0"/>
              <w:rPr>
                <w:sz w:val="20"/>
                <w:szCs w:val="20"/>
                <w:color w:val="auto"/>
              </w:rPr>
            </w:pPr>
            <w:r>
              <w:rPr>
                <w:rFonts w:ascii="Arial" w:cs="Arial" w:eastAsia="Arial" w:hAnsi="Arial"/>
                <w:sz w:val="18"/>
                <w:szCs w:val="18"/>
                <w:color w:val="auto"/>
              </w:rPr>
              <w:t>December 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107,454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205,000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106,571</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133,628</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2013-D</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2021</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106,445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183,000</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105,390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132,150</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CPS 2014-A</w:t>
            </w:r>
          </w:p>
        </w:tc>
        <w:tc>
          <w:tcPr>
            <w:tcW w:w="1680" w:type="dxa"/>
            <w:vAlign w:val="bottom"/>
          </w:tcPr>
          <w:p>
            <w:pPr>
              <w:jc w:val="right"/>
              <w:spacing w:after="0"/>
              <w:rPr>
                <w:sz w:val="20"/>
                <w:szCs w:val="20"/>
                <w:color w:val="auto"/>
              </w:rPr>
            </w:pPr>
            <w:r>
              <w:rPr>
                <w:rFonts w:ascii="Arial" w:cs="Arial" w:eastAsia="Arial" w:hAnsi="Arial"/>
                <w:sz w:val="18"/>
                <w:szCs w:val="18"/>
                <w:color w:val="auto"/>
              </w:rPr>
              <w:t>June 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117,005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116,084</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143,456</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2014-B</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2021</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150,384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202,500</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149,774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177,601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CPS 2014-C</w:t>
            </w:r>
          </w:p>
        </w:tc>
        <w:tc>
          <w:tcPr>
            <w:tcW w:w="1680" w:type="dxa"/>
            <w:vAlign w:val="bottom"/>
          </w:tcPr>
          <w:p>
            <w:pPr>
              <w:jc w:val="right"/>
              <w:spacing w:after="0"/>
              <w:rPr>
                <w:sz w:val="20"/>
                <w:szCs w:val="20"/>
                <w:color w:val="auto"/>
              </w:rPr>
            </w:pPr>
            <w:r>
              <w:rPr>
                <w:rFonts w:ascii="Arial" w:cs="Arial" w:eastAsia="Arial" w:hAnsi="Arial"/>
                <w:sz w:val="18"/>
                <w:szCs w:val="18"/>
                <w:color w:val="auto"/>
              </w:rPr>
              <w:t>December 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224,185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273,000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222,119</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256,151</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2014-D</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2022</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237,229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267,500</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233,956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267,500</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CPS 2015-A</w:t>
            </w:r>
          </w:p>
        </w:tc>
        <w:tc>
          <w:tcPr>
            <w:tcW w:w="1680" w:type="dxa"/>
            <w:vAlign w:val="bottom"/>
          </w:tcPr>
          <w:p>
            <w:pPr>
              <w:jc w:val="right"/>
              <w:spacing w:after="0"/>
              <w:rPr>
                <w:sz w:val="20"/>
                <w:szCs w:val="20"/>
                <w:color w:val="auto"/>
              </w:rPr>
            </w:pPr>
            <w:r>
              <w:rPr>
                <w:rFonts w:ascii="Arial" w:cs="Arial" w:eastAsia="Arial" w:hAnsi="Arial"/>
                <w:sz w:val="18"/>
                <w:szCs w:val="18"/>
                <w:color w:val="auto"/>
              </w:rPr>
              <w:t>June 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232,950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245,000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230,019</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2015-B (3)</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2022</w:t>
            </w:r>
          </w:p>
        </w:tc>
        <w:tc>
          <w:tcPr>
            <w:tcW w:w="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248,347</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1,792,208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3,129,200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1,775,574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1,598,496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8"/>
                <w:szCs w:val="18"/>
                <w:color w:val="auto"/>
                <w:w w:val="99"/>
              </w:rPr>
              <w:t>_________________</w:t>
            </w:r>
          </w:p>
        </w:tc>
        <w:tc>
          <w:tcPr>
            <w:tcW w:w="120" w:type="dxa"/>
            <w:vAlign w:val="bottom"/>
            <w:vMerge w:val="restart"/>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80" w:hanging="318"/>
        <w:spacing w:after="0" w:line="254" w:lineRule="auto"/>
        <w:tabs>
          <w:tab w:leader="none" w:pos="3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$342.7 million in 2015, $582.2 million in 2016, $426.2 million in 2017, $256.5 million in 2018, $129.4 million in 2019 and $38.6 million in 2020.</w:t>
      </w:r>
    </w:p>
    <w:p>
      <w:pPr>
        <w:spacing w:after="0" w:line="189" w:lineRule="exact"/>
        <w:rPr>
          <w:rFonts w:ascii="Arial" w:cs="Arial" w:eastAsia="Arial" w:hAnsi="Arial"/>
          <w:sz w:val="18"/>
          <w:szCs w:val="18"/>
          <w:i w:val="1"/>
          <w:iCs w:val="1"/>
          <w:color w:val="auto"/>
        </w:rPr>
      </w:pPr>
    </w:p>
    <w:p>
      <w:pPr>
        <w:ind w:left="400" w:hanging="324"/>
        <w:spacing w:after="0"/>
        <w:tabs>
          <w:tab w:leader="none" w:pos="400" w:val="left"/>
        </w:tabs>
        <w:numPr>
          <w:ilvl w:val="1"/>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25" w:lineRule="exact"/>
        <w:rPr>
          <w:rFonts w:ascii="Arial" w:cs="Arial" w:eastAsia="Arial" w:hAnsi="Arial"/>
          <w:sz w:val="18"/>
          <w:szCs w:val="18"/>
          <w:i w:val="1"/>
          <w:iCs w:val="1"/>
          <w:color w:val="auto"/>
        </w:rPr>
      </w:pPr>
    </w:p>
    <w:p>
      <w:pPr>
        <w:ind w:left="400" w:hanging="324"/>
        <w:spacing w:after="0"/>
        <w:tabs>
          <w:tab w:leader="none" w:pos="400" w:val="left"/>
        </w:tabs>
        <w:numPr>
          <w:ilvl w:val="1"/>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$94.9 million of receivables that were pledged to CPS 2015-B after June 30, 2015, on July 8, 2015.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June 30, 2015, we were in compliance with all such covenants.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2015, restricted cash under the various agreements totaled approximately $200.1 million, of which $94.9 million represented pre-funding proceeds.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June 30, 2015 and December 31, 2014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ind w:left="118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4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Description</w:t>
            </w:r>
          </w:p>
        </w:tc>
        <w:tc>
          <w:tcPr>
            <w:tcW w:w="24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Interest Rate</w:t>
            </w:r>
          </w:p>
        </w:tc>
        <w:tc>
          <w:tcPr>
            <w:tcW w:w="2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6"/>
              </w:rPr>
              <w:t>Maturity</w:t>
            </w:r>
          </w:p>
        </w:tc>
        <w:tc>
          <w:tcPr>
            <w:tcW w:w="136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gridSpan w:val="2"/>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0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Warehouse lines of credit</w:t>
            </w: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6.50%)</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April 2019</w:t>
            </w:r>
          </w:p>
        </w:tc>
        <w:tc>
          <w:tcPr>
            <w:tcW w:w="1360" w:type="dxa"/>
            <w:vAlign w:val="bottom"/>
            <w:shd w:val="clear" w:color="auto" w:fill="EEEEEE"/>
          </w:tcPr>
          <w:p>
            <w:pPr>
              <w:jc w:val="right"/>
              <w:ind w:right="119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29,477</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23,581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0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6.25%)</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August 2017</w:t>
            </w:r>
          </w:p>
        </w:tc>
        <w:tc>
          <w:tcPr>
            <w:tcW w:w="1360" w:type="dxa"/>
            <w:vAlign w:val="bottom"/>
            <w:shd w:val="clear" w:color="auto" w:fill="EEEEEE"/>
          </w:tcPr>
          <w:p>
            <w:pPr>
              <w:spacing w:after="0"/>
              <w:rPr>
                <w:sz w:val="20"/>
                <w:szCs w:val="20"/>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32,294</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33,258</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Residual interest financing</w:t>
            </w: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11.75% over one month Libor</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April 2018</w:t>
            </w:r>
          </w:p>
        </w:tc>
        <w:tc>
          <w:tcPr>
            <w:tcW w:w="13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11,274</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3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7"/>
              </w:rPr>
              <w:t>Repayment is based on</w:t>
            </w:r>
          </w:p>
        </w:tc>
        <w:tc>
          <w:tcPr>
            <w:tcW w:w="13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payments from underlying</w:t>
            </w: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receivables. Final payment</w:t>
            </w: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300" w:type="dxa"/>
            <w:vAlign w:val="bottom"/>
            <w:gridSpan w:val="2"/>
            <w:shd w:val="clear" w:color="auto" w:fill="EEEEEE"/>
          </w:tcPr>
          <w:p>
            <w:pPr>
              <w:jc w:val="center"/>
              <w:ind w:right="260"/>
              <w:spacing w:after="0"/>
              <w:rPr>
                <w:sz w:val="20"/>
                <w:szCs w:val="20"/>
                <w:color w:val="auto"/>
              </w:rPr>
            </w:pPr>
            <w:r>
              <w:rPr>
                <w:rFonts w:ascii="Arial" w:cs="Arial" w:eastAsia="Arial" w:hAnsi="Arial"/>
                <w:sz w:val="18"/>
                <w:szCs w:val="18"/>
                <w:color w:val="auto"/>
                <w:w w:val="89"/>
              </w:rPr>
              <w:t>of the 8.00% loan was made</w:t>
            </w: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in September 2013, while</w:t>
            </w: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Debt secured by receivables</w:t>
            </w: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1"/>
              </w:rPr>
              <w:t>final residual payment was</w:t>
            </w: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measured at fair value</w:t>
            </w:r>
          </w:p>
        </w:tc>
        <w:tc>
          <w:tcPr>
            <w:tcW w:w="2400" w:type="dxa"/>
            <w:vAlign w:val="bottom"/>
            <w:gridSpan w:val="2"/>
            <w:shd w:val="clear" w:color="auto" w:fill="EEEEEE"/>
          </w:tcPr>
          <w:p>
            <w:pPr>
              <w:jc w:val="center"/>
              <w:ind w:right="260"/>
              <w:spacing w:after="0"/>
              <w:rPr>
                <w:sz w:val="20"/>
                <w:szCs w:val="20"/>
                <w:color w:val="auto"/>
              </w:rPr>
            </w:pPr>
            <w:r>
              <w:rPr>
                <w:rFonts w:ascii="Arial" w:cs="Arial" w:eastAsia="Arial" w:hAnsi="Arial"/>
                <w:sz w:val="18"/>
                <w:szCs w:val="18"/>
                <w:color w:val="auto"/>
                <w:w w:val="87"/>
              </w:rPr>
              <w:t>n/a</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made in January 2015</w:t>
            </w:r>
          </w:p>
        </w:tc>
        <w:tc>
          <w:tcPr>
            <w:tcW w:w="1360" w:type="dxa"/>
            <w:vAlign w:val="bottom"/>
            <w:shd w:val="clear" w:color="auto" w:fill="EEEEEE"/>
          </w:tcPr>
          <w:p>
            <w:pPr>
              <w:spacing w:after="0"/>
              <w:rPr>
                <w:sz w:val="20"/>
                <w:szCs w:val="20"/>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3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Weighted average maturity</w:t>
            </w:r>
          </w:p>
        </w:tc>
        <w:tc>
          <w:tcPr>
            <w:tcW w:w="13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Weighted average rate of</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of January 2017 and</w:t>
            </w: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260"/>
              <w:spacing w:after="0"/>
              <w:rPr>
                <w:sz w:val="20"/>
                <w:szCs w:val="20"/>
                <w:color w:val="auto"/>
              </w:rPr>
            </w:pPr>
            <w:r>
              <w:rPr>
                <w:rFonts w:ascii="Arial" w:cs="Arial" w:eastAsia="Arial" w:hAnsi="Arial"/>
                <w:sz w:val="18"/>
                <w:szCs w:val="18"/>
                <w:color w:val="auto"/>
                <w:w w:val="88"/>
              </w:rPr>
              <w:t>9.80% and 10.7% at June 30,</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October 2016 at June 30,</w:t>
            </w: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2015 and December 31, 2014,</w:t>
            </w:r>
          </w:p>
        </w:tc>
        <w:tc>
          <w:tcPr>
            <w:tcW w:w="2300" w:type="dxa"/>
            <w:vAlign w:val="bottom"/>
            <w:gridSpan w:val="2"/>
            <w:shd w:val="clear" w:color="auto" w:fill="EEEEEE"/>
          </w:tcPr>
          <w:p>
            <w:pPr>
              <w:jc w:val="center"/>
              <w:ind w:right="260"/>
              <w:spacing w:after="0"/>
              <w:rPr>
                <w:sz w:val="20"/>
                <w:szCs w:val="20"/>
                <w:color w:val="auto"/>
              </w:rPr>
            </w:pPr>
            <w:r>
              <w:rPr>
                <w:rFonts w:ascii="Arial" w:cs="Arial" w:eastAsia="Arial" w:hAnsi="Arial"/>
                <w:sz w:val="18"/>
                <w:szCs w:val="18"/>
                <w:color w:val="auto"/>
                <w:w w:val="89"/>
              </w:rPr>
              <w:t>2015 and December 31,</w:t>
            </w: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Subordinated renewable notes</w:t>
            </w: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respectively</w:t>
            </w:r>
          </w:p>
        </w:tc>
        <w:tc>
          <w:tcPr>
            <w:tcW w:w="2300" w:type="dxa"/>
            <w:vAlign w:val="bottom"/>
            <w:gridSpan w:val="2"/>
            <w:shd w:val="clear" w:color="auto" w:fill="EEEEEE"/>
          </w:tcPr>
          <w:p>
            <w:pPr>
              <w:jc w:val="center"/>
              <w:ind w:right="260"/>
              <w:spacing w:after="0"/>
              <w:rPr>
                <w:sz w:val="20"/>
                <w:szCs w:val="20"/>
                <w:color w:val="auto"/>
              </w:rPr>
            </w:pPr>
            <w:r>
              <w:rPr>
                <w:rFonts w:ascii="Arial" w:cs="Arial" w:eastAsia="Arial" w:hAnsi="Arial"/>
                <w:sz w:val="18"/>
                <w:szCs w:val="18"/>
                <w:color w:val="auto"/>
                <w:w w:val="90"/>
              </w:rPr>
              <w:t>2014, respectively</w:t>
            </w:r>
          </w:p>
        </w:tc>
        <w:tc>
          <w:tcPr>
            <w:tcW w:w="1360" w:type="dxa"/>
            <w:vAlign w:val="bottom"/>
            <w:shd w:val="clear" w:color="auto" w:fill="EEEEEE"/>
          </w:tcPr>
          <w:p>
            <w:pPr>
              <w:spacing w:after="0"/>
              <w:rPr>
                <w:sz w:val="20"/>
                <w:szCs w:val="20"/>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14,982</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1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0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0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jc w:val="right"/>
              <w:ind w:right="119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88,027</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85,649</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vMerge w:val="restart"/>
          </w:tcPr>
          <w:p>
            <w:pPr>
              <w:jc w:val="right"/>
              <w:ind w:right="99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we entered into a new $100 million warehouse credit line with affiliates of Fortress Investment Group. The facility is structured to allow us to fund a portion of the purchase price of automobile contracts by borrowing from a credit facility to our consolidated subsidiary Page Six Funding LLC. The facility, which replaces a revolving credit facility that we have used since December 2010, provides for advances up to 88% of eligible finance receivables and the loans under it accrue interest at a rate of one-month LIBOR plus 5.50% per annum, with a minimum rate of 6.50% per annum. There was $29.5 million outstanding under this new facility at June 30, 2015 which has a revolving period through April 2017 and an amortization period through April 2019 for any receivables pledged to the facility at the end of the revolving period.</w:t>
      </w:r>
    </w:p>
    <w:p>
      <w:pPr>
        <w:spacing w:after="0" w:line="19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00" w:type="dxa"/>
            <w:vAlign w:val="bottom"/>
            <w:gridSpan w:val="5"/>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84,872</w:t>
            </w:r>
          </w:p>
        </w:tc>
        <w:tc>
          <w:tcPr>
            <w:tcW w:w="122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68,098</w:t>
            </w:r>
          </w:p>
        </w:tc>
        <w:tc>
          <w:tcPr>
            <w:tcW w:w="1160" w:type="dxa"/>
            <w:vAlign w:val="bottom"/>
            <w:gridSpan w:val="2"/>
            <w:shd w:val="clear" w:color="auto" w:fill="EEEEEE"/>
          </w:tcPr>
          <w:p>
            <w:pPr>
              <w:jc w:val="right"/>
              <w:ind w:right="81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167,193</w:t>
            </w:r>
          </w:p>
        </w:tc>
        <w:tc>
          <w:tcPr>
            <w:tcW w:w="560" w:type="dxa"/>
            <w:vAlign w:val="bottom"/>
            <w:gridSpan w:val="2"/>
            <w:shd w:val="clear" w:color="auto" w:fill="EEEEEE"/>
          </w:tcPr>
          <w:p>
            <w:pPr>
              <w:jc w:val="right"/>
              <w:ind w:right="43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132,980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w:t>
            </w:r>
          </w:p>
        </w:tc>
        <w:tc>
          <w:tcPr>
            <w:tcW w:w="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84,900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68,221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167,259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00" w:type="dxa"/>
            <w:vAlign w:val="bottom"/>
            <w:gridSpan w:val="5"/>
          </w:tcPr>
          <w:p>
            <w:pPr>
              <w:jc w:val="center"/>
              <w:ind w:left="47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gridSpan w:val="4"/>
          </w:tcPr>
          <w:p>
            <w:pPr>
              <w:jc w:val="center"/>
              <w:ind w:right="40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8"/>
              </w:rPr>
              <w:t>11,670</w:t>
            </w:r>
          </w:p>
        </w:tc>
        <w:tc>
          <w:tcPr>
            <w:tcW w:w="1340" w:type="dxa"/>
            <w:vAlign w:val="bottom"/>
            <w:gridSpan w:val="2"/>
            <w:shd w:val="clear" w:color="auto" w:fill="EEEEEE"/>
          </w:tcPr>
          <w:p>
            <w:pPr>
              <w:jc w:val="right"/>
              <w:ind w:right="8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9,381</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22,546</w:t>
            </w:r>
          </w:p>
        </w:tc>
        <w:tc>
          <w:tcPr>
            <w:tcW w:w="74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1,259</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2,732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10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0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810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13,688</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11,942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26,861</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25,323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and six-month periods ended June 30, 2015 and 2014 were calculated using the weighted average number of shares outstanding for the related period. The following table reconciles the number of shares used in the computations of basic and diluted earnings per share for the three-month and six-month periods ended June 30, 2015 and 2014:</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right="40" w:hanging="197"/>
        <w:spacing w:after="0" w:line="342" w:lineRule="auto"/>
        <w:rPr>
          <w:sz w:val="20"/>
          <w:szCs w:val="20"/>
          <w:color w:val="auto"/>
        </w:rPr>
      </w:pPr>
      <w:r>
        <w:rPr>
          <w:rFonts w:ascii="Arial" w:cs="Arial" w:eastAsia="Arial" w:hAnsi="Arial"/>
          <w:sz w:val="16"/>
          <w:szCs w:val="16"/>
          <w:color w:val="auto"/>
        </w:rPr>
        <w:t>Weighted average number of common shares outstanding during the period used to compute basic earnings per share</w:t>
      </w:r>
    </w:p>
    <w:p>
      <w:pPr>
        <w:spacing w:after="0" w:line="124" w:lineRule="exact"/>
        <w:rPr>
          <w:sz w:val="20"/>
          <w:szCs w:val="20"/>
          <w:color w:val="auto"/>
        </w:rPr>
      </w:pPr>
    </w:p>
    <w:p>
      <w:pPr>
        <w:ind w:left="200" w:right="560" w:hanging="197"/>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200" w:hanging="197"/>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24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Three Months Ended</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Six Months Ended</w:t>
            </w:r>
          </w:p>
        </w:tc>
        <w:tc>
          <w:tcPr>
            <w:tcW w:w="500" w:type="dxa"/>
            <w:vAlign w:val="bottom"/>
          </w:tcPr>
          <w:p>
            <w:pPr>
              <w:spacing w:after="0"/>
              <w:rPr>
                <w:sz w:val="19"/>
                <w:szCs w:val="19"/>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r>
      <w:tr>
        <w:trPr>
          <w:trHeight w:val="228"/>
        </w:trPr>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(In thousands)</w:t>
            </w:r>
          </w:p>
        </w:tc>
        <w:tc>
          <w:tcPr>
            <w:tcW w:w="500" w:type="dxa"/>
            <w:vAlign w:val="bottom"/>
          </w:tcPr>
          <w:p>
            <w:pPr>
              <w:spacing w:after="0"/>
              <w:rPr>
                <w:sz w:val="19"/>
                <w:szCs w:val="19"/>
                <w:color w:val="auto"/>
              </w:rPr>
            </w:pPr>
          </w:p>
        </w:tc>
      </w:tr>
      <w:tr>
        <w:trPr>
          <w:trHeight w:val="41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26,234</w:t>
            </w:r>
          </w:p>
        </w:tc>
        <w:tc>
          <w:tcPr>
            <w:tcW w:w="76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25,029</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25,936</w:t>
            </w:r>
          </w:p>
        </w:tc>
        <w:tc>
          <w:tcPr>
            <w:tcW w:w="7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24,694</w:t>
            </w:r>
          </w:p>
        </w:tc>
      </w:tr>
      <w:tr>
        <w:trPr>
          <w:trHeight w:val="66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5,683</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6,973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6,019</w:t>
            </w:r>
          </w:p>
        </w:tc>
        <w:tc>
          <w:tcPr>
            <w:tcW w:w="7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669"/>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31,917</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32,002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31,955</w:t>
            </w:r>
          </w:p>
        </w:tc>
        <w:tc>
          <w:tcPr>
            <w:tcW w:w="7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32,009</w:t>
            </w:r>
          </w:p>
        </w:tc>
      </w:tr>
      <w:tr>
        <w:trPr>
          <w:trHeight w:val="20"/>
        </w:trPr>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-1156970</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-745490</wp:posOffset>
            </wp:positionV>
            <wp:extent cx="724662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-316865</wp:posOffset>
            </wp:positionV>
            <wp:extent cx="72466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340"/>
            <w:col w:w="6600"/>
          </w:cols>
          <w:pgMar w:left="240" w:top="877" w:right="239" w:bottom="1440" w:gutter="0" w:footer="0" w:header="0"/>
          <w:type w:val="continuous"/>
        </w:sect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2015 would have included an additional 5.7 million and 5.3 million shares, respectively attributable to the exercise of outstanding options and warrants. For the three-month and six-month periods ended June 30, 2014, an additional 2.6 million shares would be included in the diluted earnings per share calculation.</w:t>
      </w:r>
    </w:p>
    <w:p>
      <w:pPr>
        <w:spacing w:after="0" w:line="18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2011.</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June 30, 2015 and December 31, 2014,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$42.2 million as of June 30, 2015 is more likely than not based on forecasted future net earnings. Our net deferred tax asset of $42.2 million consists of approximately $32.0 million of net U.S. federal deferred tax assets and $10.2 million of net state deferred tax assets. We estimate that we would need to generate approximately $97 million of taxable income during the applicable carryforward periods to realize fully our federal and state net deferred tax assets.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was $6.7 million and $13.1 million for the three months and six months ended June 30, 2015 and represents an effective income tax rate of 44%, compared to income tax expense of $5.3 million and $10.4 million for the three and six months ended June 30, 2014, and represents an effective income tax rate of and 43%.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Legal Proceedings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first of those two has been settled by agreement with the plaintiffs, with the settlement remaining subject to approval by the court. In the second, the California court of appeals ruled in March 2015 that the plaintiff may assert his claim only in arbitration, on an individual basis and not on a class basis. However, the California supreme court has accepted the plaintiff’s petition for review (which vacates the decision of the court of appeals), and has ordered the matter held pending that court’s decision in a case to which we are not a party, which decision is expected to address some of the same issues relating to arbitrability that are raised in our case. There can be no assurance as to the outcome.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most part, we have legal and factual defenses to consumer claims, which we routinely contest or settle (for immaterial amounts) depending on the particular circumstances of each case. We have recorded a liability as of June 30, 2015 with respect to such matters, in the aggregate.</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FTC Action</w:t>
      </w:r>
      <w:r>
        <w:rPr>
          <w:rFonts w:ascii="Arial" w:cs="Arial" w:eastAsia="Arial" w:hAnsi="Arial"/>
          <w:sz w:val="16"/>
          <w:szCs w:val="16"/>
          <w:color w:val="auto"/>
        </w:rPr>
        <w:t>. In July 2013, the staff of the U.S. Federal Trade Commission (“FTC”) advised us that they were prepared to recommend that the FTC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lawsuit against us relating to allegedly unfair trade practices, and simultaneously advised that settlement of such issues by consent decree might be achieved. On May 29,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paid a $2 million penalty to the federal government in June 2014, and implemented procedural changes, all pursuant to a consent decree that was entered by the court in June 2014.</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contracts and the representations and warranties relating to those underwriting criteria that were made in connection with the securitization of the automobile contracts. We are investigating these matters internally and are cooperating with the request. Such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referenced above. We have recorded a liability as of June 30, 2015,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June 30, 2015, and in excess of the liability we have recorded, is from $0 to $2,000,000.</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six-month periods ended June 30,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080" w:type="dxa"/>
            <w:vAlign w:val="bottom"/>
            <w:gridSpan w:val="5"/>
          </w:tcPr>
          <w:p>
            <w:pPr>
              <w:jc w:val="center"/>
              <w:ind w:left="39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gridSpan w:val="4"/>
          </w:tcPr>
          <w:p>
            <w:pPr>
              <w:jc w:val="center"/>
              <w:ind w:right="545"/>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0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r>
      <w:tr>
        <w:trPr>
          <w:trHeight w:val="210"/>
        </w:trPr>
        <w:tc>
          <w:tcPr>
            <w:tcW w:w="39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4"/>
          </w:tcPr>
          <w:p>
            <w:pPr>
              <w:jc w:val="center"/>
              <w:ind w:right="545"/>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Service cost</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EEEEEE"/>
              <w:bottom w:val="single" w:sz="8" w:color="EEEEEE"/>
            </w:tcBorders>
            <w:shd w:val="clear" w:color="auto" w:fill="EEEEEE"/>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make any contributions to the Plan during the six-month period ended June 30, 2015 and we do not anticipate making any contributions for the remainder of 2015. We contributed $112,000 during the six-month period ended June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20" w:type="dxa"/>
            <w:vAlign w:val="bottom"/>
            <w:gridSpan w:val="5"/>
          </w:tcPr>
          <w:p>
            <w:pPr>
              <w:jc w:val="center"/>
              <w:ind w:left="46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485"/>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gridSpan w:val="4"/>
          </w:tcPr>
          <w:p>
            <w:pPr>
              <w:jc w:val="center"/>
              <w:ind w:right="485"/>
              <w:spacing w:after="0"/>
              <w:rPr>
                <w:sz w:val="20"/>
                <w:szCs w:val="20"/>
                <w:color w:val="auto"/>
              </w:rPr>
            </w:pPr>
            <w:r>
              <w:rPr>
                <w:rFonts w:ascii="Arial" w:cs="Arial" w:eastAsia="Arial" w:hAnsi="Arial"/>
                <w:sz w:val="18"/>
                <w:szCs w:val="18"/>
                <w:b w:val="1"/>
                <w:bCs w:val="1"/>
                <w:color w:val="auto"/>
                <w:w w:val="87"/>
              </w:rPr>
              <w:t>(in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100" w:type="dxa"/>
            <w:vAlign w:val="bottom"/>
          </w:tcPr>
          <w:p>
            <w:pPr>
              <w:jc w:val="right"/>
              <w:ind w:right="9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120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9,058</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1,664</w:t>
            </w:r>
          </w:p>
        </w:tc>
        <w:tc>
          <w:tcPr>
            <w:tcW w:w="78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(3,766)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(1,348)</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1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 to fair value</w:t>
            </w:r>
          </w:p>
        </w:tc>
        <w:tc>
          <w:tcPr>
            <w:tcW w:w="1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100" w:type="dxa"/>
            <w:vAlign w:val="bottom"/>
            <w:tcBorders>
              <w:top w:val="single" w:sz="8" w:color="auto"/>
              <w:bottom w:val="single" w:sz="8" w:color="auto"/>
            </w:tcBorders>
            <w:shd w:val="clear" w:color="auto" w:fill="EEEEEE"/>
          </w:tcPr>
          <w:p>
            <w:pPr>
              <w:jc w:val="right"/>
              <w:ind w:right="94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9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5,686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gridSpan w:val="2"/>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5,686</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Debt Secured by Finance Receivables</w:t>
            </w:r>
          </w:p>
        </w:tc>
        <w:tc>
          <w:tcPr>
            <w:tcW w:w="1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EEEEEE"/>
          </w:tcPr>
          <w:p>
            <w:pPr>
              <w:ind w:left="180"/>
              <w:spacing w:after="0"/>
              <w:rPr>
                <w:sz w:val="20"/>
                <w:szCs w:val="20"/>
                <w:color w:val="auto"/>
              </w:rPr>
            </w:pPr>
            <w:r>
              <w:rPr>
                <w:rFonts w:ascii="Arial" w:cs="Arial" w:eastAsia="Arial" w:hAnsi="Arial"/>
                <w:sz w:val="18"/>
                <w:szCs w:val="18"/>
                <w:b w:val="1"/>
                <w:bCs w:val="1"/>
                <w:color w:val="auto"/>
              </w:rPr>
              <w:t>Measured at Fair Value:</w:t>
            </w:r>
          </w:p>
        </w:tc>
        <w:tc>
          <w:tcPr>
            <w:tcW w:w="11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80" w:type="dxa"/>
            <w:vAlign w:val="bottom"/>
            <w:gridSpan w:val="3"/>
            <w:vMerge w:val="restart"/>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13,117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100" w:type="dxa"/>
            <w:vAlign w:val="bottom"/>
          </w:tcPr>
          <w:p>
            <w:pPr>
              <w:jc w:val="right"/>
              <w:ind w:right="9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8,576</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1,250</w:t>
            </w:r>
          </w:p>
        </w:tc>
        <w:tc>
          <w:tcPr>
            <w:tcW w:w="78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Principal payments on debt at fair value</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(3,515)</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Premium accretion</w:t>
            </w:r>
          </w:p>
        </w:tc>
        <w:tc>
          <w:tcPr>
            <w:tcW w:w="1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1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Reduction for payments collected and payable</w:t>
            </w:r>
          </w:p>
        </w:tc>
        <w:tc>
          <w:tcPr>
            <w:tcW w:w="11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Adjusted balance at end of period</w:t>
            </w:r>
          </w:p>
        </w:tc>
        <w:tc>
          <w:tcPr>
            <w:tcW w:w="1100" w:type="dxa"/>
            <w:vAlign w:val="bottom"/>
            <w:tcBorders>
              <w:top w:val="single" w:sz="8" w:color="auto"/>
            </w:tcBorders>
          </w:tcPr>
          <w:p>
            <w:pPr>
              <w:jc w:val="right"/>
              <w:ind w:right="94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top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40" w:type="dxa"/>
            <w:vAlign w:val="bottom"/>
            <w:tcBorders>
              <w:top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June 30, 2015</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2014</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300" w:type="dxa"/>
            <w:vAlign w:val="bottom"/>
          </w:tcPr>
          <w:p>
            <w:pPr>
              <w:jc w:val="center"/>
              <w:ind w:left="214"/>
              <w:spacing w:after="0" w:line="205" w:lineRule="exact"/>
              <w:rPr>
                <w:sz w:val="20"/>
                <w:szCs w:val="20"/>
                <w:color w:val="auto"/>
              </w:rPr>
            </w:pPr>
            <w:r>
              <w:rPr>
                <w:rFonts w:ascii="Arial" w:cs="Arial" w:eastAsia="Arial" w:hAnsi="Arial"/>
                <w:sz w:val="18"/>
                <w:szCs w:val="18"/>
                <w:b w:val="1"/>
                <w:bCs w:val="1"/>
                <w:color w:val="auto"/>
                <w:w w:val="91"/>
              </w:rPr>
              <w:t>Contractual</w:t>
            </w:r>
          </w:p>
        </w:tc>
        <w:tc>
          <w:tcPr>
            <w:tcW w:w="360" w:type="dxa"/>
            <w:vAlign w:val="bottom"/>
          </w:tcPr>
          <w:p>
            <w:pPr>
              <w:spacing w:after="0"/>
              <w:rPr>
                <w:sz w:val="17"/>
                <w:szCs w:val="17"/>
                <w:color w:val="auto"/>
              </w:rPr>
            </w:pPr>
          </w:p>
        </w:tc>
        <w:tc>
          <w:tcPr>
            <w:tcW w:w="1400" w:type="dxa"/>
            <w:vAlign w:val="bottom"/>
          </w:tcPr>
          <w:p>
            <w:pPr>
              <w:jc w:val="center"/>
              <w:ind w:left="710"/>
              <w:spacing w:after="0" w:line="205" w:lineRule="exact"/>
              <w:rPr>
                <w:sz w:val="20"/>
                <w:szCs w:val="20"/>
                <w:color w:val="auto"/>
              </w:rPr>
            </w:pPr>
            <w:r>
              <w:rPr>
                <w:rFonts w:ascii="Arial" w:cs="Arial" w:eastAsia="Arial" w:hAnsi="Arial"/>
                <w:sz w:val="18"/>
                <w:szCs w:val="18"/>
                <w:b w:val="1"/>
                <w:bCs w:val="1"/>
                <w:color w:val="auto"/>
                <w:w w:val="96"/>
              </w:rPr>
              <w:t>Fair</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90"/>
              <w:spacing w:after="0" w:line="205" w:lineRule="exact"/>
              <w:rPr>
                <w:sz w:val="20"/>
                <w:szCs w:val="20"/>
                <w:color w:val="auto"/>
              </w:rPr>
            </w:pPr>
            <w:r>
              <w:rPr>
                <w:rFonts w:ascii="Arial" w:cs="Arial" w:eastAsia="Arial" w:hAnsi="Arial"/>
                <w:sz w:val="18"/>
                <w:szCs w:val="18"/>
                <w:b w:val="1"/>
                <w:bCs w:val="1"/>
                <w:color w:val="auto"/>
              </w:rPr>
              <w:t>Contractual</w:t>
            </w:r>
          </w:p>
        </w:tc>
        <w:tc>
          <w:tcPr>
            <w:tcW w:w="740" w:type="dxa"/>
            <w:vAlign w:val="bottom"/>
          </w:tcPr>
          <w:p>
            <w:pPr>
              <w:spacing w:after="0"/>
              <w:rPr>
                <w:sz w:val="17"/>
                <w:szCs w:val="17"/>
                <w:color w:val="auto"/>
              </w:rPr>
            </w:pPr>
          </w:p>
        </w:tc>
        <w:tc>
          <w:tcPr>
            <w:tcW w:w="1020" w:type="dxa"/>
            <w:vAlign w:val="bottom"/>
          </w:tcPr>
          <w:p>
            <w:pPr>
              <w:jc w:val="center"/>
              <w:ind w:right="4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00" w:type="dxa"/>
            <w:vAlign w:val="bottom"/>
          </w:tcPr>
          <w:p>
            <w:pPr>
              <w:jc w:val="center"/>
              <w:ind w:left="214"/>
              <w:spacing w:after="0"/>
              <w:rPr>
                <w:sz w:val="20"/>
                <w:szCs w:val="20"/>
                <w:color w:val="auto"/>
              </w:rPr>
            </w:pPr>
            <w:r>
              <w:rPr>
                <w:rFonts w:ascii="Arial" w:cs="Arial" w:eastAsia="Arial" w:hAnsi="Arial"/>
                <w:sz w:val="18"/>
                <w:szCs w:val="18"/>
                <w:b w:val="1"/>
                <w:bCs w:val="1"/>
                <w:color w:val="auto"/>
                <w:w w:val="86"/>
              </w:rPr>
              <w:t>Balance</w:t>
            </w:r>
          </w:p>
        </w:tc>
        <w:tc>
          <w:tcPr>
            <w:tcW w:w="360" w:type="dxa"/>
            <w:vAlign w:val="bottom"/>
          </w:tcPr>
          <w:p>
            <w:pPr>
              <w:spacing w:after="0"/>
              <w:rPr>
                <w:sz w:val="20"/>
                <w:szCs w:val="20"/>
                <w:color w:val="auto"/>
              </w:rPr>
            </w:pPr>
          </w:p>
        </w:tc>
        <w:tc>
          <w:tcPr>
            <w:tcW w:w="140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Value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Balance</w:t>
            </w:r>
          </w:p>
        </w:tc>
        <w:tc>
          <w:tcPr>
            <w:tcW w:w="74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5"/>
          </w:tcPr>
          <w:p>
            <w:pPr>
              <w:jc w:val="right"/>
              <w:ind w:right="1310"/>
              <w:spacing w:after="0"/>
              <w:rPr>
                <w:sz w:val="20"/>
                <w:szCs w:val="20"/>
                <w:color w:val="auto"/>
              </w:rPr>
            </w:pPr>
            <w:r>
              <w:rPr>
                <w:rFonts w:ascii="Arial" w:cs="Arial" w:eastAsia="Arial" w:hAnsi="Arial"/>
                <w:sz w:val="18"/>
                <w:szCs w:val="18"/>
                <w:b w:val="1"/>
                <w:bCs w:val="1"/>
                <w:color w:val="auto"/>
                <w:w w:val="95"/>
              </w:rPr>
              <w:t>(In thousands)</w:t>
            </w:r>
          </w:p>
        </w:tc>
        <w:tc>
          <w:tcPr>
            <w:tcW w:w="7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1300" w:type="dxa"/>
            <w:vAlign w:val="bottom"/>
            <w:shd w:val="clear" w:color="auto" w:fill="EEEEEE"/>
          </w:tcPr>
          <w:p>
            <w:pPr>
              <w:jc w:val="right"/>
              <w:ind w:right="1134"/>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316</w:t>
            </w:r>
          </w:p>
        </w:tc>
        <w:tc>
          <w:tcPr>
            <w:tcW w:w="1400" w:type="dxa"/>
            <w:vAlign w:val="bottom"/>
            <w:shd w:val="clear" w:color="auto" w:fill="EEEEEE"/>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316</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1,664</w:t>
            </w:r>
          </w:p>
        </w:tc>
        <w:tc>
          <w:tcPr>
            <w:tcW w:w="74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130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18</w:t>
            </w: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 The final residual payment was made in January 2015.</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2015, the finance receivables related to the repossessed vehicles in inventory totaled $24.9 million. We have applied a valuation adjustment, or loss allowance, of $15.9 million, which is based on a recovery rate of approximately 36%, resulting in an estimated fair value and carrying amount of $9.0 million. The fair value and carrying amount of the repossessed inventory at December 31, 2014 was $10.4 million after applying a valuation adjustment of $17.8 million.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six months ended June 30, 2015 and 2014. We have no level 3 assets that are measured at fair value on a non-recurring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qualitative information about our level 3 fair value measurements for assets and liabilities carried at fair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Fair Values as of</w:t>
            </w:r>
          </w:p>
        </w:tc>
        <w:tc>
          <w:tcPr>
            <w:tcW w:w="260" w:type="dxa"/>
            <w:vAlign w:val="bottom"/>
          </w:tcPr>
          <w:p>
            <w:pPr>
              <w:spacing w:after="0"/>
              <w:rPr>
                <w:sz w:val="19"/>
                <w:szCs w:val="19"/>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Valuation</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c>
          <w:tcPr>
            <w:tcW w:w="2700" w:type="dxa"/>
            <w:vAlign w:val="bottom"/>
            <w:gridSpan w:val="4"/>
          </w:tcPr>
          <w:p>
            <w:pPr>
              <w:ind w:left="84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330"/>
              <w:spacing w:after="0" w:line="205" w:lineRule="exact"/>
              <w:rPr>
                <w:sz w:val="20"/>
                <w:szCs w:val="20"/>
                <w:color w:val="auto"/>
              </w:rPr>
            </w:pPr>
            <w:r>
              <w:rPr>
                <w:rFonts w:ascii="Arial" w:cs="Arial" w:eastAsia="Arial" w:hAnsi="Arial"/>
                <w:sz w:val="18"/>
                <w:szCs w:val="18"/>
                <w:b w:val="1"/>
                <w:bCs w:val="1"/>
                <w:color w:val="auto"/>
                <w:w w:val="99"/>
              </w:rPr>
              <w:t>June 30,</w:t>
            </w:r>
          </w:p>
        </w:tc>
        <w:tc>
          <w:tcPr>
            <w:tcW w:w="1340" w:type="dxa"/>
            <w:vAlign w:val="bottom"/>
            <w:gridSpan w:val="2"/>
          </w:tcPr>
          <w:p>
            <w:pPr>
              <w:jc w:val="center"/>
              <w:ind w:left="9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60" w:type="dxa"/>
            <w:vAlign w:val="bottom"/>
            <w:gridSpan w:val="2"/>
          </w:tcPr>
          <w:p>
            <w:pPr>
              <w:ind w:left="240"/>
              <w:spacing w:after="0" w:line="205" w:lineRule="exact"/>
              <w:rPr>
                <w:sz w:val="20"/>
                <w:szCs w:val="20"/>
                <w:color w:val="auto"/>
              </w:rPr>
            </w:pPr>
            <w:r>
              <w:rPr>
                <w:rFonts w:ascii="Arial" w:cs="Arial" w:eastAsia="Arial" w:hAnsi="Arial"/>
                <w:sz w:val="18"/>
                <w:szCs w:val="18"/>
                <w:b w:val="1"/>
                <w:bCs w:val="1"/>
                <w:color w:val="auto"/>
              </w:rPr>
              <w:t>June 30,</w:t>
            </w:r>
          </w:p>
        </w:tc>
        <w:tc>
          <w:tcPr>
            <w:tcW w:w="11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Techniques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90"/>
              </w:rPr>
              <w:t>(In thousands)</w:t>
            </w: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4"/>
              </w:rPr>
              <w:t>Finance receivables measured at</w:t>
            </w:r>
          </w:p>
        </w:tc>
        <w:tc>
          <w:tcPr>
            <w:tcW w:w="380" w:type="dxa"/>
            <w:vAlign w:val="bottom"/>
            <w:gridSpan w:val="2"/>
            <w:shd w:val="clear" w:color="auto" w:fill="EEEEEE"/>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70"/>
              <w:spacing w:after="0" w:line="201" w:lineRule="exact"/>
              <w:rPr>
                <w:sz w:val="20"/>
                <w:szCs w:val="20"/>
                <w:color w:val="auto"/>
              </w:rPr>
            </w:pPr>
            <w:r>
              <w:rPr>
                <w:rFonts w:ascii="Arial" w:cs="Arial" w:eastAsia="Arial" w:hAnsi="Arial"/>
                <w:sz w:val="18"/>
                <w:szCs w:val="18"/>
                <w:color w:val="auto"/>
              </w:rPr>
              <w:t>316</w:t>
            </w:r>
          </w:p>
        </w:tc>
        <w:tc>
          <w:tcPr>
            <w:tcW w:w="580" w:type="dxa"/>
            <w:vAlign w:val="bottom"/>
            <w:shd w:val="clear" w:color="auto" w:fill="EEEEEE"/>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1,664</w:t>
            </w:r>
          </w:p>
        </w:tc>
        <w:tc>
          <w:tcPr>
            <w:tcW w:w="26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8"/>
              </w:rPr>
              <w:t>Discounted cash</w:t>
            </w:r>
          </w:p>
        </w:tc>
        <w:tc>
          <w:tcPr>
            <w:tcW w:w="14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Discount rate</w:t>
            </w:r>
          </w:p>
        </w:tc>
        <w:tc>
          <w:tcPr>
            <w:tcW w:w="1460" w:type="dxa"/>
            <w:vAlign w:val="bottom"/>
            <w:gridSpan w:val="2"/>
            <w:shd w:val="clear" w:color="auto" w:fill="EEEEEE"/>
          </w:tcPr>
          <w:p>
            <w:pPr>
              <w:jc w:val="right"/>
              <w:ind w:right="320"/>
              <w:spacing w:after="0" w:line="201" w:lineRule="exact"/>
              <w:rPr>
                <w:sz w:val="20"/>
                <w:szCs w:val="20"/>
                <w:color w:val="auto"/>
              </w:rPr>
            </w:pPr>
            <w:r>
              <w:rPr>
                <w:rFonts w:ascii="Arial" w:cs="Arial" w:eastAsia="Arial" w:hAnsi="Arial"/>
                <w:sz w:val="18"/>
                <w:szCs w:val="18"/>
                <w:color w:val="auto"/>
              </w:rPr>
              <w:t>15.4%</w:t>
            </w:r>
          </w:p>
        </w:tc>
        <w:tc>
          <w:tcPr>
            <w:tcW w:w="124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7"/>
              </w:rPr>
              <w:t>flows</w:t>
            </w:r>
          </w:p>
        </w:tc>
        <w:tc>
          <w:tcPr>
            <w:tcW w:w="1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3"/>
              </w:rPr>
              <w:t>Cumulative net</w:t>
            </w:r>
          </w:p>
        </w:tc>
        <w:tc>
          <w:tcPr>
            <w:tcW w:w="14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5.0%</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losses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3"/>
              </w:rPr>
              <w:t>Monthly average</w:t>
            </w:r>
          </w:p>
        </w:tc>
        <w:tc>
          <w:tcPr>
            <w:tcW w:w="1460" w:type="dxa"/>
            <w:vAlign w:val="bottom"/>
            <w:gridSpan w:val="2"/>
            <w:shd w:val="clear" w:color="auto" w:fill="EEEEEE"/>
          </w:tcPr>
          <w:p>
            <w:pPr>
              <w:jc w:val="right"/>
              <w:ind w:right="320"/>
              <w:spacing w:after="0" w:line="201" w:lineRule="exact"/>
              <w:rPr>
                <w:sz w:val="20"/>
                <w:szCs w:val="20"/>
                <w:color w:val="auto"/>
              </w:rPr>
            </w:pPr>
            <w:r>
              <w:rPr>
                <w:rFonts w:ascii="Arial" w:cs="Arial" w:eastAsia="Arial" w:hAnsi="Arial"/>
                <w:sz w:val="18"/>
                <w:szCs w:val="18"/>
                <w:color w:val="auto"/>
              </w:rPr>
              <w:t>0.5%</w:t>
            </w:r>
          </w:p>
        </w:tc>
        <w:tc>
          <w:tcPr>
            <w:tcW w:w="124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prepayments</w:t>
            </w:r>
          </w:p>
        </w:tc>
        <w:tc>
          <w:tcPr>
            <w:tcW w:w="11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tcPr>
          <w:p>
            <w:pPr>
              <w:spacing w:after="0" w:line="201" w:lineRule="exact"/>
              <w:rPr>
                <w:sz w:val="20"/>
                <w:szCs w:val="20"/>
                <w:color w:val="auto"/>
              </w:rPr>
            </w:pPr>
            <w:r>
              <w:rPr>
                <w:rFonts w:ascii="Arial" w:cs="Arial" w:eastAsia="Arial" w:hAnsi="Arial"/>
                <w:sz w:val="18"/>
                <w:szCs w:val="18"/>
                <w:color w:val="auto"/>
              </w:rPr>
              <w:t>Debt secured by receivables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8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1,250</w:t>
            </w:r>
          </w:p>
        </w:tc>
        <w:tc>
          <w:tcPr>
            <w:tcW w:w="260" w:type="dxa"/>
            <w:vAlign w:val="bottom"/>
          </w:tcPr>
          <w:p>
            <w:pPr>
              <w:spacing w:after="0"/>
              <w:rPr>
                <w:sz w:val="17"/>
                <w:szCs w:val="17"/>
                <w:color w:val="auto"/>
              </w:rPr>
            </w:pPr>
          </w:p>
        </w:tc>
        <w:tc>
          <w:tcPr>
            <w:tcW w:w="14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8"/>
              </w:rPr>
              <w:t>Discounted cash</w:t>
            </w:r>
          </w:p>
        </w:tc>
        <w:tc>
          <w:tcPr>
            <w:tcW w:w="14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Discount rate</w:t>
            </w:r>
          </w:p>
        </w:tc>
        <w:tc>
          <w:tcPr>
            <w:tcW w:w="1460" w:type="dxa"/>
            <w:vAlign w:val="bottom"/>
            <w:gridSpan w:val="2"/>
          </w:tcPr>
          <w:p>
            <w:pPr>
              <w:ind w:left="920"/>
              <w:spacing w:after="0" w:line="201" w:lineRule="exact"/>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color w:val="auto"/>
              </w:rPr>
              <w:t>measured at fair 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flows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gridSpan w:val="16"/>
          </w:tcPr>
          <w:p>
            <w:pPr>
              <w:jc w:val="center"/>
              <w:ind w:right="220"/>
              <w:spacing w:after="0"/>
              <w:rPr>
                <w:sz w:val="20"/>
                <w:szCs w:val="20"/>
                <w:color w:val="auto"/>
              </w:rPr>
            </w:pPr>
            <w:r>
              <w:rPr>
                <w:rFonts w:ascii="Arial" w:cs="Arial" w:eastAsia="Arial" w:hAnsi="Arial"/>
                <w:sz w:val="18"/>
                <w:szCs w:val="18"/>
                <w:color w:val="auto"/>
                <w:w w:val="90"/>
              </w:rPr>
              <w:t>The estimated fair values of financial assets and liabilities at June 30, 2015 and December 31, 2014, were as follows: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88"/>
              </w:rPr>
              <w:t>As of June 30, 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18,436</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18,436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200,122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200,122</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200,122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1,710,257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1,687,552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1,687,552</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28,079</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28,079</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28,079</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61,771</w:t>
            </w:r>
          </w:p>
        </w:tc>
        <w:tc>
          <w:tcPr>
            <w:tcW w:w="42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61,771</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61,771</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3,055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3,055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11,274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11,274</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11,274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1,775,574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1,788,334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1,788,334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14,982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14,982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14,982</w:t>
            </w:r>
          </w:p>
        </w:tc>
        <w:tc>
          <w:tcPr>
            <w:tcW w:w="0" w:type="dxa"/>
            <w:vAlign w:val="bottom"/>
          </w:tcPr>
          <w:p>
            <w:pPr>
              <w:spacing w:after="0"/>
              <w:rPr>
                <w:sz w:val="1"/>
                <w:szCs w:val="1"/>
                <w:color w:val="auto"/>
              </w:rPr>
            </w:pPr>
          </w:p>
        </w:tc>
      </w:tr>
      <w:tr>
        <w:trPr>
          <w:trHeight w:val="446"/>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As of December 31, 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17,859</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17,859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175,382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175,382</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1,534,496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1,512,567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1,512,567</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1,664</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23,372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23,372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56,839</w:t>
            </w:r>
          </w:p>
        </w:tc>
        <w:tc>
          <w:tcPr>
            <w:tcW w:w="42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56,839</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2,613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2,613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12,327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12,327</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1,619,742</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1,619,742</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15,233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15,233</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634"/>
        </w:trPr>
        <w:tc>
          <w:tcPr>
            <w:tcW w:w="1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June 30, 2015 and December 31, 2014,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June 30, 2015, we have purchased a total of approximately $11.8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gridSpan w:val="5"/>
          </w:tcPr>
          <w:p>
            <w:pPr>
              <w:ind w:left="1120"/>
              <w:spacing w:after="0"/>
              <w:rPr>
                <w:sz w:val="20"/>
                <w:szCs w:val="20"/>
                <w:color w:val="auto"/>
              </w:rPr>
            </w:pPr>
            <w:r>
              <w:rPr>
                <w:rFonts w:ascii="Arial" w:cs="Arial" w:eastAsia="Arial" w:hAnsi="Arial"/>
                <w:sz w:val="18"/>
                <w:szCs w:val="18"/>
                <w:i w:val="1"/>
                <w:iCs w:val="1"/>
                <w:color w:val="auto"/>
              </w:rPr>
              <w:t>$ in thousands</w:t>
            </w:r>
          </w:p>
        </w:tc>
        <w:tc>
          <w:tcPr>
            <w:tcW w:w="2280" w:type="dxa"/>
            <w:vAlign w:val="bottom"/>
          </w:tcPr>
          <w:p>
            <w:pPr>
              <w:spacing w:after="0"/>
              <w:rPr>
                <w:sz w:val="19"/>
                <w:szCs w:val="19"/>
                <w:color w:val="auto"/>
              </w:rPr>
            </w:pPr>
          </w:p>
        </w:tc>
      </w:tr>
      <w:tr>
        <w:trPr>
          <w:trHeight w:val="191"/>
        </w:trPr>
        <w:tc>
          <w:tcPr>
            <w:tcW w:w="2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ind w:left="300"/>
              <w:spacing w:after="0" w:line="191" w:lineRule="exact"/>
              <w:rPr>
                <w:sz w:val="20"/>
                <w:szCs w:val="20"/>
                <w:color w:val="auto"/>
              </w:rPr>
            </w:pPr>
            <w:r>
              <w:rPr>
                <w:rFonts w:ascii="Arial" w:cs="Arial" w:eastAsia="Arial" w:hAnsi="Arial"/>
                <w:sz w:val="18"/>
                <w:szCs w:val="18"/>
                <w:b w:val="1"/>
                <w:bCs w:val="1"/>
                <w:color w:val="auto"/>
              </w:rPr>
              <w:t>Contracts</w:t>
            </w: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34"/>
        </w:trPr>
        <w:tc>
          <w:tcPr>
            <w:tcW w:w="230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220" w:type="dxa"/>
            <w:vAlign w:val="bottom"/>
          </w:tcPr>
          <w:p>
            <w:pPr>
              <w:spacing w:after="0"/>
              <w:rPr>
                <w:sz w:val="20"/>
                <w:szCs w:val="20"/>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Purchased in Period</w:t>
            </w:r>
          </w:p>
        </w:tc>
        <w:tc>
          <w:tcPr>
            <w:tcW w:w="10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at Period End</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9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Borders>
              <w:top w:val="single" w:sz="8" w:color="EEEEEE"/>
            </w:tcBorders>
            <w:shd w:val="clear" w:color="auto" w:fill="EEEEEE"/>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1,194,722</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113,023</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333333"/>
                <w:w w:val="89"/>
              </w:rPr>
              <w:t>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284,236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794,649</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551,742</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764,087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944,944</w:t>
            </w:r>
          </w:p>
        </w:tc>
        <w:tc>
          <w:tcPr>
            <w:tcW w:w="10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Six months ended June 30, 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503,791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1,822,183</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850"/>
        </w:trPr>
        <w:tc>
          <w:tcPr>
            <w:tcW w:w="2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22</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2" w:name="page23"/>
    <w:bookmarkEnd w:id="22"/>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1994 we have conducted 67 term securitizations (generally quarterly) of automobile contracts that we purchased from dealers under our regular programs. As of June 30, 2015, 17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760" w:type="dxa"/>
            <w:vAlign w:val="bottom"/>
            <w:gridSpan w:val="4"/>
          </w:tcPr>
          <w:p>
            <w:pPr>
              <w:ind w:left="2360"/>
              <w:spacing w:after="0"/>
              <w:rPr>
                <w:sz w:val="20"/>
                <w:szCs w:val="20"/>
                <w:color w:val="auto"/>
              </w:rPr>
            </w:pPr>
            <w:r>
              <w:rPr>
                <w:rFonts w:ascii="Arial" w:cs="Arial" w:eastAsia="Arial" w:hAnsi="Arial"/>
                <w:sz w:val="18"/>
                <w:szCs w:val="18"/>
                <w:b w:val="1"/>
                <w:bCs w:val="1"/>
                <w:color w:val="auto"/>
              </w:rPr>
              <w:t>Recent Asset-Backed Term Securitizations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Amount of</w:t>
            </w:r>
          </w:p>
        </w:tc>
        <w:tc>
          <w:tcPr>
            <w:tcW w:w="6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3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3660" w:type="dxa"/>
            <w:vAlign w:val="bottom"/>
            <w:gridSpan w:val="2"/>
          </w:tcPr>
          <w:p>
            <w:pPr>
              <w:ind w:left="480"/>
              <w:spacing w:after="0"/>
              <w:rPr>
                <w:sz w:val="20"/>
                <w:szCs w:val="20"/>
                <w:color w:val="auto"/>
              </w:rPr>
            </w:pPr>
            <w:r>
              <w:rPr>
                <w:rFonts w:ascii="Arial" w:cs="Arial" w:eastAsia="Arial" w:hAnsi="Arial"/>
                <w:sz w:val="18"/>
                <w:szCs w:val="18"/>
                <w:b w:val="1"/>
                <w:bCs w:val="1"/>
                <w:color w:val="auto"/>
              </w:rPr>
              <w:t>Number of Term Securitizations</w:t>
            </w:r>
          </w:p>
        </w:tc>
        <w:tc>
          <w:tcPr>
            <w:tcW w:w="12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29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2006</w:t>
            </w:r>
          </w:p>
        </w:tc>
        <w:tc>
          <w:tcPr>
            <w:tcW w:w="160" w:type="dxa"/>
            <w:vAlign w:val="bottom"/>
            <w:tcBorders>
              <w:top w:val="single" w:sz="8" w:color="EEEEEE"/>
            </w:tcBorders>
            <w:shd w:val="clear" w:color="auto" w:fill="EEEEEE"/>
          </w:tcPr>
          <w:p>
            <w:pPr>
              <w:spacing w:after="0"/>
              <w:rPr>
                <w:sz w:val="18"/>
                <w:szCs w:val="18"/>
                <w:color w:val="auto"/>
              </w:rPr>
            </w:pPr>
          </w:p>
        </w:tc>
        <w:tc>
          <w:tcPr>
            <w:tcW w:w="3460" w:type="dxa"/>
            <w:vAlign w:val="bottom"/>
            <w:tcBorders>
              <w:top w:val="single" w:sz="8" w:color="auto"/>
            </w:tcBorders>
            <w:shd w:val="clear" w:color="auto" w:fill="EEEEEE"/>
          </w:tcPr>
          <w:p>
            <w:pPr>
              <w:jc w:val="right"/>
              <w:ind w:right="390"/>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60" w:type="dxa"/>
            <w:vAlign w:val="bottom"/>
          </w:tcPr>
          <w:p>
            <w:pPr>
              <w:spacing w:after="0"/>
              <w:rPr>
                <w:sz w:val="18"/>
                <w:szCs w:val="18"/>
                <w:color w:val="auto"/>
              </w:rPr>
            </w:pP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1,118,097</w:t>
            </w:r>
          </w:p>
        </w:tc>
      </w:tr>
      <w:tr>
        <w:trPr>
          <w:trHeight w:val="216"/>
        </w:trPr>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160" w:type="dxa"/>
            <w:vAlign w:val="bottom"/>
            <w:shd w:val="clear" w:color="auto" w:fill="EEEEEE"/>
          </w:tcPr>
          <w:p>
            <w:pPr>
              <w:spacing w:after="0"/>
              <w:rPr>
                <w:sz w:val="18"/>
                <w:szCs w:val="18"/>
                <w:color w:val="auto"/>
              </w:rPr>
            </w:pPr>
          </w:p>
        </w:tc>
        <w:tc>
          <w:tcPr>
            <w:tcW w:w="346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509,022</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160" w:type="dxa"/>
            <w:vAlign w:val="bottom"/>
          </w:tcPr>
          <w:p>
            <w:pPr>
              <w:spacing w:after="0"/>
              <w:rPr>
                <w:sz w:val="18"/>
                <w:szCs w:val="18"/>
                <w:color w:val="auto"/>
              </w:rPr>
            </w:pP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160" w:type="dxa"/>
            <w:vAlign w:val="bottom"/>
            <w:shd w:val="clear" w:color="auto" w:fill="EEEEEE"/>
          </w:tcPr>
          <w:p>
            <w:pPr>
              <w:spacing w:after="0"/>
              <w:rPr>
                <w:sz w:val="18"/>
                <w:szCs w:val="18"/>
                <w:color w:val="auto"/>
              </w:rPr>
            </w:pPr>
          </w:p>
        </w:tc>
        <w:tc>
          <w:tcPr>
            <w:tcW w:w="346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103,772</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333333"/>
                <w:w w:val="89"/>
              </w:rPr>
              <w:t>2011</w:t>
            </w:r>
          </w:p>
        </w:tc>
        <w:tc>
          <w:tcPr>
            <w:tcW w:w="160" w:type="dxa"/>
            <w:vAlign w:val="bottom"/>
          </w:tcPr>
          <w:p>
            <w:pPr>
              <w:spacing w:after="0"/>
              <w:rPr>
                <w:sz w:val="18"/>
                <w:szCs w:val="18"/>
                <w:color w:val="auto"/>
              </w:rPr>
            </w:pP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335,593</w:t>
            </w:r>
          </w:p>
        </w:tc>
      </w:tr>
      <w:tr>
        <w:trPr>
          <w:trHeight w:val="216"/>
        </w:trPr>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160" w:type="dxa"/>
            <w:vAlign w:val="bottom"/>
            <w:shd w:val="clear" w:color="auto" w:fill="EEEEEE"/>
          </w:tcPr>
          <w:p>
            <w:pPr>
              <w:spacing w:after="0"/>
              <w:rPr>
                <w:sz w:val="18"/>
                <w:szCs w:val="18"/>
                <w:color w:val="auto"/>
              </w:rPr>
            </w:pPr>
          </w:p>
        </w:tc>
        <w:tc>
          <w:tcPr>
            <w:tcW w:w="346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603,500</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160" w:type="dxa"/>
            <w:vAlign w:val="bottom"/>
          </w:tcPr>
          <w:p>
            <w:pPr>
              <w:spacing w:after="0"/>
              <w:rPr>
                <w:sz w:val="18"/>
                <w:szCs w:val="18"/>
                <w:color w:val="auto"/>
              </w:rPr>
            </w:pP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778,000</w:t>
            </w:r>
          </w:p>
        </w:tc>
      </w:tr>
      <w:tr>
        <w:trPr>
          <w:trHeight w:val="216"/>
        </w:trPr>
        <w:tc>
          <w:tcPr>
            <w:tcW w:w="29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160" w:type="dxa"/>
            <w:vAlign w:val="bottom"/>
            <w:shd w:val="clear" w:color="auto" w:fill="EEEEEE"/>
          </w:tcPr>
          <w:p>
            <w:pPr>
              <w:spacing w:after="0"/>
              <w:rPr>
                <w:sz w:val="18"/>
                <w:szCs w:val="18"/>
                <w:color w:val="auto"/>
              </w:rPr>
            </w:pPr>
          </w:p>
        </w:tc>
        <w:tc>
          <w:tcPr>
            <w:tcW w:w="346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923,000</w:t>
            </w:r>
          </w:p>
        </w:tc>
      </w:tr>
      <w:tr>
        <w:trPr>
          <w:trHeight w:val="230"/>
        </w:trPr>
        <w:tc>
          <w:tcPr>
            <w:tcW w:w="31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Six months ended June 30, 2015</w:t>
            </w:r>
          </w:p>
        </w:tc>
        <w:tc>
          <w:tcPr>
            <w:tcW w:w="346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495,000</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2010 securitization was, in substance, a re-securitization of the receivables from our second securitization of 2008, which allowed us to take advantage of a lower interest rate environment at that time. Our 2012 securitizations included $58.2 million in contracts that were repurchased in 2012 from securitizations closed in 2006 and 2007. Our 2013 securitizations included $7.4 million in contracts that were repurchased from a securitization closed in 2008.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we have one such residual interest financing outstanding.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ind w:firstLine="648"/>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June 30, 2015 included $94.9 million from the proceeds of the sale of the asset-backed notes that were held by the trustee pending delivery of the remaining receivables. In July 2015, the requisite additional receivables were delivered to the trust and we received the related restricted cash, most of which was used to repay amounts owed under our warehouse credit facilities.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extended again in March 2015 to April 2015, when it was repaid in full. Our second $100 million credit facility was established in May 2012. This facility was renewed in August 2014, extending the revolving period to August 2016, and adding an amortization period through August 2017. In April 2015, we entered into a new $100 million facility with a revolving period extending to April 2017 followed by an amortization period to April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June 30, 2015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2015 with the three months ended June 30, 2014</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three months ended June 30, 2015, our revenues were $88.4 million, an increase of $16.8 million, or 23.4%,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$71.6 million. The primary reason for the increase in revenues is an increase in interest income. Interest income for the three months ended June 30, 2015 increased $16.7 million, or 24.4%, to $84.9 million from $68.2 million in the prior year. The primary reason for the increase in interest income is the increase in finance receivables held by consolidated subsidiaries, which increased from $1,369.6 million at June 30, 2014 to $1,822.2 million at June 30, 2015. The table below shows the average balances of our portfolio held by consolidated subsidiaries for the three months ended June 30, 2015 and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Average Balances for the Three Months</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1150"/>
              <w:spacing w:after="0"/>
              <w:rPr>
                <w:sz w:val="20"/>
                <w:szCs w:val="20"/>
                <w:color w:val="auto"/>
              </w:rPr>
            </w:pPr>
            <w:r>
              <w:rPr>
                <w:rFonts w:ascii="Arial" w:cs="Arial" w:eastAsia="Arial" w:hAnsi="Arial"/>
                <w:sz w:val="18"/>
                <w:szCs w:val="18"/>
                <w:b w:val="1"/>
                <w:bCs w:val="1"/>
                <w:color w:val="auto"/>
                <w:w w:val="90"/>
              </w:rPr>
              <w:t>Ended</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 2015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June 30, 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Finance Receivables Owned by</w:t>
            </w: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Consolidated Subsidiaries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1,772.9</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Fireside</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1,773.3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Servicing fees totaling $62,000 for the three months ended June 30, 2015 decreased $305,000, or 83.1%, from $367,000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June 30, 2015 and 2014, our managed portfolio owned by consolidated vs. non-consolidated subsidiaries and other third parties was as follows: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7"/>
              </w:rPr>
              <w:t>June 30, 2015</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7"/>
              </w:rPr>
              <w:t>June 30, 2014</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1,821.0</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99.9%</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1,363.9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0.8</w:t>
            </w:r>
          </w:p>
        </w:tc>
        <w:tc>
          <w:tcPr>
            <w:tcW w:w="4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1,373.6</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June 30, 2015, we were generating income and fees on a managed portfolio with an outstanding principal balance of $1,822.2 million (this amount includes $111,000 of automobile contracts on which we earn servicing fees and own a residual interest and also includes another $800,000 of automobile contracts on which we earn base and incentive servicing fees), compared to a managed portfolio with an outstanding principal balance of $1,373.6 million as of June 30, 2014. At June 30, 2015 and 2014,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7"/>
              </w:rPr>
              <w:t>June 30, 2015</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7"/>
              </w:rPr>
              <w:t>June 30, 2014</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00" w:type="dxa"/>
            <w:vAlign w:val="bottom"/>
            <w:tcBorders>
              <w:bottom w:val="single" w:sz="8" w:color="EEEEEE"/>
            </w:tcBorders>
          </w:tcPr>
          <w:p>
            <w:pPr>
              <w:spacing w:after="0"/>
              <w:rPr>
                <w:sz w:val="19"/>
                <w:szCs w:val="19"/>
                <w:color w:val="auto"/>
              </w:rPr>
            </w:pPr>
          </w:p>
        </w:tc>
      </w:tr>
      <w:tr>
        <w:trPr>
          <w:trHeight w:val="223"/>
        </w:trPr>
        <w:tc>
          <w:tcPr>
            <w:tcW w:w="3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shd w:val="clear" w:color="auto" w:fill="EEEEEE"/>
          </w:tcPr>
          <w:p>
            <w:pPr>
              <w:spacing w:after="0"/>
              <w:rPr>
                <w:sz w:val="19"/>
                <w:szCs w:val="19"/>
                <w:color w:val="auto"/>
              </w:rPr>
            </w:pPr>
          </w:p>
        </w:tc>
        <w:tc>
          <w:tcPr>
            <w:tcW w:w="13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3880" w:type="dxa"/>
            <w:vAlign w:val="bottom"/>
            <w:gridSpan w:val="7"/>
            <w:shd w:val="clear" w:color="auto" w:fill="EEEEEE"/>
          </w:tcPr>
          <w:p>
            <w:pPr>
              <w:ind w:left="820"/>
              <w:spacing w:after="0"/>
              <w:rPr>
                <w:sz w:val="20"/>
                <w:szCs w:val="20"/>
                <w:color w:val="auto"/>
              </w:rPr>
            </w:pPr>
            <w:r>
              <w:rPr>
                <w:rFonts w:ascii="Arial" w:cs="Arial" w:eastAsia="Arial" w:hAnsi="Arial"/>
                <w:sz w:val="18"/>
                <w:szCs w:val="18"/>
                <w:b w:val="1"/>
                <w:bCs w:val="1"/>
                <w:color w:val="auto"/>
              </w:rPr>
              <w:t>($ in millions)</w:t>
            </w:r>
          </w:p>
        </w:tc>
        <w:tc>
          <w:tcPr>
            <w:tcW w:w="1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CPS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1,821.7</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1,365.3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0.4%</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1,822.2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1,373.6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three months ended June 30, 2015, other income of $3.4 million increased by $393,000, or 13.1% compared to the prior year. The three-month period ended June 30, 2015 includes an increase of $210,000 in revenue associated with direct mail and other related products and services that we offer to our dealers, a net increase of $278,000 on payments to us for our interest in certain sold charge off portfolios and acquired third-party portfolios and an increase of $15,000 in sales tax refunds. In addition, in the prior year period, we incurred a markdown of $160,000 in the fair value of the principal balance and related debt of the Fireside portfolio. The increases were somewhat offset by a decrease of $270,000 in payments from third-party providers of convenience fees paid by our customers for web based and other electronic payments.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were $73.2 million for the three months ended June 30, 2015, compared to $59.3 million for the prior year, an increase of $13.9 million, or 23.4%. The increase is primarily due to costs associated with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$1.4 million or 11.6%, to $13.1 million during the three months ended June 30, 2015, representing 18.0% of total operating expenses, from $11.8 million for the prior year, or 19.9%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June 30, 2015 and 2014:</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June 30, 2015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269.9</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16,339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1,822.2</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1,373.6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135,954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$5.1 million, an increase of $33,000, or 0.6% compared to the previous year and represented 7.0% of total operating expenses.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right="20" w:firstLine="648"/>
        <w:spacing w:after="0" w:line="277" w:lineRule="auto"/>
        <w:rPr>
          <w:sz w:val="20"/>
          <w:szCs w:val="20"/>
          <w:color w:val="auto"/>
        </w:rPr>
      </w:pPr>
      <w:r>
        <w:rPr>
          <w:rFonts w:ascii="Arial" w:cs="Arial" w:eastAsia="Arial" w:hAnsi="Arial"/>
          <w:sz w:val="18"/>
          <w:szCs w:val="18"/>
          <w:color w:val="auto"/>
        </w:rPr>
        <w:t>Interest expense for the three months ended June 30, 2015 increased by $1.7 million to $13.7 million, or 18.7% of total operating expenses, compared to $11.9 million in the previous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debt on the Fireside portfolio was repaid in full in January 2015. As a result, we incurred no interest expense on that debt compared to $204,000 in the prior year period.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securitization trust debt increased by $2.3 million, or 24.4%, for the three months ended June 30, 2015 compared to the prior year. The average balance of securitization trust debt increased 35.2% to $1,665.4 million at June 30, 2015 compared to $1,231.5 million at June 30, 2014. However, the blended interest rates on term securitizations completed since 2012 are significantly less than the blended interest rates on securitization trust debt incurred prior to 2012. As a result, the cost of securitization debt during the three month period ended June 30, 2015 was 2.8%, compared to 3.0% in the prior year period.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$205,000. The decrease is due to a decrease in the average balance from $18.1 million to $15.1 million and a decrease in the average cost from 13.5% to 10.8%. Interest expense on residual interest financing decreased $154,000 in the three months ended June 30, 2015 compared to the prior year. The decrease is due to repayments of $2.8 million during the twelve months ended June 30, 2015.</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on warehouse debt increased by $21,000 for the three months ended June 30, 2015 compared to the prior year. We increased our contract purchases to $269.9 million for the three months ended June 30, 2015 compared to $211.4 million in the prior period. However, when possible, we hold contracts with our own cash rather than pledging them to one of our warehouse facilities to minimize interest expense.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June 30, 2015 and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00" w:type="dxa"/>
            <w:vAlign w:val="bottom"/>
            <w:tcBorders>
              <w:top w:val="single" w:sz="8" w:color="EEEEEE"/>
            </w:tcBorders>
            <w:gridSpan w:val="3"/>
            <w:shd w:val="clear" w:color="auto" w:fill="EEEEEE"/>
          </w:tcPr>
          <w:p>
            <w:pPr>
              <w:jc w:val="center"/>
              <w:ind w:right="40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8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6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8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1,742,420</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84,816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1,303,900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67,750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fair value</w:t>
            </w:r>
          </w:p>
        </w:tc>
        <w:tc>
          <w:tcPr>
            <w:tcW w:w="1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EEEEEE"/>
          </w:tcPr>
          <w:p>
            <w:pPr>
              <w:spacing w:after="0"/>
              <w:rPr>
                <w:sz w:val="21"/>
                <w:szCs w:val="21"/>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6,730</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Borders>
              <w:bottom w:val="single" w:sz="8" w:color="EEEEEE"/>
            </w:tcBorders>
          </w:tcPr>
          <w:p>
            <w:pPr>
              <w:spacing w:after="0"/>
              <w:rPr>
                <w:sz w:val="21"/>
                <w:szCs w:val="21"/>
                <w:color w:val="auto"/>
              </w:rPr>
            </w:pPr>
          </w:p>
        </w:tc>
        <w:tc>
          <w:tcPr>
            <w:tcW w:w="120" w:type="dxa"/>
            <w:vAlign w:val="bottom"/>
            <w:tcBorders>
              <w:bottom w:val="single" w:sz="8" w:color="EEEEEE"/>
            </w:tcBorders>
          </w:tcPr>
          <w:p>
            <w:pPr>
              <w:spacing w:after="0"/>
              <w:rPr>
                <w:sz w:val="21"/>
                <w:szCs w:val="21"/>
                <w:color w:val="auto"/>
              </w:rPr>
            </w:pPr>
          </w:p>
        </w:tc>
        <w:tc>
          <w:tcPr>
            <w:tcW w:w="1800" w:type="dxa"/>
            <w:vAlign w:val="bottom"/>
            <w:tcBorders>
              <w:bottom w:val="single" w:sz="8" w:color="EEEEEE"/>
            </w:tcBorders>
          </w:tcPr>
          <w:p>
            <w:pPr>
              <w:spacing w:after="0"/>
              <w:rPr>
                <w:sz w:val="21"/>
                <w:szCs w:val="21"/>
                <w:color w:val="auto"/>
              </w:rPr>
            </w:pPr>
          </w:p>
        </w:tc>
        <w:tc>
          <w:tcPr>
            <w:tcW w:w="140" w:type="dxa"/>
            <w:vAlign w:val="bottom"/>
            <w:tcBorders>
              <w:bottom w:val="single" w:sz="8" w:color="EEEEEE"/>
            </w:tcBorders>
          </w:tcPr>
          <w:p>
            <w:pPr>
              <w:spacing w:after="0"/>
              <w:rPr>
                <w:sz w:val="21"/>
                <w:szCs w:val="21"/>
                <w:color w:val="auto"/>
              </w:rPr>
            </w:pPr>
          </w:p>
        </w:tc>
        <w:tc>
          <w:tcPr>
            <w:tcW w:w="260" w:type="dxa"/>
            <w:vAlign w:val="bottom"/>
            <w:tcBorders>
              <w:bottom w:val="single" w:sz="8" w:color="EEEEEE"/>
            </w:tcBorders>
          </w:tcPr>
          <w:p>
            <w:pPr>
              <w:spacing w:after="0"/>
              <w:rPr>
                <w:sz w:val="21"/>
                <w:szCs w:val="21"/>
                <w:color w:val="auto"/>
              </w:rPr>
            </w:pPr>
          </w:p>
        </w:tc>
        <w:tc>
          <w:tcPr>
            <w:tcW w:w="180" w:type="dxa"/>
            <w:vAlign w:val="bottom"/>
            <w:tcBorders>
              <w:bottom w:val="single" w:sz="8" w:color="EEEEEE"/>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1,742,861</w:t>
            </w:r>
          </w:p>
        </w:tc>
        <w:tc>
          <w:tcPr>
            <w:tcW w:w="340" w:type="dxa"/>
            <w:vAlign w:val="bottom"/>
            <w:tcBorders>
              <w:bottom w:val="single" w:sz="8" w:color="EEEEEE"/>
            </w:tcBorders>
          </w:tcPr>
          <w:p>
            <w:pPr>
              <w:spacing w:after="0"/>
              <w:rPr>
                <w:sz w:val="21"/>
                <w:szCs w:val="21"/>
                <w:color w:val="auto"/>
              </w:rPr>
            </w:pPr>
          </w:p>
        </w:tc>
        <w:tc>
          <w:tcPr>
            <w:tcW w:w="180" w:type="dxa"/>
            <w:vAlign w:val="bottom"/>
            <w:tcBorders>
              <w:top w:val="single" w:sz="8" w:color="auto"/>
              <w:bottom w:val="single" w:sz="8" w:color="EEEEEE"/>
            </w:tcBorders>
          </w:tcPr>
          <w:p>
            <w:pPr>
              <w:spacing w:after="0"/>
              <w:rPr>
                <w:sz w:val="21"/>
                <w:szCs w:val="21"/>
                <w:color w:val="auto"/>
              </w:rPr>
            </w:pPr>
          </w:p>
        </w:tc>
        <w:tc>
          <w:tcPr>
            <w:tcW w:w="98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84,900</w:t>
            </w:r>
          </w:p>
        </w:tc>
        <w:tc>
          <w:tcPr>
            <w:tcW w:w="360" w:type="dxa"/>
            <w:vAlign w:val="bottom"/>
            <w:tcBorders>
              <w:bottom w:val="single" w:sz="8" w:color="EEEEEE"/>
            </w:tcBorders>
          </w:tcPr>
          <w:p>
            <w:pPr>
              <w:spacing w:after="0"/>
              <w:rPr>
                <w:sz w:val="21"/>
                <w:szCs w:val="21"/>
                <w:color w:val="auto"/>
              </w:rPr>
            </w:pPr>
          </w:p>
        </w:tc>
        <w:tc>
          <w:tcPr>
            <w:tcW w:w="11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Borders>
              <w:bottom w:val="single" w:sz="8" w:color="EEEEEE"/>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1,310,630</w:t>
            </w:r>
          </w:p>
        </w:tc>
        <w:tc>
          <w:tcPr>
            <w:tcW w:w="320" w:type="dxa"/>
            <w:vAlign w:val="bottom"/>
            <w:tcBorders>
              <w:bottom w:val="single" w:sz="8" w:color="EEEEEE"/>
            </w:tcBorders>
          </w:tcPr>
          <w:p>
            <w:pPr>
              <w:spacing w:after="0"/>
              <w:rPr>
                <w:sz w:val="21"/>
                <w:szCs w:val="21"/>
                <w:color w:val="auto"/>
              </w:rPr>
            </w:pPr>
          </w:p>
        </w:tc>
        <w:tc>
          <w:tcPr>
            <w:tcW w:w="180" w:type="dxa"/>
            <w:vAlign w:val="bottom"/>
            <w:tcBorders>
              <w:top w:val="single" w:sz="8" w:color="auto"/>
              <w:bottom w:val="single" w:sz="8" w:color="EEEEEE"/>
            </w:tcBorders>
          </w:tcPr>
          <w:p>
            <w:pPr>
              <w:spacing w:after="0"/>
              <w:rPr>
                <w:sz w:val="21"/>
                <w:szCs w:val="21"/>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68,221</w:t>
            </w:r>
          </w:p>
        </w:tc>
        <w:tc>
          <w:tcPr>
            <w:tcW w:w="320" w:type="dxa"/>
            <w:vAlign w:val="bottom"/>
            <w:tcBorders>
              <w:bottom w:val="single" w:sz="8" w:color="EEEEEE"/>
            </w:tcBorders>
          </w:tcPr>
          <w:p>
            <w:pPr>
              <w:spacing w:after="0"/>
              <w:rPr>
                <w:sz w:val="21"/>
                <w:szCs w:val="21"/>
                <w:color w:val="auto"/>
              </w:rPr>
            </w:pPr>
          </w:p>
        </w:tc>
        <w:tc>
          <w:tcPr>
            <w:tcW w:w="114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EEEEEE"/>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FFFFFF"/>
              </w:rPr>
              <w:t>$</w:t>
            </w: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gridSpan w:val="5"/>
          </w:tcPr>
          <w:p>
            <w:pPr>
              <w:jc w:val="center"/>
              <w:ind w:right="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44,810</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1,259</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43,812</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11,441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351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14,486</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measured at fair value</w:t>
            </w:r>
          </w:p>
        </w:tc>
        <w:tc>
          <w:tcPr>
            <w:tcW w:w="1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6,319</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1,665,435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11,670</w:t>
            </w: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1,231,507</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9,381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15,075</w:t>
            </w: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408</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18,142</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8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1,736,761</w:t>
            </w:r>
          </w:p>
        </w:tc>
        <w:tc>
          <w:tcPr>
            <w:tcW w:w="34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340" w:type="dxa"/>
            <w:vAlign w:val="bottom"/>
            <w:tcBorders>
              <w:bottom w:val="single" w:sz="8" w:color="EEEEEE"/>
            </w:tcBorders>
            <w:gridSpan w:val="2"/>
          </w:tcPr>
          <w:p>
            <w:pPr>
              <w:jc w:val="right"/>
              <w:ind w:right="360"/>
              <w:spacing w:after="0"/>
              <w:rPr>
                <w:sz w:val="20"/>
                <w:szCs w:val="20"/>
                <w:color w:val="auto"/>
              </w:rPr>
            </w:pPr>
            <w:r>
              <w:rPr>
                <w:rFonts w:ascii="Arial" w:cs="Arial" w:eastAsia="Arial" w:hAnsi="Arial"/>
                <w:sz w:val="18"/>
                <w:szCs w:val="18"/>
                <w:color w:val="auto"/>
              </w:rPr>
              <w:t>13,688</w:t>
            </w:r>
          </w:p>
        </w:tc>
        <w:tc>
          <w:tcPr>
            <w:tcW w:w="14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1,314,266</w:t>
            </w:r>
          </w:p>
        </w:tc>
        <w:tc>
          <w:tcPr>
            <w:tcW w:w="32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2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11,941</w:t>
            </w: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80" w:type="dxa"/>
            <w:vAlign w:val="bottom"/>
            <w:tcBorders>
              <w:bottom w:val="single" w:sz="8" w:color="auto"/>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60" w:type="dxa"/>
            <w:vAlign w:val="bottom"/>
            <w:tcBorders>
              <w:bottom w:val="single" w:sz="8" w:color="auto"/>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4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8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6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71,212</w:t>
            </w:r>
          </w:p>
        </w:tc>
        <w:tc>
          <w:tcPr>
            <w:tcW w:w="360" w:type="dxa"/>
            <w:vAlign w:val="bottom"/>
            <w:tcBorders>
              <w:bottom w:val="single" w:sz="8" w:color="EEEEEE"/>
            </w:tcBorders>
          </w:tcPr>
          <w:p>
            <w:pPr>
              <w:spacing w:after="0"/>
              <w:rPr>
                <w:sz w:val="22"/>
                <w:szCs w:val="22"/>
                <w:color w:val="auto"/>
              </w:rPr>
            </w:pPr>
          </w:p>
        </w:tc>
        <w:tc>
          <w:tcPr>
            <w:tcW w:w="116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56,280</w:t>
            </w:r>
          </w:p>
        </w:tc>
        <w:tc>
          <w:tcPr>
            <w:tcW w:w="32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54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1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320"/>
              <w:spacing w:after="0" w:line="196" w:lineRule="exact"/>
              <w:rPr>
                <w:sz w:val="20"/>
                <w:szCs w:val="20"/>
                <w:color w:val="auto"/>
              </w:rPr>
            </w:pPr>
            <w:r>
              <w:rPr>
                <w:rFonts w:ascii="Arial" w:cs="Arial" w:eastAsia="Arial" w:hAnsi="Arial"/>
                <w:sz w:val="18"/>
                <w:szCs w:val="18"/>
                <w:color w:val="auto"/>
              </w:rPr>
              <w:t>16.3%</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5"/>
          </w:tcPr>
          <w:p>
            <w:pPr>
              <w:spacing w:after="0" w:line="201" w:lineRule="exact"/>
              <w:rPr>
                <w:sz w:val="20"/>
                <w:szCs w:val="20"/>
                <w:color w:val="auto"/>
              </w:rPr>
            </w:pPr>
            <w:r>
              <w:rPr>
                <w:rFonts w:ascii="Arial" w:cs="Arial" w:eastAsia="Arial" w:hAnsi="Arial"/>
                <w:sz w:val="18"/>
                <w:szCs w:val="18"/>
                <w:color w:val="auto"/>
                <w:w w:val="96"/>
              </w:rPr>
              <w:t>Ratio of average interest earning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color w:val="auto"/>
              </w:rPr>
              <w:t>assets to average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5"/>
          </w:tcPr>
          <w:p>
            <w:pPr>
              <w:ind w:left="180"/>
              <w:spacing w:after="0"/>
              <w:rPr>
                <w:sz w:val="20"/>
                <w:szCs w:val="20"/>
                <w:color w:val="auto"/>
              </w:rPr>
            </w:pPr>
            <w:r>
              <w:rPr>
                <w:rFonts w:ascii="Arial" w:cs="Arial" w:eastAsia="Arial" w:hAnsi="Arial"/>
                <w:sz w:val="18"/>
                <w:szCs w:val="18"/>
                <w:color w:val="auto"/>
              </w:rPr>
              <w:t>bearing liabilities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287"/>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360" w:hanging="307"/>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60" w:hanging="307"/>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340" w:hanging="287"/>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40" w:type="dxa"/>
            <w:vAlign w:val="bottom"/>
            <w:gridSpan w:val="8"/>
          </w:tcPr>
          <w:p>
            <w:pPr>
              <w:jc w:val="center"/>
              <w:ind w:left="950"/>
              <w:spacing w:after="0"/>
              <w:rPr>
                <w:sz w:val="20"/>
                <w:szCs w:val="20"/>
                <w:color w:val="auto"/>
              </w:rPr>
            </w:pPr>
            <w:r>
              <w:rPr>
                <w:rFonts w:ascii="Arial" w:cs="Arial" w:eastAsia="Arial" w:hAnsi="Arial"/>
                <w:sz w:val="18"/>
                <w:szCs w:val="18"/>
                <w:b w:val="1"/>
                <w:bCs w:val="1"/>
                <w:color w:val="auto"/>
                <w:w w:val="90"/>
              </w:rPr>
              <w:t>Three Months Ended June 30, 2015</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Compared to June 30 2014</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680"/>
              <w:spacing w:after="0" w:line="205" w:lineRule="exact"/>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Change Due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w w:val="91"/>
              </w:rPr>
              <w:t>Change Due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20" w:type="dxa"/>
            <w:vAlign w:val="bottom"/>
            <w:gridSpan w:val="4"/>
            <w:vMerge w:val="restart"/>
          </w:tcPr>
          <w:p>
            <w:pPr>
              <w:jc w:val="center"/>
              <w:ind w:right="840"/>
              <w:spacing w:after="0"/>
              <w:rPr>
                <w:sz w:val="20"/>
                <w:szCs w:val="20"/>
                <w:color w:val="auto"/>
              </w:rPr>
            </w:pPr>
            <w:r>
              <w:rPr>
                <w:rFonts w:ascii="Arial" w:cs="Arial" w:eastAsia="Arial" w:hAnsi="Arial"/>
                <w:sz w:val="18"/>
                <w:szCs w:val="18"/>
                <w:b w:val="1"/>
                <w:bCs w:val="1"/>
                <w:color w:val="auto"/>
                <w:w w:val="89"/>
              </w:rPr>
              <w:t>Interest Earning Assets</w:t>
            </w:r>
          </w:p>
        </w:tc>
        <w:tc>
          <w:tcPr>
            <w:tcW w:w="3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gridSpan w:val="4"/>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2"/>
          </w:tcPr>
          <w:p>
            <w:pPr>
              <w:jc w:val="center"/>
              <w:ind w:right="4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17,066</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22,785</w:t>
            </w:r>
          </w:p>
        </w:tc>
        <w:tc>
          <w:tcPr>
            <w:tcW w:w="32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3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16,679</w:t>
            </w: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22,345</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(5,666)</w:t>
            </w:r>
          </w:p>
        </w:tc>
        <w:tc>
          <w:tcPr>
            <w:tcW w:w="120" w:type="dxa"/>
            <w:vAlign w:val="bottom"/>
            <w:tcBorders>
              <w:top w:val="single" w:sz="8" w:color="EEEEEE"/>
            </w:tcBorders>
            <w:gridSpan w:val="2"/>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20" w:type="dxa"/>
            <w:vAlign w:val="bottom"/>
            <w:gridSpan w:val="4"/>
          </w:tcPr>
          <w:p>
            <w:pPr>
              <w:jc w:val="center"/>
              <w:ind w:right="8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Debt secured by receivables measured at fair</w:t>
            </w:r>
          </w:p>
        </w:tc>
        <w:tc>
          <w:tcPr>
            <w:tcW w:w="30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value</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4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3,305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14,932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19,426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three months ended June 30, 2015 compared to the prior year period is the result of our decision to offer dealers slightly lower acquisition fees and also to require slightly lower contract interest rates on a portion of the contracts we purchase.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firstLine="648"/>
        <w:spacing w:after="0" w:line="276" w:lineRule="auto"/>
        <w:rPr>
          <w:sz w:val="20"/>
          <w:szCs w:val="20"/>
          <w:color w:val="auto"/>
        </w:rPr>
      </w:pPr>
      <w:r>
        <w:rPr>
          <w:rFonts w:ascii="Arial" w:cs="Arial" w:eastAsia="Arial" w:hAnsi="Arial"/>
          <w:sz w:val="17"/>
          <w:szCs w:val="17"/>
          <w:color w:val="auto"/>
        </w:rPr>
        <w:t>Provision for credit losses was $35.7 million for the three months ended June 30, 2015, an increase of $10.1 million, or 39.2% compared to the prior year and represented 48.8%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$624,000, or 16.4%, to $4.4 million during the three months ended June 30, 2015, compared to $3.8 million in the prior year period, and represented 6.1% of total operating expenses. For the three months ended June 30, 2015, we purchased 16,339 contracts representing $269.9 million in receivables compared to 13,132 contracts representing $211.4 million in receivables in the prior year.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Occupancy expenses increased by $42,000 or 4.6%, to $949,000 compared to $908,000 in the previous year and represented 1.3%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$26,000 or 20.7%, to $153,000 compared to $127,000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June 30, 2015, we recorded income tax expense of $6.7 million, representing a 43.8% effective income tax rate. In the prior year period, we recorded $5.3 million in income tax expense, representing a 43.0%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2015 with the six months ended June 30, 2014</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six months ended June 30, 2015, our revenues were $174.4 million, an increase of $34.6 million, or 24.8%, from the prior year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of $139.7 million. The primary reason for the increase in revenues is an increase in interest income. Interest income for the six months ended June 30, 2015 increased $34.0 million, or 25.6%, to $167.3 million from $133.2 million in the prior year. The primary reason for the increase in interest income is the increase in finance receivables held by consolidated subsidiaries, which increased from $1,369.6 million at June 30, 2014 to $1,822.2 million at June 30, 2015. The table below shows the average balances of our portfolio held by consolidated subsidiaries for the six months ended June 30, 2015 and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60" w:type="dxa"/>
            <w:vAlign w:val="bottom"/>
            <w:gridSpan w:val="5"/>
          </w:tcPr>
          <w:p>
            <w:pPr>
              <w:ind w:left="120"/>
              <w:spacing w:after="0"/>
              <w:rPr>
                <w:sz w:val="20"/>
                <w:szCs w:val="20"/>
                <w:color w:val="auto"/>
              </w:rPr>
            </w:pPr>
            <w:r>
              <w:rPr>
                <w:rFonts w:ascii="Arial" w:cs="Arial" w:eastAsia="Arial" w:hAnsi="Arial"/>
                <w:sz w:val="18"/>
                <w:szCs w:val="18"/>
                <w:b w:val="1"/>
                <w:bCs w:val="1"/>
                <w:color w:val="auto"/>
              </w:rPr>
              <w:t>Average Balances for the Six Months Ended</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 2015</w:t>
            </w:r>
          </w:p>
        </w:tc>
        <w:tc>
          <w:tcPr>
            <w:tcW w:w="3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vMerge w:val="restart"/>
          </w:tcPr>
          <w:p>
            <w:pPr>
              <w:jc w:val="center"/>
              <w:ind w:left="390"/>
              <w:spacing w:after="0"/>
              <w:rPr>
                <w:sz w:val="20"/>
                <w:szCs w:val="20"/>
                <w:color w:val="auto"/>
              </w:rPr>
            </w:pPr>
            <w:r>
              <w:rPr>
                <w:rFonts w:ascii="Arial" w:cs="Arial" w:eastAsia="Arial" w:hAnsi="Arial"/>
                <w:sz w:val="18"/>
                <w:szCs w:val="18"/>
                <w:b w:val="1"/>
                <w:bCs w:val="1"/>
                <w:color w:val="auto"/>
                <w:w w:val="88"/>
              </w:rPr>
              <w:t>Finance Receivables Owned by</w:t>
            </w:r>
          </w:p>
        </w:tc>
        <w:tc>
          <w:tcPr>
            <w:tcW w:w="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3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rPr>
              <w:t>($ in millions)</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6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Consolidated Subsidiaries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9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1,738.1</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1,296.2</w:t>
            </w:r>
          </w:p>
        </w:tc>
        <w:tc>
          <w:tcPr>
            <w:tcW w:w="1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0"/>
              <w:spacing w:after="0"/>
              <w:rPr>
                <w:sz w:val="20"/>
                <w:szCs w:val="20"/>
                <w:color w:val="auto"/>
              </w:rPr>
            </w:pPr>
            <w:r>
              <w:rPr>
                <w:rFonts w:ascii="Arial" w:cs="Arial" w:eastAsia="Arial" w:hAnsi="Arial"/>
                <w:sz w:val="18"/>
                <w:szCs w:val="18"/>
                <w:color w:val="auto"/>
              </w:rPr>
              <w:t>Fireside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1,738.8</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1,305.0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9" w:name="page30"/>
    <w:bookmarkEnd w:id="29"/>
    <w:p>
      <w:pPr>
        <w:jc w:val="both"/>
        <w:spacing w:after="0" w:line="279" w:lineRule="auto"/>
        <w:rPr>
          <w:sz w:val="20"/>
          <w:szCs w:val="20"/>
          <w:color w:val="auto"/>
        </w:rPr>
      </w:pPr>
      <w:r>
        <w:rPr>
          <w:rFonts w:ascii="Arial" w:cs="Arial" w:eastAsia="Arial" w:hAnsi="Arial"/>
          <w:sz w:val="17"/>
          <w:szCs w:val="17"/>
          <w:color w:val="auto"/>
        </w:rPr>
        <w:t>Servicing fees totaling $210,000 for the six months ended June 30, 2015 decreased $672,000, or 76.2%, from $881,000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June 30, 2015 and 2014, our managed portfolio owned by consolidated vs. non-consolidated subsidiaries and other third parties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5"/>
              </w:rPr>
              <w:t>June 30, 2015</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5"/>
              </w:rPr>
              <w:t>June 30, 2014</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1,821.0</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99.9%</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1,363.9</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5.7</w:t>
            </w:r>
          </w:p>
        </w:tc>
        <w:tc>
          <w:tcPr>
            <w:tcW w:w="4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0.8</w:t>
            </w:r>
          </w:p>
        </w:tc>
        <w:tc>
          <w:tcPr>
            <w:tcW w:w="4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1,373.6</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June 30, 2015, we were generating income and fees on a managed portfolio with an outstanding principal balance of $1,822.2 million (this amount includes $111,000 of automobile contracts on which we earn servicing fees and own a residual interest and also includes another $800,000 of automobile contracts on which we earn base and incentive servicing fees), compared to a managed portfolio with an outstanding principal balance of $1,373.6 million as of June 30, 2014. At June 30, 2015 and 2014,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w w:val="97"/>
              </w:rPr>
              <w:t>June 30, 2015</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7"/>
              </w:rPr>
              <w:t>June 30, 2014</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1,821.7</w:t>
            </w:r>
          </w:p>
        </w:tc>
        <w:tc>
          <w:tcPr>
            <w:tcW w:w="3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1,365.3</w:t>
            </w: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1,373.6</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six months ended June 30, 2015 other income of $6.9 million increased by $1.2 million, or 22.0% compared to the prior year. The six-month period ended June 30, 2015 includes an increase of $496,000 in revenue associated with direct mail and other related products and services that we offer to our dealers, a net increase of $529,000 on payments to us for our interest in certain sold charge off portfolios and acquired third-party portfolios and an increase of $63,000 in sales tax refunds. In addition, in the prior year period, we incurred a markdown of $347,000 in the fair value of the principal balance and related debt of the Fireside portfolio. The increases were somewhat offset by a decrease of $130,000 in payments from third-party providers of convenience fees paid by our customers for web based and other electronic payments.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were $144.4 million for the six months ended June 30, 2015, compared to $115.6 million for the prior year, an increase of $28.8 million, or 24.9%. The increase is primarily due to costs associated with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$4.9 million or 21.9%, to $27.6 million during the six months ended June 30, 2015, representing 19.1% of total operating expenses, from $22.7 million for the prior year, or 19.6%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six-month periods ended, June 30, 2015 and 2014:</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June 30, 2015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503.8</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1,822.2</w:t>
            </w: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1,373.6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135,954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$9.9 million, an increase of $1.3 million, or 14.6% compared to the previous year and represented 6.9% of total operating expenses.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right="20" w:firstLine="648"/>
        <w:spacing w:after="0" w:line="277" w:lineRule="auto"/>
        <w:rPr>
          <w:sz w:val="20"/>
          <w:szCs w:val="20"/>
          <w:color w:val="auto"/>
        </w:rPr>
      </w:pPr>
      <w:r>
        <w:rPr>
          <w:rFonts w:ascii="Arial" w:cs="Arial" w:eastAsia="Arial" w:hAnsi="Arial"/>
          <w:sz w:val="18"/>
          <w:szCs w:val="18"/>
          <w:color w:val="auto"/>
        </w:rPr>
        <w:t>Interest expense for the six months ended June 30, 2015 increased by $1.5 million to $26.9 million, or 18.6% of total operating expenses, compared to $25.3 million in the previous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debt on the Fireside portfolio was repaid in full in January 2015. As a result, we incurred no interest expense on that debt compared to $533,000 in the prior year period.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securitization trust debt increased by $3.8 million, or 20.6%, for the six months ended June 30, 2015 compared to the prior year. The average balance of securitization trust debt increased 35.6% to $1,624.2 million at June 30, 2015 compared to $1,198.0 million at June 30, 2014. However, the blended interest rates on term securitizations completed since 2012 are significantly less than the blended interest rates on securitization trust debt incurred prior to 2012. As a result, the cost of securitization debt during the six month period ended June 30, 2015 was 2.8%, compared to 3.0% in the prior year period.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expense on senior secured debt decreased to zero from $1.7 million in the prior period as a result of our repayment in full of senior secured debt in March 2014. Interest expense on subordinated renewable notes decreased by $435,000. The decrease is due to a decrease in the average balance from $18.4 million to $15.1 million and a decrease in the average cost from 13.5% to 10.7%. Interest expense on residual interest financing decreased $310,000 in the six months ended June 30, 2015 compared to the prior year. The decrease is due to repayments of $2.8 million during the twelve months ended June 30, 2015.</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on warehouse debt increased by $617,000 for the six months ended June 30, 2015 compared to the prior year. We increased our contract purchases to $503.8 million for the six months ended June 30, 2015 compared to $401.3 million in the prior period. However, when possible, we hold contracts with our own cash rather than pledging them to one of our warehouse facilities to minimize interest expense.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90"/>
              </w:rPr>
              <w:t>Six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120" w:type="dxa"/>
            <w:vAlign w:val="bottom"/>
            <w:tcBorders>
              <w:top w:val="single" w:sz="8" w:color="EEEEEE"/>
            </w:tcBorders>
            <w:shd w:val="clear" w:color="auto" w:fill="EEEEEE"/>
          </w:tcPr>
          <w:p>
            <w:pPr>
              <w:spacing w:after="0"/>
              <w:rPr>
                <w:sz w:val="13"/>
                <w:szCs w:val="13"/>
                <w:color w:val="auto"/>
              </w:rPr>
            </w:pPr>
          </w:p>
        </w:tc>
        <w:tc>
          <w:tcPr>
            <w:tcW w:w="2220" w:type="dxa"/>
            <w:vAlign w:val="bottom"/>
            <w:tcBorders>
              <w:top w:val="single" w:sz="8" w:color="EEEEEE"/>
            </w:tcBorders>
            <w:gridSpan w:val="3"/>
            <w:shd w:val="clear" w:color="auto" w:fill="EEEEEE"/>
          </w:tcPr>
          <w:p>
            <w:pPr>
              <w:jc w:val="center"/>
              <w:ind w:right="420"/>
              <w:spacing w:after="0" w:line="156" w:lineRule="exact"/>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Borders>
              <w:top w:val="single" w:sz="8" w:color="EEEEEE"/>
            </w:tcBorders>
            <w:shd w:val="clear" w:color="auto" w:fill="EEEEEE"/>
          </w:tcPr>
          <w:p>
            <w:pPr>
              <w:spacing w:after="0"/>
              <w:rPr>
                <w:sz w:val="13"/>
                <w:szCs w:val="13"/>
                <w:color w:val="auto"/>
              </w:rPr>
            </w:pPr>
          </w:p>
        </w:tc>
        <w:tc>
          <w:tcPr>
            <w:tcW w:w="120" w:type="dxa"/>
            <w:vAlign w:val="bottom"/>
            <w:tcBorders>
              <w:top w:val="single" w:sz="8" w:color="auto"/>
            </w:tcBorders>
            <w:shd w:val="clear" w:color="auto" w:fill="EEEEEE"/>
          </w:tcPr>
          <w:p>
            <w:pPr>
              <w:spacing w:after="0"/>
              <w:rPr>
                <w:sz w:val="13"/>
                <w:szCs w:val="13"/>
                <w:color w:val="auto"/>
              </w:rPr>
            </w:pPr>
          </w:p>
        </w:tc>
        <w:tc>
          <w:tcPr>
            <w:tcW w:w="1060" w:type="dxa"/>
            <w:vAlign w:val="bottom"/>
            <w:tcBorders>
              <w:top w:val="single" w:sz="8" w:color="auto"/>
            </w:tcBorders>
            <w:shd w:val="clear" w:color="auto" w:fill="EEEEEE"/>
          </w:tcPr>
          <w:p>
            <w:pPr>
              <w:spacing w:after="0"/>
              <w:rPr>
                <w:sz w:val="13"/>
                <w:szCs w:val="13"/>
                <w:color w:val="auto"/>
              </w:rPr>
            </w:pPr>
          </w:p>
        </w:tc>
        <w:tc>
          <w:tcPr>
            <w:tcW w:w="340" w:type="dxa"/>
            <w:vAlign w:val="bottom"/>
            <w:tcBorders>
              <w:top w:val="single" w:sz="8" w:color="EEEEEE"/>
            </w:tcBorders>
            <w:shd w:val="clear" w:color="auto" w:fill="EEEEEE"/>
          </w:tcPr>
          <w:p>
            <w:pPr>
              <w:spacing w:after="0"/>
              <w:rPr>
                <w:sz w:val="13"/>
                <w:szCs w:val="13"/>
                <w:color w:val="auto"/>
              </w:rPr>
            </w:pPr>
          </w:p>
        </w:tc>
        <w:tc>
          <w:tcPr>
            <w:tcW w:w="180" w:type="dxa"/>
            <w:vAlign w:val="bottom"/>
            <w:tcBorders>
              <w:top w:val="single" w:sz="8" w:color="auto"/>
            </w:tcBorders>
            <w:shd w:val="clear" w:color="auto" w:fill="EEEEEE"/>
          </w:tcPr>
          <w:p>
            <w:pPr>
              <w:spacing w:after="0"/>
              <w:rPr>
                <w:sz w:val="13"/>
                <w:szCs w:val="13"/>
                <w:color w:val="auto"/>
              </w:rPr>
            </w:pPr>
          </w:p>
        </w:tc>
        <w:tc>
          <w:tcPr>
            <w:tcW w:w="980" w:type="dxa"/>
            <w:vAlign w:val="bottom"/>
            <w:tcBorders>
              <w:top w:val="single" w:sz="8" w:color="auto"/>
            </w:tcBorders>
            <w:shd w:val="clear" w:color="auto" w:fill="EEEEEE"/>
          </w:tcPr>
          <w:p>
            <w:pPr>
              <w:spacing w:after="0"/>
              <w:rPr>
                <w:sz w:val="13"/>
                <w:szCs w:val="13"/>
                <w:color w:val="auto"/>
              </w:rPr>
            </w:pPr>
          </w:p>
        </w:tc>
        <w:tc>
          <w:tcPr>
            <w:tcW w:w="360" w:type="dxa"/>
            <w:vAlign w:val="bottom"/>
            <w:tcBorders>
              <w:top w:val="single" w:sz="8" w:color="EEEEEE"/>
            </w:tcBorders>
            <w:shd w:val="clear" w:color="auto" w:fill="EEEEEE"/>
          </w:tcPr>
          <w:p>
            <w:pPr>
              <w:spacing w:after="0"/>
              <w:rPr>
                <w:sz w:val="13"/>
                <w:szCs w:val="13"/>
                <w:color w:val="auto"/>
              </w:rPr>
            </w:pPr>
          </w:p>
        </w:tc>
        <w:tc>
          <w:tcPr>
            <w:tcW w:w="1160" w:type="dxa"/>
            <w:vAlign w:val="bottom"/>
            <w:tcBorders>
              <w:top w:val="single" w:sz="8" w:color="auto"/>
            </w:tcBorders>
            <w:shd w:val="clear" w:color="auto" w:fill="EEEEEE"/>
          </w:tcPr>
          <w:p>
            <w:pPr>
              <w:spacing w:after="0"/>
              <w:rPr>
                <w:sz w:val="13"/>
                <w:szCs w:val="13"/>
                <w:color w:val="auto"/>
              </w:rPr>
            </w:pPr>
          </w:p>
        </w:tc>
        <w:tc>
          <w:tcPr>
            <w:tcW w:w="320" w:type="dxa"/>
            <w:vAlign w:val="bottom"/>
            <w:tcBorders>
              <w:top w:val="single" w:sz="8" w:color="EEEEEE"/>
            </w:tcBorders>
            <w:shd w:val="clear" w:color="auto" w:fill="EEEEEE"/>
          </w:tcPr>
          <w:p>
            <w:pPr>
              <w:spacing w:after="0"/>
              <w:rPr>
                <w:sz w:val="13"/>
                <w:szCs w:val="13"/>
                <w:color w:val="auto"/>
              </w:rPr>
            </w:pPr>
          </w:p>
        </w:tc>
        <w:tc>
          <w:tcPr>
            <w:tcW w:w="120" w:type="dxa"/>
            <w:vAlign w:val="bottom"/>
            <w:tcBorders>
              <w:top w:val="single" w:sz="8" w:color="auto"/>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320" w:type="dxa"/>
            <w:vAlign w:val="bottom"/>
            <w:tcBorders>
              <w:top w:val="single" w:sz="8" w:color="EEEEEE"/>
            </w:tcBorders>
            <w:shd w:val="clear" w:color="auto" w:fill="EEEEEE"/>
          </w:tcPr>
          <w:p>
            <w:pPr>
              <w:spacing w:after="0"/>
              <w:rPr>
                <w:sz w:val="13"/>
                <w:szCs w:val="13"/>
                <w:color w:val="auto"/>
              </w:rPr>
            </w:pPr>
          </w:p>
        </w:tc>
        <w:tc>
          <w:tcPr>
            <w:tcW w:w="180" w:type="dxa"/>
            <w:vAlign w:val="bottom"/>
            <w:tcBorders>
              <w:top w:val="single" w:sz="8" w:color="auto"/>
            </w:tcBorders>
            <w:shd w:val="clear" w:color="auto" w:fill="EEEEEE"/>
          </w:tcPr>
          <w:p>
            <w:pPr>
              <w:spacing w:after="0"/>
              <w:rPr>
                <w:sz w:val="13"/>
                <w:szCs w:val="13"/>
                <w:color w:val="auto"/>
              </w:rPr>
            </w:pPr>
          </w:p>
        </w:tc>
        <w:tc>
          <w:tcPr>
            <w:tcW w:w="960" w:type="dxa"/>
            <w:vAlign w:val="bottom"/>
            <w:tcBorders>
              <w:top w:val="single" w:sz="8" w:color="auto"/>
            </w:tcBorders>
            <w:shd w:val="clear" w:color="auto" w:fill="EEEEEE"/>
          </w:tcPr>
          <w:p>
            <w:pPr>
              <w:spacing w:after="0"/>
              <w:rPr>
                <w:sz w:val="13"/>
                <w:szCs w:val="13"/>
                <w:color w:val="auto"/>
              </w:rPr>
            </w:pPr>
          </w:p>
        </w:tc>
        <w:tc>
          <w:tcPr>
            <w:tcW w:w="320" w:type="dxa"/>
            <w:vAlign w:val="bottom"/>
            <w:tcBorders>
              <w:top w:val="single" w:sz="8" w:color="EEEEEE"/>
            </w:tcBorders>
            <w:shd w:val="clear" w:color="auto" w:fill="EEEEEE"/>
          </w:tcPr>
          <w:p>
            <w:pPr>
              <w:spacing w:after="0"/>
              <w:rPr>
                <w:sz w:val="13"/>
                <w:szCs w:val="13"/>
                <w:color w:val="auto"/>
              </w:rPr>
            </w:pPr>
          </w:p>
        </w:tc>
        <w:tc>
          <w:tcPr>
            <w:tcW w:w="114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800" w:type="dxa"/>
            <w:vAlign w:val="bottom"/>
            <w:tcBorders>
              <w:top w:val="single" w:sz="8" w:color="auto"/>
            </w:tcBorders>
            <w:shd w:val="clear" w:color="auto" w:fill="EEEEEE"/>
          </w:tcPr>
          <w:p>
            <w:pPr>
              <w:spacing w:after="0"/>
              <w:rPr>
                <w:sz w:val="2"/>
                <w:szCs w:val="2"/>
                <w:color w:val="auto"/>
              </w:rPr>
            </w:pPr>
          </w:p>
        </w:tc>
        <w:tc>
          <w:tcPr>
            <w:tcW w:w="14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060" w:type="dxa"/>
            <w:vAlign w:val="bottom"/>
            <w:tcBorders>
              <w:top w:val="single" w:sz="8" w:color="EEEEEE"/>
            </w:tcBorders>
            <w:shd w:val="clear" w:color="auto" w:fill="EEEEEE"/>
          </w:tcPr>
          <w:p>
            <w:pPr>
              <w:spacing w:after="0"/>
              <w:rPr>
                <w:sz w:val="2"/>
                <w:szCs w:val="2"/>
                <w:color w:val="auto"/>
              </w:rPr>
            </w:pPr>
          </w:p>
        </w:tc>
        <w:tc>
          <w:tcPr>
            <w:tcW w:w="340" w:type="dxa"/>
            <w:vAlign w:val="bottom"/>
            <w:tcBorders>
              <w:top w:val="single" w:sz="8" w:color="EEEEEE"/>
            </w:tcBorders>
            <w:shd w:val="clear" w:color="auto" w:fill="EEEEEE"/>
          </w:tcPr>
          <w:p>
            <w:pPr>
              <w:spacing w:after="0"/>
              <w:rPr>
                <w:sz w:val="2"/>
                <w:szCs w:val="2"/>
                <w:color w:val="auto"/>
              </w:rPr>
            </w:pPr>
          </w:p>
        </w:tc>
        <w:tc>
          <w:tcPr>
            <w:tcW w:w="180" w:type="dxa"/>
            <w:vAlign w:val="bottom"/>
            <w:tcBorders>
              <w:top w:val="single" w:sz="8" w:color="EEEEEE"/>
            </w:tcBorders>
            <w:shd w:val="clear" w:color="auto" w:fill="EEEEEE"/>
          </w:tcPr>
          <w:p>
            <w:pPr>
              <w:spacing w:after="0"/>
              <w:rPr>
                <w:sz w:val="2"/>
                <w:szCs w:val="2"/>
                <w:color w:val="auto"/>
              </w:rPr>
            </w:pPr>
          </w:p>
        </w:tc>
        <w:tc>
          <w:tcPr>
            <w:tcW w:w="980" w:type="dxa"/>
            <w:vAlign w:val="bottom"/>
            <w:tcBorders>
              <w:top w:val="single" w:sz="8" w:color="EEEEEE"/>
            </w:tcBorders>
            <w:shd w:val="clear" w:color="auto" w:fill="EEEEEE"/>
          </w:tcPr>
          <w:p>
            <w:pPr>
              <w:spacing w:after="0"/>
              <w:rPr>
                <w:sz w:val="2"/>
                <w:szCs w:val="2"/>
                <w:color w:val="auto"/>
              </w:rPr>
            </w:pPr>
          </w:p>
        </w:tc>
        <w:tc>
          <w:tcPr>
            <w:tcW w:w="360" w:type="dxa"/>
            <w:vAlign w:val="bottom"/>
            <w:tcBorders>
              <w:top w:val="single" w:sz="8" w:color="EEEEEE"/>
            </w:tcBorders>
            <w:shd w:val="clear" w:color="auto" w:fill="EEEEEE"/>
          </w:tcPr>
          <w:p>
            <w:pPr>
              <w:spacing w:after="0"/>
              <w:rPr>
                <w:sz w:val="2"/>
                <w:szCs w:val="2"/>
                <w:color w:val="auto"/>
              </w:rPr>
            </w:pPr>
          </w:p>
        </w:tc>
        <w:tc>
          <w:tcPr>
            <w:tcW w:w="1160" w:type="dxa"/>
            <w:vAlign w:val="bottom"/>
            <w:tcBorders>
              <w:top w:val="single" w:sz="8" w:color="EEEEEE"/>
            </w:tcBorders>
            <w:shd w:val="clear" w:color="auto" w:fill="EEEEEE"/>
          </w:tcPr>
          <w:p>
            <w:pPr>
              <w:spacing w:after="0"/>
              <w:rPr>
                <w:sz w:val="2"/>
                <w:szCs w:val="2"/>
                <w:color w:val="auto"/>
              </w:rPr>
            </w:pPr>
          </w:p>
        </w:tc>
        <w:tc>
          <w:tcPr>
            <w:tcW w:w="32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020" w:type="dxa"/>
            <w:vAlign w:val="bottom"/>
            <w:tcBorders>
              <w:top w:val="single" w:sz="8" w:color="EEEEEE"/>
            </w:tcBorders>
            <w:shd w:val="clear" w:color="auto" w:fill="EEEEEE"/>
          </w:tcPr>
          <w:p>
            <w:pPr>
              <w:spacing w:after="0"/>
              <w:rPr>
                <w:sz w:val="2"/>
                <w:szCs w:val="2"/>
                <w:color w:val="auto"/>
              </w:rPr>
            </w:pPr>
          </w:p>
        </w:tc>
        <w:tc>
          <w:tcPr>
            <w:tcW w:w="320" w:type="dxa"/>
            <w:vAlign w:val="bottom"/>
            <w:tcBorders>
              <w:top w:val="single" w:sz="8" w:color="EEEEEE"/>
            </w:tcBorders>
            <w:shd w:val="clear" w:color="auto" w:fill="EEEEEE"/>
          </w:tcPr>
          <w:p>
            <w:pPr>
              <w:spacing w:after="0"/>
              <w:rPr>
                <w:sz w:val="2"/>
                <w:szCs w:val="2"/>
                <w:color w:val="auto"/>
              </w:rPr>
            </w:pPr>
          </w:p>
        </w:tc>
        <w:tc>
          <w:tcPr>
            <w:tcW w:w="180" w:type="dxa"/>
            <w:vAlign w:val="bottom"/>
            <w:tcBorders>
              <w:top w:val="single" w:sz="8" w:color="EEEEEE"/>
            </w:tcBorders>
            <w:shd w:val="clear" w:color="auto" w:fill="EEEEEE"/>
          </w:tcPr>
          <w:p>
            <w:pPr>
              <w:spacing w:after="0"/>
              <w:rPr>
                <w:sz w:val="2"/>
                <w:szCs w:val="2"/>
                <w:color w:val="auto"/>
              </w:rPr>
            </w:pPr>
          </w:p>
        </w:tc>
        <w:tc>
          <w:tcPr>
            <w:tcW w:w="960" w:type="dxa"/>
            <w:vAlign w:val="bottom"/>
            <w:tcBorders>
              <w:top w:val="single" w:sz="8" w:color="EEEEEE"/>
            </w:tcBorders>
            <w:shd w:val="clear" w:color="auto" w:fill="EEEEEE"/>
          </w:tcPr>
          <w:p>
            <w:pPr>
              <w:spacing w:after="0"/>
              <w:rPr>
                <w:sz w:val="2"/>
                <w:szCs w:val="2"/>
                <w:color w:val="auto"/>
              </w:rPr>
            </w:pPr>
          </w:p>
        </w:tc>
        <w:tc>
          <w:tcPr>
            <w:tcW w:w="320" w:type="dxa"/>
            <w:vAlign w:val="bottom"/>
            <w:tcBorders>
              <w:top w:val="single" w:sz="8" w:color="EEEEEE"/>
            </w:tcBorders>
            <w:shd w:val="clear" w:color="auto" w:fill="EEEEEE"/>
          </w:tcPr>
          <w:p>
            <w:pPr>
              <w:spacing w:after="0"/>
              <w:rPr>
                <w:sz w:val="2"/>
                <w:szCs w:val="2"/>
                <w:color w:val="auto"/>
              </w:rPr>
            </w:pPr>
          </w:p>
        </w:tc>
        <w:tc>
          <w:tcPr>
            <w:tcW w:w="114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EEEEEE"/>
            </w:tcBorders>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1,710,515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167,021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1,266,199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132,053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725</w:t>
            </w: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238</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8,807</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1,711,240</w:t>
            </w:r>
          </w:p>
        </w:tc>
        <w:tc>
          <w:tcPr>
            <w:tcW w:w="34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8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167,259</w:t>
            </w:r>
          </w:p>
        </w:tc>
        <w:tc>
          <w:tcPr>
            <w:tcW w:w="36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1,275,006</w:t>
            </w:r>
          </w:p>
        </w:tc>
        <w:tc>
          <w:tcPr>
            <w:tcW w:w="320" w:type="dxa"/>
            <w:vAlign w:val="bottom"/>
            <w:tcBorders>
              <w:bottom w:val="single" w:sz="8" w:color="EEEEEE"/>
            </w:tcBorders>
          </w:tcPr>
          <w:p>
            <w:pPr>
              <w:spacing w:after="0"/>
              <w:rPr>
                <w:sz w:val="24"/>
                <w:szCs w:val="24"/>
                <w:color w:val="auto"/>
              </w:rPr>
            </w:pPr>
          </w:p>
        </w:tc>
        <w:tc>
          <w:tcPr>
            <w:tcW w:w="180" w:type="dxa"/>
            <w:vAlign w:val="bottom"/>
            <w:tcBorders>
              <w:top w:val="single" w:sz="8" w:color="auto"/>
              <w:bottom w:val="single" w:sz="8" w:color="EEEEEE"/>
            </w:tcBorders>
          </w:tcPr>
          <w:p>
            <w:pPr>
              <w:spacing w:after="0"/>
              <w:rPr>
                <w:sz w:val="24"/>
                <w:szCs w:val="24"/>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133,217</w:t>
            </w:r>
          </w:p>
        </w:tc>
        <w:tc>
          <w:tcPr>
            <w:tcW w:w="3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54,540</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2,732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33,147</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2,115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773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15,632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measured at fair value</w:t>
            </w:r>
          </w:p>
        </w:tc>
        <w:tc>
          <w:tcPr>
            <w:tcW w:w="1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8,209</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533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1,624,184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22,546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1,197,988</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18,697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14,206</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1,651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15,101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809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18,442</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1,244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EEEEEE"/>
              <w:bottom w:val="single" w:sz="8" w:color="EEEEEE"/>
            </w:tcBorders>
            <w:shd w:val="clear" w:color="auto" w:fill="EEEEEE"/>
          </w:tcPr>
          <w:p>
            <w:pPr>
              <w:spacing w:after="0"/>
              <w:rPr>
                <w:sz w:val="20"/>
                <w:szCs w:val="20"/>
                <w:color w:val="auto"/>
              </w:rPr>
            </w:pPr>
          </w:p>
        </w:tc>
        <w:tc>
          <w:tcPr>
            <w:tcW w:w="120" w:type="dxa"/>
            <w:vAlign w:val="bottom"/>
            <w:tcBorders>
              <w:top w:val="single" w:sz="8" w:color="EEEEEE"/>
              <w:bottom w:val="single" w:sz="8" w:color="EEEEEE"/>
            </w:tcBorders>
            <w:shd w:val="clear" w:color="auto" w:fill="EEEEEE"/>
          </w:tcPr>
          <w:p>
            <w:pPr>
              <w:spacing w:after="0"/>
              <w:rPr>
                <w:sz w:val="20"/>
                <w:szCs w:val="20"/>
                <w:color w:val="auto"/>
              </w:rPr>
            </w:pPr>
          </w:p>
        </w:tc>
        <w:tc>
          <w:tcPr>
            <w:tcW w:w="1800" w:type="dxa"/>
            <w:vAlign w:val="bottom"/>
            <w:tcBorders>
              <w:top w:val="single" w:sz="8" w:color="EEEEEE"/>
              <w:bottom w:val="single" w:sz="8" w:color="EEEEEE"/>
            </w:tcBorders>
            <w:shd w:val="clear" w:color="auto" w:fill="EEEEEE"/>
          </w:tcPr>
          <w:p>
            <w:pPr>
              <w:spacing w:after="0"/>
              <w:rPr>
                <w:sz w:val="20"/>
                <w:szCs w:val="20"/>
                <w:color w:val="auto"/>
              </w:rPr>
            </w:pPr>
          </w:p>
        </w:tc>
        <w:tc>
          <w:tcPr>
            <w:tcW w:w="140" w:type="dxa"/>
            <w:vAlign w:val="bottom"/>
            <w:tcBorders>
              <w:top w:val="single" w:sz="8" w:color="EEEEEE"/>
              <w:bottom w:val="single" w:sz="8" w:color="EEEEEE"/>
            </w:tcBorders>
            <w:shd w:val="clear" w:color="auto" w:fill="EEEEEE"/>
          </w:tcPr>
          <w:p>
            <w:pPr>
              <w:spacing w:after="0"/>
              <w:rPr>
                <w:sz w:val="20"/>
                <w:szCs w:val="20"/>
                <w:color w:val="auto"/>
              </w:rPr>
            </w:pPr>
          </w:p>
        </w:tc>
        <w:tc>
          <w:tcPr>
            <w:tcW w:w="280" w:type="dxa"/>
            <w:vAlign w:val="bottom"/>
            <w:tcBorders>
              <w:top w:val="single" w:sz="8" w:color="EEEEEE"/>
              <w:bottom w:val="single" w:sz="8" w:color="EEEEEE"/>
            </w:tcBorders>
            <w:shd w:val="clear" w:color="auto" w:fill="EEEEEE"/>
          </w:tcPr>
          <w:p>
            <w:pPr>
              <w:spacing w:after="0"/>
              <w:rPr>
                <w:sz w:val="20"/>
                <w:szCs w:val="20"/>
                <w:color w:val="auto"/>
              </w:rPr>
            </w:pPr>
          </w:p>
        </w:tc>
        <w:tc>
          <w:tcPr>
            <w:tcW w:w="160" w:type="dxa"/>
            <w:vAlign w:val="bottom"/>
            <w:tcBorders>
              <w:top w:val="single" w:sz="8" w:color="EEEEEE"/>
              <w:bottom w:val="single" w:sz="8" w:color="EEEEEE"/>
            </w:tcBorders>
            <w:shd w:val="clear" w:color="auto" w:fill="EEEEEE"/>
          </w:tcPr>
          <w:p>
            <w:pPr>
              <w:spacing w:after="0"/>
              <w:rPr>
                <w:sz w:val="20"/>
                <w:szCs w:val="20"/>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1,705,641</w:t>
            </w:r>
          </w:p>
        </w:tc>
        <w:tc>
          <w:tcPr>
            <w:tcW w:w="340" w:type="dxa"/>
            <w:vAlign w:val="bottom"/>
            <w:tcBorders>
              <w:top w:val="single" w:sz="8" w:color="EEEEEE"/>
              <w:bottom w:val="single" w:sz="8" w:color="EEEEEE"/>
            </w:tcBorders>
            <w:shd w:val="clear" w:color="auto" w:fill="EEEEEE"/>
          </w:tcPr>
          <w:p>
            <w:pPr>
              <w:spacing w:after="0"/>
              <w:rPr>
                <w:sz w:val="20"/>
                <w:szCs w:val="20"/>
                <w:color w:val="auto"/>
              </w:rPr>
            </w:pPr>
          </w:p>
        </w:tc>
        <w:tc>
          <w:tcPr>
            <w:tcW w:w="180" w:type="dxa"/>
            <w:vAlign w:val="bottom"/>
            <w:tcBorders>
              <w:top w:val="single" w:sz="8" w:color="auto"/>
              <w:bottom w:val="single" w:sz="8" w:color="EEEEEE"/>
            </w:tcBorders>
            <w:shd w:val="clear" w:color="auto" w:fill="EEEEEE"/>
          </w:tcPr>
          <w:p>
            <w:pPr>
              <w:spacing w:after="0"/>
              <w:rPr>
                <w:sz w:val="20"/>
                <w:szCs w:val="20"/>
                <w:color w:val="auto"/>
              </w:rPr>
            </w:pPr>
          </w:p>
        </w:tc>
        <w:tc>
          <w:tcPr>
            <w:tcW w:w="98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26,860</w:t>
            </w:r>
          </w:p>
        </w:tc>
        <w:tc>
          <w:tcPr>
            <w:tcW w:w="360" w:type="dxa"/>
            <w:vAlign w:val="bottom"/>
            <w:tcBorders>
              <w:top w:val="single" w:sz="8" w:color="EEEEEE"/>
              <w:bottom w:val="single" w:sz="8" w:color="EEEEEE"/>
            </w:tcBorders>
            <w:shd w:val="clear" w:color="auto" w:fill="EEEEEE"/>
          </w:tcPr>
          <w:p>
            <w:pPr>
              <w:spacing w:after="0"/>
              <w:rPr>
                <w:sz w:val="20"/>
                <w:szCs w:val="20"/>
                <w:color w:val="auto"/>
              </w:rPr>
            </w:pPr>
          </w:p>
        </w:tc>
        <w:tc>
          <w:tcPr>
            <w:tcW w:w="1480" w:type="dxa"/>
            <w:vAlign w:val="bottom"/>
            <w:tcBorders>
              <w:top w:val="single" w:sz="8" w:color="EEEEEE"/>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1,287,624</w:t>
            </w:r>
          </w:p>
        </w:tc>
        <w:tc>
          <w:tcPr>
            <w:tcW w:w="320" w:type="dxa"/>
            <w:vAlign w:val="bottom"/>
            <w:tcBorders>
              <w:top w:val="single" w:sz="8" w:color="EEEEEE"/>
              <w:bottom w:val="single" w:sz="8" w:color="EEEEEE"/>
            </w:tcBorders>
            <w:shd w:val="clear" w:color="auto" w:fill="EEEEEE"/>
          </w:tcPr>
          <w:p>
            <w:pPr>
              <w:spacing w:after="0"/>
              <w:rPr>
                <w:sz w:val="20"/>
                <w:szCs w:val="20"/>
                <w:color w:val="auto"/>
              </w:rPr>
            </w:pPr>
          </w:p>
        </w:tc>
        <w:tc>
          <w:tcPr>
            <w:tcW w:w="180" w:type="dxa"/>
            <w:vAlign w:val="bottom"/>
            <w:tcBorders>
              <w:top w:val="single" w:sz="8" w:color="auto"/>
              <w:bottom w:val="single" w:sz="8" w:color="EEEEEE"/>
            </w:tcBorders>
            <w:shd w:val="clear" w:color="auto" w:fill="EEEEEE"/>
          </w:tcPr>
          <w:p>
            <w:pPr>
              <w:spacing w:after="0"/>
              <w:rPr>
                <w:sz w:val="20"/>
                <w:szCs w:val="20"/>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25,323</w:t>
            </w:r>
          </w:p>
        </w:tc>
        <w:tc>
          <w:tcPr>
            <w:tcW w:w="320" w:type="dxa"/>
            <w:vAlign w:val="bottom"/>
            <w:tcBorders>
              <w:top w:val="single" w:sz="8" w:color="EEEEEE"/>
              <w:bottom w:val="single" w:sz="8" w:color="EEEEEE"/>
            </w:tcBorders>
            <w:shd w:val="clear" w:color="auto" w:fill="EEEEEE"/>
          </w:tcPr>
          <w:p>
            <w:pPr>
              <w:spacing w:after="0"/>
              <w:rPr>
                <w:sz w:val="20"/>
                <w:szCs w:val="20"/>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FFFFFF"/>
              </w:rPr>
              <w:t>$</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140,399</w:t>
            </w: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107,894</w:t>
            </w: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8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(4)</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line="20" w:lineRule="exact"/>
              <w:rPr>
                <w:sz w:val="1"/>
                <w:szCs w:val="1"/>
                <w:color w:val="auto"/>
              </w:rPr>
            </w:pPr>
          </w:p>
        </w:tc>
      </w:tr>
      <w:tr>
        <w:trPr>
          <w:trHeight w:val="197"/>
        </w:trPr>
        <w:tc>
          <w:tcPr>
            <w:tcW w:w="258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80" w:type="dxa"/>
            <w:vAlign w:val="bottom"/>
            <w:gridSpan w:val="8"/>
          </w:tcPr>
          <w:p>
            <w:pPr>
              <w:jc w:val="right"/>
              <w:ind w:right="5"/>
              <w:spacing w:after="0"/>
              <w:rPr>
                <w:sz w:val="20"/>
                <w:szCs w:val="20"/>
                <w:color w:val="auto"/>
              </w:rPr>
            </w:pPr>
            <w:r>
              <w:rPr>
                <w:rFonts w:ascii="Arial" w:cs="Arial" w:eastAsia="Arial" w:hAnsi="Arial"/>
                <w:sz w:val="18"/>
                <w:szCs w:val="18"/>
                <w:b w:val="1"/>
                <w:bCs w:val="1"/>
                <w:color w:val="auto"/>
              </w:rPr>
              <w:t>Six Months Ended June 30, 2015</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Compared to June 30 2014</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680"/>
              <w:spacing w:after="0" w:line="205" w:lineRule="exact"/>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rPr>
              <w:t>Change Due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w w:val="97"/>
              </w:rPr>
              <w:t>Change Due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Borders>
              <w:top w:val="single" w:sz="8" w:color="EEEEEE"/>
            </w:tcBorders>
            <w:shd w:val="clear" w:color="auto" w:fill="EEEEEE"/>
          </w:tcPr>
          <w:p>
            <w:pPr>
              <w:spacing w:after="0"/>
              <w:rPr>
                <w:sz w:val="15"/>
                <w:szCs w:val="15"/>
                <w:color w:val="auto"/>
              </w:rPr>
            </w:pPr>
          </w:p>
        </w:tc>
        <w:tc>
          <w:tcPr>
            <w:tcW w:w="2920" w:type="dxa"/>
            <w:vAlign w:val="bottom"/>
            <w:tcBorders>
              <w:top w:val="single" w:sz="8" w:color="EEEEEE"/>
            </w:tcBorders>
            <w:gridSpan w:val="4"/>
            <w:shd w:val="clear" w:color="auto" w:fill="EEEEEE"/>
          </w:tcPr>
          <w:p>
            <w:pPr>
              <w:jc w:val="center"/>
              <w:ind w:right="840"/>
              <w:spacing w:after="0" w:line="182" w:lineRule="exact"/>
              <w:rPr>
                <w:sz w:val="20"/>
                <w:szCs w:val="20"/>
                <w:color w:val="auto"/>
              </w:rPr>
            </w:pPr>
            <w:r>
              <w:rPr>
                <w:rFonts w:ascii="Arial" w:cs="Arial" w:eastAsia="Arial" w:hAnsi="Arial"/>
                <w:sz w:val="18"/>
                <w:szCs w:val="18"/>
                <w:b w:val="1"/>
                <w:bCs w:val="1"/>
                <w:color w:val="auto"/>
                <w:w w:val="89"/>
              </w:rPr>
              <w:t>Interest Earning Assets</w:t>
            </w:r>
          </w:p>
        </w:tc>
        <w:tc>
          <w:tcPr>
            <w:tcW w:w="300" w:type="dxa"/>
            <w:vAlign w:val="bottom"/>
            <w:tcBorders>
              <w:top w:val="single" w:sz="8" w:color="auto"/>
            </w:tcBorders>
            <w:shd w:val="clear" w:color="auto" w:fill="EEEEEE"/>
          </w:tcPr>
          <w:p>
            <w:pPr>
              <w:spacing w:after="0"/>
              <w:rPr>
                <w:sz w:val="15"/>
                <w:szCs w:val="15"/>
                <w:color w:val="auto"/>
              </w:rPr>
            </w:pPr>
          </w:p>
        </w:tc>
        <w:tc>
          <w:tcPr>
            <w:tcW w:w="1300" w:type="dxa"/>
            <w:vAlign w:val="bottom"/>
            <w:tcBorders>
              <w:top w:val="single" w:sz="8" w:color="auto"/>
            </w:tcBorders>
            <w:shd w:val="clear" w:color="auto" w:fill="EEEEEE"/>
          </w:tcPr>
          <w:p>
            <w:pPr>
              <w:spacing w:after="0"/>
              <w:rPr>
                <w:sz w:val="15"/>
                <w:szCs w:val="15"/>
                <w:color w:val="auto"/>
              </w:rPr>
            </w:pPr>
          </w:p>
        </w:tc>
        <w:tc>
          <w:tcPr>
            <w:tcW w:w="8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auto"/>
            </w:tcBorders>
            <w:shd w:val="clear" w:color="auto" w:fill="EEEEEE"/>
          </w:tcPr>
          <w:p>
            <w:pPr>
              <w:spacing w:after="0"/>
              <w:rPr>
                <w:sz w:val="15"/>
                <w:szCs w:val="15"/>
                <w:color w:val="auto"/>
              </w:rPr>
            </w:pPr>
          </w:p>
        </w:tc>
        <w:tc>
          <w:tcPr>
            <w:tcW w:w="1700" w:type="dxa"/>
            <w:vAlign w:val="bottom"/>
            <w:tcBorders>
              <w:top w:val="single" w:sz="8" w:color="auto"/>
            </w:tcBorders>
            <w:gridSpan w:val="2"/>
            <w:shd w:val="clear" w:color="auto" w:fill="EEEEEE"/>
          </w:tcPr>
          <w:p>
            <w:pPr>
              <w:ind w:left="120"/>
              <w:spacing w:after="0" w:line="182" w:lineRule="exact"/>
              <w:rPr>
                <w:sz w:val="20"/>
                <w:szCs w:val="20"/>
                <w:color w:val="auto"/>
              </w:rPr>
            </w:pPr>
            <w:r>
              <w:rPr>
                <w:rFonts w:ascii="Arial" w:cs="Arial" w:eastAsia="Arial" w:hAnsi="Arial"/>
                <w:sz w:val="18"/>
                <w:szCs w:val="18"/>
                <w:b w:val="1"/>
                <w:bCs w:val="1"/>
                <w:color w:val="auto"/>
              </w:rPr>
              <w:t>(In thousands)</w:t>
            </w:r>
          </w:p>
        </w:tc>
        <w:tc>
          <w:tcPr>
            <w:tcW w:w="2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auto"/>
            </w:tcBorders>
            <w:shd w:val="clear" w:color="auto" w:fill="EEEEEE"/>
          </w:tcPr>
          <w:p>
            <w:pPr>
              <w:spacing w:after="0"/>
              <w:rPr>
                <w:sz w:val="15"/>
                <w:szCs w:val="15"/>
                <w:color w:val="auto"/>
              </w:rPr>
            </w:pPr>
          </w:p>
        </w:tc>
        <w:tc>
          <w:tcPr>
            <w:tcW w:w="1380" w:type="dxa"/>
            <w:vAlign w:val="bottom"/>
            <w:tcBorders>
              <w:top w:val="single" w:sz="8" w:color="auto"/>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Finance receivables gross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34,968</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46,338</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(11,370)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(1,068)</w:t>
            </w:r>
          </w:p>
        </w:tc>
        <w:tc>
          <w:tcPr>
            <w:tcW w:w="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45,270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(11,228)</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shd w:val="clear" w:color="auto" w:fill="EEEEEE"/>
          </w:tcPr>
          <w:p>
            <w:pPr>
              <w:spacing w:after="0"/>
              <w:rPr>
                <w:sz w:val="15"/>
                <w:szCs w:val="15"/>
                <w:color w:val="auto"/>
              </w:rPr>
            </w:pPr>
          </w:p>
        </w:tc>
        <w:tc>
          <w:tcPr>
            <w:tcW w:w="2920" w:type="dxa"/>
            <w:vAlign w:val="bottom"/>
            <w:gridSpan w:val="4"/>
            <w:shd w:val="clear" w:color="auto" w:fill="EEEEEE"/>
          </w:tcPr>
          <w:p>
            <w:pPr>
              <w:jc w:val="center"/>
              <w:ind w:right="8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300" w:type="dxa"/>
            <w:vAlign w:val="bottom"/>
            <w:shd w:val="clear" w:color="auto" w:fill="EEEEEE"/>
          </w:tcPr>
          <w:p>
            <w:pPr>
              <w:spacing w:after="0"/>
              <w:rPr>
                <w:sz w:val="15"/>
                <w:szCs w:val="15"/>
                <w:color w:val="auto"/>
              </w:rPr>
            </w:pPr>
          </w:p>
        </w:tc>
        <w:tc>
          <w:tcPr>
            <w:tcW w:w="130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40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8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13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1,365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(264)</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5"/>
          </w:tcPr>
          <w:p>
            <w:pPr>
              <w:spacing w:after="0" w:line="201" w:lineRule="exact"/>
              <w:rPr>
                <w:sz w:val="20"/>
                <w:szCs w:val="20"/>
                <w:color w:val="auto"/>
              </w:rPr>
            </w:pPr>
            <w:r>
              <w:rPr>
                <w:rFonts w:ascii="Arial" w:cs="Arial" w:eastAsia="Arial" w:hAnsi="Arial"/>
                <w:sz w:val="18"/>
                <w:szCs w:val="18"/>
                <w:color w:val="auto"/>
                <w:w w:val="97"/>
              </w:rPr>
              <w:t>Debt secured by receivables measured at fair</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6"/>
          </w:tcPr>
          <w:p>
            <w:pPr>
              <w:spacing w:after="0"/>
              <w:rPr>
                <w:sz w:val="20"/>
                <w:szCs w:val="20"/>
                <w:color w:val="auto"/>
              </w:rPr>
            </w:pPr>
            <w:r>
              <w:rPr>
                <w:rFonts w:ascii="Arial" w:cs="Arial" w:eastAsia="Arial" w:hAnsi="Arial"/>
                <w:sz w:val="18"/>
                <w:szCs w:val="18"/>
                <w:color w:val="auto"/>
              </w:rPr>
              <w:t>value</w:t>
            </w:r>
          </w:p>
        </w:tc>
        <w:tc>
          <w:tcPr>
            <w:tcW w:w="3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3,849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6,652</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Senior secured debt, related party</w:t>
            </w:r>
          </w:p>
        </w:tc>
        <w:tc>
          <w:tcPr>
            <w:tcW w:w="3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32,505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39,926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(7,421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six months ended June 30, 2015 compared to the prior year period is the result of our decision to offer dealers slightly lower acquisition fees and also to require slightly lower contract interest rates on a portion of the contracts we purchase.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both"/>
        <w:ind w:firstLine="648"/>
        <w:spacing w:after="0" w:line="276" w:lineRule="auto"/>
        <w:rPr>
          <w:sz w:val="20"/>
          <w:szCs w:val="20"/>
          <w:color w:val="auto"/>
        </w:rPr>
      </w:pPr>
      <w:r>
        <w:rPr>
          <w:rFonts w:ascii="Arial" w:cs="Arial" w:eastAsia="Arial" w:hAnsi="Arial"/>
          <w:sz w:val="17"/>
          <w:szCs w:val="17"/>
          <w:color w:val="auto"/>
        </w:rPr>
        <w:t>Provision for credit losses was $69.1 million for the six months ended June 30, 2015, an increase of $19.6 million, or 39.6% compared to the prior year and represented 47.9%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$981,000, or 12.8%, to $8.6 million during the six months ended June 30, 2015, compared to $7.7 million in the prior year period, and represented 6.0% of total operating expenses. For the six months ended June 30, 2015, we purchased 31,027 contracts representing $503.8 million in receivables compared to 25,986 contracts representing $401.3 million in receivables in the prior year.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Occupancy expenses increased by $308,000 or 19.3%, to $1.9 million compared to $1.6 million in the previous year and represented 1.3% of total operating expenses. The increase is due primarily to the establishment of our Nevada branch in April 2014.</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$80,000 or 36.1%, to $301,000 compared to $221,000 in the previous year and represented 0.2%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2015, we recorded income tax expense of $13.1 million, representing a 43.7% effective income tax rate. In the prior year period, we recorded $10.4 million in income tax expense, representing a 43.0%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Portfolio Excluding Fireside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7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June 30, 2015</w:t>
            </w:r>
          </w:p>
        </w:tc>
        <w:tc>
          <w:tcPr>
            <w:tcW w:w="2740" w:type="dxa"/>
            <w:vAlign w:val="bottom"/>
            <w:gridSpan w:val="6"/>
          </w:tcPr>
          <w:p>
            <w:pPr>
              <w:ind w:left="680"/>
              <w:spacing w:after="0"/>
              <w:rPr>
                <w:sz w:val="20"/>
                <w:szCs w:val="20"/>
                <w:color w:val="auto"/>
              </w:rPr>
            </w:pPr>
            <w:r>
              <w:rPr>
                <w:rFonts w:ascii="Arial" w:cs="Arial" w:eastAsia="Arial" w:hAnsi="Arial"/>
                <w:sz w:val="18"/>
                <w:szCs w:val="18"/>
                <w:b w:val="1"/>
                <w:bCs w:val="1"/>
                <w:color w:val="auto"/>
              </w:rPr>
              <w:t>June 30, 2014</w:t>
            </w:r>
          </w:p>
        </w:tc>
        <w:tc>
          <w:tcPr>
            <w:tcW w:w="246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 2014</w:t>
            </w:r>
          </w:p>
        </w:tc>
      </w:tr>
      <w:tr>
        <w:trPr>
          <w:trHeight w:val="205"/>
        </w:trPr>
        <w:tc>
          <w:tcPr>
            <w:tcW w:w="3440" w:type="dxa"/>
            <w:vAlign w:val="bottom"/>
          </w:tcPr>
          <w:p>
            <w:pPr>
              <w:spacing w:after="0"/>
              <w:rPr>
                <w:sz w:val="17"/>
                <w:szCs w:val="17"/>
                <w:color w:val="auto"/>
              </w:rPr>
            </w:pPr>
          </w:p>
        </w:tc>
        <w:tc>
          <w:tcPr>
            <w:tcW w:w="122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top w:val="single" w:sz="8" w:color="auto"/>
            </w:tcBorders>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rPr>
              <w:t>Number of</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160"/>
              <w:spacing w:after="0" w:line="205" w:lineRule="exact"/>
              <w:rPr>
                <w:sz w:val="20"/>
                <w:szCs w:val="20"/>
                <w:color w:val="auto"/>
              </w:rPr>
            </w:pPr>
            <w:r>
              <w:rPr>
                <w:rFonts w:ascii="Arial" w:cs="Arial" w:eastAsia="Arial" w:hAnsi="Arial"/>
                <w:sz w:val="18"/>
                <w:szCs w:val="18"/>
                <w:b w:val="1"/>
                <w:bCs w:val="1"/>
                <w:color w:val="auto"/>
                <w:w w:val="91"/>
              </w:rPr>
              <w:t>Number of</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44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Contracts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r>
      <w:tr>
        <w:trPr>
          <w:trHeight w:val="210"/>
        </w:trPr>
        <w:tc>
          <w:tcPr>
            <w:tcW w:w="3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135,702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1,821,676</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104,957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1,366,649</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123,033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1,641,807</w:t>
            </w:r>
          </w:p>
        </w:tc>
      </w:tr>
      <w:tr>
        <w:trPr>
          <w:trHeight w:val="216"/>
        </w:trPr>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440" w:type="dxa"/>
            <w:vAlign w:val="bottom"/>
          </w:tcPr>
          <w:p>
            <w:pPr>
              <w:ind w:left="140"/>
              <w:spacing w:after="0"/>
              <w:rPr>
                <w:sz w:val="20"/>
                <w:szCs w:val="20"/>
                <w:color w:val="auto"/>
              </w:rPr>
            </w:pPr>
            <w:r>
              <w:rPr>
                <w:rFonts w:ascii="Arial" w:cs="Arial" w:eastAsia="Arial" w:hAnsi="Arial"/>
                <w:sz w:val="18"/>
                <w:szCs w:val="18"/>
                <w:color w:val="auto"/>
              </w:rPr>
              <w:t>31-60 days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4,262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52,709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31,151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3,571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42,823</w:t>
            </w:r>
          </w:p>
        </w:tc>
      </w:tr>
      <w:tr>
        <w:trPr>
          <w:trHeight w:val="216"/>
        </w:trPr>
        <w:tc>
          <w:tcPr>
            <w:tcW w:w="34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61-90 days</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2,129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27,070</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1,511</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17,109</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1,813</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23,334</w:t>
            </w: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91+ days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31,702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7,318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23,239</w:t>
            </w:r>
          </w:p>
        </w:tc>
      </w:tr>
      <w:tr>
        <w:trPr>
          <w:trHeight w:val="210"/>
        </w:trPr>
        <w:tc>
          <w:tcPr>
            <w:tcW w:w="34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8,922</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111,481</w:t>
            </w:r>
          </w:p>
        </w:tc>
        <w:tc>
          <w:tcPr>
            <w:tcW w:w="3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4,974</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55,578</w:t>
            </w:r>
          </w:p>
        </w:tc>
        <w:tc>
          <w:tcPr>
            <w:tcW w:w="3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7,274</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89,396</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24,908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28,927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28,249</w:t>
            </w:r>
          </w:p>
        </w:tc>
      </w:tr>
      <w:tr>
        <w:trPr>
          <w:trHeight w:val="182"/>
        </w:trPr>
        <w:tc>
          <w:tcPr>
            <w:tcW w:w="344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040" w:type="dxa"/>
            <w:vAlign w:val="bottom"/>
            <w:tcBorders>
              <w:top w:val="single" w:sz="8" w:color="auto"/>
            </w:tcBorders>
            <w:shd w:val="clear" w:color="auto" w:fill="EEEEEE"/>
          </w:tcPr>
          <w:p>
            <w:pPr>
              <w:spacing w:after="0"/>
              <w:rPr>
                <w:sz w:val="15"/>
                <w:szCs w:val="15"/>
                <w:color w:val="auto"/>
              </w:rPr>
            </w:pPr>
          </w:p>
        </w:tc>
        <w:tc>
          <w:tcPr>
            <w:tcW w:w="18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18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02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8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r>
      <w:tr>
        <w:trPr>
          <w:trHeight w:val="257"/>
        </w:trPr>
        <w:tc>
          <w:tcPr>
            <w:tcW w:w="34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repossession (2)</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10,994</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136,389</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8,214</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84,505</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9,938</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117,645</w:t>
            </w:r>
          </w:p>
        </w:tc>
      </w:tr>
      <w:tr>
        <w:trPr>
          <w:trHeight w:val="20"/>
        </w:trPr>
        <w:tc>
          <w:tcPr>
            <w:tcW w:w="34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ind w:left="200" w:right="260" w:hanging="197"/>
        <w:spacing w:after="0" w:line="277" w:lineRule="auto"/>
        <w:rPr>
          <w:sz w:val="20"/>
          <w:szCs w:val="20"/>
          <w:color w:val="auto"/>
        </w:rPr>
      </w:pPr>
      <w:r>
        <w:rPr>
          <w:rFonts w:ascii="Arial" w:cs="Arial" w:eastAsia="Arial" w:hAnsi="Arial"/>
          <w:sz w:val="18"/>
          <w:szCs w:val="18"/>
          <w:color w:val="auto"/>
        </w:rPr>
        <w:t>Delinquencies as a percentage of gross servicing portfolio</w:t>
      </w:r>
    </w:p>
    <w:p>
      <w:pPr>
        <w:spacing w:after="0" w:line="170" w:lineRule="exact"/>
        <w:rPr>
          <w:sz w:val="20"/>
          <w:szCs w:val="20"/>
          <w:color w:val="auto"/>
        </w:rPr>
      </w:pPr>
    </w:p>
    <w:p>
      <w:pPr>
        <w:ind w:left="200" w:right="180" w:hanging="197"/>
        <w:spacing w:after="0" w:line="264" w:lineRule="auto"/>
        <w:rPr>
          <w:sz w:val="20"/>
          <w:szCs w:val="20"/>
          <w:color w:val="auto"/>
        </w:rPr>
      </w:pPr>
      <w:r>
        <w:rPr>
          <w:rFonts w:ascii="Arial" w:cs="Arial" w:eastAsia="Arial" w:hAnsi="Arial"/>
          <w:sz w:val="18"/>
          <w:szCs w:val="18"/>
          <w:color w:val="auto"/>
        </w:rPr>
        <w:t>Total delinquencies and amount in repossession as a percentage of gross servicing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Experience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one extension, accruing (4)</w:t>
      </w:r>
    </w:p>
    <w:p>
      <w:pPr>
        <w:spacing w:after="0" w:line="58" w:lineRule="exact"/>
        <w:rPr>
          <w:sz w:val="20"/>
          <w:szCs w:val="20"/>
          <w:color w:val="auto"/>
        </w:rPr>
      </w:pPr>
    </w:p>
    <w:p>
      <w:pPr>
        <w:ind w:left="200" w:right="220" w:hanging="197"/>
        <w:spacing w:after="0" w:line="277" w:lineRule="auto"/>
        <w:rPr>
          <w:sz w:val="20"/>
          <w:szCs w:val="20"/>
          <w:color w:val="auto"/>
        </w:rPr>
      </w:pPr>
      <w:r>
        <w:rPr>
          <w:rFonts w:ascii="Arial" w:cs="Arial" w:eastAsia="Arial" w:hAnsi="Arial"/>
          <w:sz w:val="18"/>
          <w:szCs w:val="18"/>
          <w:color w:val="auto"/>
        </w:rPr>
        <w:t>Contracts with two or more extensions, accruing (4)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one extension, non-accrual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pacing w:after="0" w:line="35" w:lineRule="exact"/>
        <w:rPr>
          <w:sz w:val="20"/>
          <w:szCs w:val="20"/>
          <w:color w:val="auto"/>
        </w:rPr>
      </w:pPr>
    </w:p>
    <w:p>
      <w:pPr>
        <w:ind w:left="200" w:right="220" w:hanging="197"/>
        <w:spacing w:after="0" w:line="277" w:lineRule="auto"/>
        <w:rPr>
          <w:sz w:val="20"/>
          <w:szCs w:val="20"/>
          <w:color w:val="auto"/>
        </w:rPr>
      </w:pPr>
      <w:r>
        <w:rPr>
          <w:rFonts w:ascii="Arial" w:cs="Arial" w:eastAsia="Arial" w:hAnsi="Arial"/>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864"/>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68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21,898</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292,594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15,947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210,632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18,165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238,267</w:t>
            </w:r>
          </w:p>
        </w:tc>
      </w:tr>
      <w:tr>
        <w:trPr>
          <w:trHeight w:val="47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11,905</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154,351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5,735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61,374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7,537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93,220</w:t>
            </w:r>
          </w:p>
        </w:tc>
      </w:tr>
      <w:tr>
        <w:trPr>
          <w:trHeight w:val="224"/>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446,945</w:t>
            </w:r>
          </w:p>
        </w:tc>
        <w:tc>
          <w:tcPr>
            <w:tcW w:w="3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272,006</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331,487</w:t>
            </w:r>
          </w:p>
        </w:tc>
      </w:tr>
      <w:tr>
        <w:trPr>
          <w:trHeight w:val="674"/>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15,620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9,270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14,701</w:t>
            </w:r>
          </w:p>
        </w:tc>
      </w:tr>
      <w:tr>
        <w:trPr>
          <w:trHeight w:val="47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9,079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3,388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-2443480</wp:posOffset>
            </wp:positionV>
            <wp:extent cx="72466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-2032000</wp:posOffset>
            </wp:positionV>
            <wp:extent cx="724662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-1482725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-1183005</wp:posOffset>
            </wp:positionV>
            <wp:extent cx="72466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-736600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-299720</wp:posOffset>
            </wp:positionV>
            <wp:extent cx="724662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60" w:space="380"/>
            <w:col w:w="79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34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1,996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24,699</w:t>
            </w:r>
          </w:p>
        </w:tc>
        <w:tc>
          <w:tcPr>
            <w:tcW w:w="14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1,437</w:t>
            </w:r>
          </w:p>
        </w:tc>
        <w:tc>
          <w:tcPr>
            <w:tcW w:w="26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12,658</w:t>
            </w:r>
          </w:p>
        </w:tc>
        <w:tc>
          <w:tcPr>
            <w:tcW w:w="134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1,862</w:t>
            </w: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21,169</w:t>
            </w:r>
          </w:p>
        </w:tc>
        <w:tc>
          <w:tcPr>
            <w:tcW w:w="80" w:type="dxa"/>
            <w:vAlign w:val="bottom"/>
          </w:tcPr>
          <w:p>
            <w:pPr>
              <w:spacing w:after="0"/>
              <w:rPr>
                <w:sz w:val="16"/>
                <w:szCs w:val="16"/>
                <w:color w:val="auto"/>
              </w:rPr>
            </w:pPr>
          </w:p>
        </w:tc>
      </w:tr>
      <w:tr>
        <w:trPr>
          <w:trHeight w:val="230"/>
        </w:trPr>
        <w:tc>
          <w:tcPr>
            <w:tcW w:w="3440" w:type="dxa"/>
            <w:vAlign w:val="bottom"/>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76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7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780" w:type="dxa"/>
            <w:vAlign w:val="bottom"/>
            <w:tcBorders>
              <w:bottom w:val="single" w:sz="8" w:color="auto"/>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35,799</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471,644</w:t>
            </w: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23,119</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284,664</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27,564</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352,656</w:t>
            </w: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45"/>
        </w:trPr>
        <w:tc>
          <w:tcPr>
            <w:tcW w:w="3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June 30, 2015</w:t>
            </w:r>
          </w:p>
        </w:tc>
        <w:tc>
          <w:tcPr>
            <w:tcW w:w="26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2014</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2,346</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5,651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91+ days</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689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212</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35.8%</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41.8%</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 (4)</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612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1,511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 (4)</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204</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 (4)</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and 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304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June 30, 2015</w:t>
            </w:r>
          </w:p>
        </w:tc>
        <w:tc>
          <w:tcPr>
            <w:tcW w:w="272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2014</w:t>
            </w:r>
          </w:p>
        </w:tc>
        <w:tc>
          <w:tcPr>
            <w:tcW w:w="220" w:type="dxa"/>
            <w:vAlign w:val="bottom"/>
          </w:tcPr>
          <w:p>
            <w:pPr>
              <w:spacing w:after="0"/>
              <w:rPr>
                <w:sz w:val="20"/>
                <w:szCs w:val="20"/>
                <w:color w:val="auto"/>
              </w:rPr>
            </w:pP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123,944</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1,643,471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135,892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1,821,992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107,303</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1,372,300</w:t>
            </w:r>
          </w:p>
        </w:tc>
        <w:tc>
          <w:tcPr>
            <w:tcW w:w="1520" w:type="dxa"/>
            <w:vAlign w:val="bottom"/>
            <w:gridSpan w:val="3"/>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4,299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52,768</w:t>
            </w:r>
          </w:p>
        </w:tc>
        <w:tc>
          <w:tcPr>
            <w:tcW w:w="1160" w:type="dxa"/>
            <w:vAlign w:val="bottom"/>
          </w:tcPr>
          <w:p>
            <w:pPr>
              <w:jc w:val="right"/>
              <w:spacing w:after="0"/>
              <w:rPr>
                <w:sz w:val="20"/>
                <w:szCs w:val="20"/>
                <w:color w:val="auto"/>
              </w:rPr>
            </w:pPr>
            <w:r>
              <w:rPr>
                <w:rFonts w:ascii="Arial" w:cs="Arial" w:eastAsia="Arial" w:hAnsi="Arial"/>
                <w:sz w:val="18"/>
                <w:szCs w:val="18"/>
                <w:color w:val="auto"/>
              </w:rPr>
              <w:t>2,981</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31,576</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3,684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43,085</w:t>
            </w:r>
          </w:p>
        </w:tc>
        <w:tc>
          <w:tcPr>
            <w:tcW w:w="0" w:type="dxa"/>
            <w:vAlign w:val="bottom"/>
          </w:tcPr>
          <w:p>
            <w:pPr>
              <w:spacing w:after="0"/>
              <w:rPr>
                <w:sz w:val="1"/>
                <w:szCs w:val="1"/>
                <w:color w:val="auto"/>
              </w:rPr>
            </w:pPr>
          </w:p>
        </w:tc>
      </w:tr>
      <w:tr>
        <w:trPr>
          <w:trHeight w:val="216"/>
        </w:trPr>
        <w:tc>
          <w:tcPr>
            <w:tcW w:w="2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2,150</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27,100</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17,286</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1,866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23,407</w:t>
            </w: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2,552</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31,728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7,368</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1,935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10"/>
        </w:trPr>
        <w:tc>
          <w:tcPr>
            <w:tcW w:w="27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9,001</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111,596</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5,301</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56,230</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7,485</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89,793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2,077</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24,927</w:t>
            </w:r>
          </w:p>
        </w:tc>
        <w:tc>
          <w:tcPr>
            <w:tcW w:w="1160" w:type="dxa"/>
            <w:vAlign w:val="bottom"/>
          </w:tcPr>
          <w:p>
            <w:pPr>
              <w:jc w:val="right"/>
              <w:spacing w:after="0"/>
              <w:rPr>
                <w:sz w:val="20"/>
                <w:szCs w:val="20"/>
                <w:color w:val="auto"/>
              </w:rPr>
            </w:pPr>
            <w:r>
              <w:rPr>
                <w:rFonts w:ascii="Arial" w:cs="Arial" w:eastAsia="Arial" w:hAnsi="Arial"/>
                <w:sz w:val="18"/>
                <w:szCs w:val="18"/>
                <w:color w:val="auto"/>
              </w:rPr>
              <w:t>3,251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28,964</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2,665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28,250</w:t>
            </w:r>
          </w:p>
        </w:tc>
        <w:tc>
          <w:tcPr>
            <w:tcW w:w="0" w:type="dxa"/>
            <w:vAlign w:val="bottom"/>
          </w:tcPr>
          <w:p>
            <w:pPr>
              <w:spacing w:after="0"/>
              <w:rPr>
                <w:sz w:val="1"/>
                <w:szCs w:val="1"/>
                <w:color w:val="auto"/>
              </w:rPr>
            </w:pPr>
          </w:p>
        </w:tc>
      </w:tr>
      <w:tr>
        <w:trPr>
          <w:trHeight w:val="182"/>
        </w:trPr>
        <w:tc>
          <w:tcPr>
            <w:tcW w:w="274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w w:val="99"/>
              </w:rPr>
              <w:t>Total delinquencies and amount in</w:t>
            </w:r>
          </w:p>
        </w:tc>
        <w:tc>
          <w:tcPr>
            <w:tcW w:w="1180" w:type="dxa"/>
            <w:vAlign w:val="bottom"/>
            <w:tcBorders>
              <w:top w:val="single" w:sz="8" w:color="auto"/>
            </w:tcBorders>
            <w:shd w:val="clear" w:color="auto" w:fill="EEEEEE"/>
          </w:tcPr>
          <w:p>
            <w:pPr>
              <w:spacing w:after="0"/>
              <w:rPr>
                <w:sz w:val="15"/>
                <w:szCs w:val="15"/>
                <w:color w:val="auto"/>
              </w:rPr>
            </w:pPr>
          </w:p>
        </w:tc>
        <w:tc>
          <w:tcPr>
            <w:tcW w:w="34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360" w:type="dxa"/>
            <w:vAlign w:val="bottom"/>
            <w:tcBorders>
              <w:top w:val="single" w:sz="8" w:color="EEEEEE"/>
            </w:tcBorders>
            <w:shd w:val="clear" w:color="auto" w:fill="EEEEEE"/>
          </w:tcPr>
          <w:p>
            <w:pPr>
              <w:spacing w:after="0"/>
              <w:rPr>
                <w:sz w:val="15"/>
                <w:szCs w:val="15"/>
                <w:color w:val="auto"/>
              </w:rPr>
            </w:pPr>
          </w:p>
        </w:tc>
        <w:tc>
          <w:tcPr>
            <w:tcW w:w="1160" w:type="dxa"/>
            <w:vAlign w:val="bottom"/>
            <w:tcBorders>
              <w:top w:val="single" w:sz="8" w:color="auto"/>
            </w:tcBorders>
            <w:shd w:val="clear" w:color="auto" w:fill="EEEEEE"/>
          </w:tcPr>
          <w:p>
            <w:pPr>
              <w:spacing w:after="0"/>
              <w:rPr>
                <w:sz w:val="15"/>
                <w:szCs w:val="15"/>
                <w:color w:val="auto"/>
              </w:rPr>
            </w:pPr>
          </w:p>
        </w:tc>
        <w:tc>
          <w:tcPr>
            <w:tcW w:w="3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repossession (2)</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11,078</w:t>
            </w:r>
          </w:p>
        </w:tc>
        <w:tc>
          <w:tcPr>
            <w:tcW w:w="34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136,523</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8,552</w:t>
            </w:r>
          </w:p>
        </w:tc>
        <w:tc>
          <w:tcPr>
            <w:tcW w:w="320" w:type="dxa"/>
            <w:vAlign w:val="bottom"/>
            <w:shd w:val="clear" w:color="auto" w:fill="EEEEEE"/>
          </w:tcPr>
          <w:p>
            <w:pPr>
              <w:spacing w:after="0"/>
              <w:rPr>
                <w:sz w:val="22"/>
                <w:szCs w:val="2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85,194</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10,150</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118,043</w:t>
            </w:r>
          </w:p>
        </w:tc>
        <w:tc>
          <w:tcPr>
            <w:tcW w:w="0" w:type="dxa"/>
            <w:vAlign w:val="bottom"/>
          </w:tcPr>
          <w:p>
            <w:pPr>
              <w:spacing w:after="0"/>
              <w:rPr>
                <w:sz w:val="1"/>
                <w:szCs w:val="1"/>
                <w:color w:val="auto"/>
              </w:rPr>
            </w:pPr>
          </w:p>
        </w:tc>
      </w:tr>
      <w:tr>
        <w:trPr>
          <w:trHeight w:val="20"/>
        </w:trPr>
        <w:tc>
          <w:tcPr>
            <w:tcW w:w="274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ind w:left="200" w:right="100" w:hanging="197"/>
        <w:spacing w:after="0" w:line="308" w:lineRule="auto"/>
        <w:rPr>
          <w:sz w:val="20"/>
          <w:szCs w:val="20"/>
          <w:color w:val="auto"/>
        </w:rPr>
      </w:pPr>
      <w:r>
        <w:rPr>
          <w:rFonts w:ascii="Arial" w:cs="Arial" w:eastAsia="Arial" w:hAnsi="Arial"/>
          <w:sz w:val="17"/>
          <w:szCs w:val="17"/>
          <w:color w:val="auto"/>
        </w:rPr>
        <w:t>Delinquencies as a percentage of gross servicing portfolio</w:t>
      </w:r>
    </w:p>
    <w:p>
      <w:pPr>
        <w:spacing w:after="0" w:line="187" w:lineRule="exact"/>
        <w:rPr>
          <w:sz w:val="20"/>
          <w:szCs w:val="20"/>
          <w:color w:val="auto"/>
        </w:rPr>
      </w:pPr>
    </w:p>
    <w:p>
      <w:pPr>
        <w:jc w:val="both"/>
        <w:ind w:left="200" w:hanging="197"/>
        <w:spacing w:after="0" w:line="312" w:lineRule="auto"/>
        <w:rPr>
          <w:sz w:val="20"/>
          <w:szCs w:val="20"/>
          <w:color w:val="auto"/>
        </w:rPr>
      </w:pPr>
      <w:r>
        <w:rPr>
          <w:rFonts w:ascii="Arial" w:cs="Arial" w:eastAsia="Arial" w:hAnsi="Arial"/>
          <w:sz w:val="16"/>
          <w:szCs w:val="16"/>
          <w:color w:val="auto"/>
        </w:rPr>
        <w:t>Total delinquencies and amount in repossession as a percentage of gross servicing portfolio</w:t>
      </w:r>
    </w:p>
    <w:p>
      <w:pPr>
        <w:spacing w:after="0" w:line="18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i w:val="1"/>
          <w:iCs w:val="1"/>
          <w:color w:val="auto"/>
        </w:rPr>
        <w:t xml:space="preserve">Extension Experience </w:t>
      </w:r>
      <w:r>
        <w:rPr>
          <w:rFonts w:ascii="Arial" w:cs="Arial" w:eastAsia="Arial" w:hAnsi="Arial"/>
          <w:sz w:val="16"/>
          <w:szCs w:val="16"/>
          <w:color w:val="auto"/>
        </w:rPr>
        <w:t>Contracts with one extension,</w:t>
      </w:r>
    </w:p>
    <w:p>
      <w:pPr>
        <w:ind w:left="200"/>
        <w:spacing w:after="0"/>
        <w:rPr>
          <w:sz w:val="20"/>
          <w:szCs w:val="20"/>
          <w:color w:val="auto"/>
        </w:rPr>
      </w:pPr>
      <w:r>
        <w:rPr>
          <w:rFonts w:ascii="Arial" w:cs="Arial" w:eastAsia="Arial" w:hAnsi="Arial"/>
          <w:sz w:val="18"/>
          <w:szCs w:val="18"/>
          <w:color w:val="auto"/>
        </w:rPr>
        <w:t>accruing (4)</w:t>
      </w:r>
    </w:p>
    <w:p>
      <w:pPr>
        <w:spacing w:after="0" w:line="35" w:lineRule="exact"/>
        <w:rPr>
          <w:sz w:val="20"/>
          <w:szCs w:val="20"/>
          <w:color w:val="auto"/>
        </w:rPr>
      </w:pPr>
    </w:p>
    <w:p>
      <w:pPr>
        <w:jc w:val="right"/>
        <w:ind w:right="500"/>
        <w:spacing w:after="0" w:line="342" w:lineRule="auto"/>
        <w:rPr>
          <w:sz w:val="20"/>
          <w:szCs w:val="20"/>
          <w:color w:val="auto"/>
        </w:rPr>
      </w:pPr>
      <w:r>
        <w:rPr>
          <w:rFonts w:ascii="Arial" w:cs="Arial" w:eastAsia="Arial" w:hAnsi="Arial"/>
          <w:sz w:val="16"/>
          <w:szCs w:val="16"/>
          <w:color w:val="auto"/>
        </w:rPr>
        <w:t>Contracts with two or more extensions, accruing (4)</w:t>
      </w:r>
    </w:p>
    <w:p>
      <w:pPr>
        <w:spacing w:after="0" w:line="394" w:lineRule="exact"/>
        <w:rPr>
          <w:sz w:val="20"/>
          <w:szCs w:val="20"/>
          <w:color w:val="auto"/>
        </w:rPr>
      </w:pPr>
    </w:p>
    <w:p>
      <w:pPr>
        <w:ind w:left="200" w:right="340" w:hanging="197"/>
        <w:spacing w:after="0" w:line="342" w:lineRule="auto"/>
        <w:rPr>
          <w:sz w:val="20"/>
          <w:szCs w:val="20"/>
          <w:color w:val="auto"/>
        </w:rPr>
      </w:pPr>
      <w:r>
        <w:rPr>
          <w:rFonts w:ascii="Arial" w:cs="Arial" w:eastAsia="Arial" w:hAnsi="Arial"/>
          <w:sz w:val="16"/>
          <w:szCs w:val="16"/>
          <w:color w:val="auto"/>
        </w:rPr>
        <w:t>Contracts with one extension, non-accrual (4)</w:t>
      </w:r>
    </w:p>
    <w:p>
      <w:pPr>
        <w:spacing w:after="0" w:line="164" w:lineRule="exact"/>
        <w:rPr>
          <w:sz w:val="20"/>
          <w:szCs w:val="20"/>
          <w:color w:val="auto"/>
        </w:rPr>
      </w:pPr>
    </w:p>
    <w:p>
      <w:pPr>
        <w:ind w:left="200" w:right="320" w:hanging="197"/>
        <w:spacing w:after="0" w:line="329" w:lineRule="auto"/>
        <w:rPr>
          <w:sz w:val="20"/>
          <w:szCs w:val="20"/>
          <w:color w:val="auto"/>
        </w:rPr>
      </w:pPr>
      <w:r>
        <w:rPr>
          <w:rFonts w:ascii="Arial" w:cs="Arial" w:eastAsia="Arial" w:hAnsi="Arial"/>
          <w:sz w:val="16"/>
          <w:szCs w:val="16"/>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905"/>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905"/>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21,934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292,625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16,559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212,143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18,377</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238,643</w:t>
            </w:r>
          </w:p>
        </w:tc>
      </w:tr>
      <w:tr>
        <w:trPr>
          <w:trHeight w:val="473"/>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12,004</w:t>
            </w:r>
          </w:p>
        </w:tc>
        <w:tc>
          <w:tcPr>
            <w:tcW w:w="3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154,555</w:t>
            </w:r>
          </w:p>
        </w:tc>
        <w:tc>
          <w:tcPr>
            <w:tcW w:w="1160" w:type="dxa"/>
            <w:vAlign w:val="bottom"/>
          </w:tcPr>
          <w:p>
            <w:pPr>
              <w:jc w:val="right"/>
              <w:spacing w:after="0"/>
              <w:rPr>
                <w:sz w:val="20"/>
                <w:szCs w:val="20"/>
                <w:color w:val="auto"/>
              </w:rPr>
            </w:pPr>
            <w:r>
              <w:rPr>
                <w:rFonts w:ascii="Arial" w:cs="Arial" w:eastAsia="Arial" w:hAnsi="Arial"/>
                <w:sz w:val="18"/>
                <w:szCs w:val="18"/>
                <w:color w:val="auto"/>
              </w:rPr>
              <w:t>6,290</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63,178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7,840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94,035</w:t>
            </w:r>
          </w:p>
        </w:tc>
      </w:tr>
      <w:tr>
        <w:trPr>
          <w:trHeight w:val="224"/>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33,938</w:t>
            </w: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447,180</w:t>
            </w:r>
          </w:p>
        </w:tc>
        <w:tc>
          <w:tcPr>
            <w:tcW w:w="3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22,849</w:t>
            </w: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275,321</w:t>
            </w:r>
          </w:p>
        </w:tc>
        <w:tc>
          <w:tcPr>
            <w:tcW w:w="3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332,678</w:t>
            </w:r>
          </w:p>
        </w:tc>
      </w:tr>
      <w:tr>
        <w:trPr>
          <w:trHeight w:val="674"/>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1,269</w:t>
            </w:r>
          </w:p>
        </w:tc>
        <w:tc>
          <w:tcPr>
            <w:tcW w:w="3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15,626</w:t>
            </w:r>
          </w:p>
        </w:tc>
        <w:tc>
          <w:tcPr>
            <w:tcW w:w="1160" w:type="dxa"/>
            <w:vAlign w:val="bottom"/>
          </w:tcPr>
          <w:p>
            <w:pPr>
              <w:jc w:val="right"/>
              <w:spacing w:after="0"/>
              <w:rPr>
                <w:sz w:val="20"/>
                <w:szCs w:val="20"/>
                <w:color w:val="auto"/>
              </w:rPr>
            </w:pPr>
            <w:r>
              <w:rPr>
                <w:rFonts w:ascii="Arial" w:cs="Arial" w:eastAsia="Arial" w:hAnsi="Arial"/>
                <w:sz w:val="18"/>
                <w:szCs w:val="18"/>
                <w:color w:val="auto"/>
              </w:rPr>
              <w:t>1,005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9,309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14,723</w:t>
            </w:r>
          </w:p>
        </w:tc>
      </w:tr>
      <w:tr>
        <w:trPr>
          <w:trHeight w:val="687"/>
        </w:trPr>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749</w:t>
            </w:r>
          </w:p>
        </w:tc>
        <w:tc>
          <w:tcPr>
            <w:tcW w:w="3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9,116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3,426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-2767965</wp:posOffset>
            </wp:positionV>
            <wp:extent cx="724662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-2330450</wp:posOffset>
            </wp:positionV>
            <wp:extent cx="7246620" cy="43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-1756410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-1318895</wp:posOffset>
            </wp:positionV>
            <wp:extent cx="72466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-873125</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-435610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80" w:space="260"/>
            <w:col w:w="868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720" w:type="dxa"/>
            <w:vAlign w:val="bottom"/>
            <w:shd w:val="clear" w:color="auto" w:fill="EEEEEE"/>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720" w:type="dxa"/>
            <w:vAlign w:val="bottom"/>
            <w:shd w:val="clear" w:color="auto" w:fill="EEEEEE"/>
          </w:tcPr>
          <w:p>
            <w:pPr>
              <w:spacing w:after="0"/>
              <w:rPr>
                <w:sz w:val="16"/>
                <w:szCs w:val="16"/>
                <w:color w:val="auto"/>
              </w:rPr>
            </w:pPr>
          </w:p>
        </w:tc>
        <w:tc>
          <w:tcPr>
            <w:tcW w:w="1180" w:type="dxa"/>
            <w:vAlign w:val="bottom"/>
            <w:shd w:val="clear" w:color="auto" w:fill="EEEEEE"/>
          </w:tcPr>
          <w:p>
            <w:pPr>
              <w:jc w:val="right"/>
              <w:spacing w:after="0" w:line="192" w:lineRule="exact"/>
              <w:rPr>
                <w:sz w:val="20"/>
                <w:szCs w:val="20"/>
                <w:color w:val="auto"/>
              </w:rPr>
            </w:pPr>
            <w:r>
              <w:rPr>
                <w:rFonts w:ascii="Arial" w:cs="Arial" w:eastAsia="Arial" w:hAnsi="Arial"/>
                <w:sz w:val="18"/>
                <w:szCs w:val="18"/>
                <w:color w:val="auto"/>
              </w:rPr>
              <w:t>2,018</w:t>
            </w:r>
          </w:p>
        </w:tc>
        <w:tc>
          <w:tcPr>
            <w:tcW w:w="34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1180" w:type="dxa"/>
            <w:vAlign w:val="bottom"/>
            <w:gridSpan w:val="2"/>
            <w:shd w:val="clear" w:color="auto" w:fill="EEEEEE"/>
          </w:tcPr>
          <w:p>
            <w:pPr>
              <w:jc w:val="right"/>
              <w:ind w:right="360"/>
              <w:spacing w:after="0" w:line="192" w:lineRule="exact"/>
              <w:rPr>
                <w:sz w:val="20"/>
                <w:szCs w:val="20"/>
                <w:color w:val="auto"/>
              </w:rPr>
            </w:pPr>
            <w:r>
              <w:rPr>
                <w:rFonts w:ascii="Arial" w:cs="Arial" w:eastAsia="Arial" w:hAnsi="Arial"/>
                <w:sz w:val="18"/>
                <w:szCs w:val="18"/>
                <w:color w:val="auto"/>
              </w:rPr>
              <w:t>24,742</w:t>
            </w:r>
          </w:p>
        </w:tc>
        <w:tc>
          <w:tcPr>
            <w:tcW w:w="1160" w:type="dxa"/>
            <w:vAlign w:val="bottom"/>
            <w:shd w:val="clear" w:color="auto" w:fill="EEEEEE"/>
          </w:tcPr>
          <w:p>
            <w:pPr>
              <w:jc w:val="right"/>
              <w:spacing w:after="0" w:line="192" w:lineRule="exact"/>
              <w:rPr>
                <w:sz w:val="20"/>
                <w:szCs w:val="20"/>
                <w:color w:val="auto"/>
              </w:rPr>
            </w:pPr>
            <w:r>
              <w:rPr>
                <w:rFonts w:ascii="Arial" w:cs="Arial" w:eastAsia="Arial" w:hAnsi="Arial"/>
                <w:sz w:val="18"/>
                <w:szCs w:val="18"/>
                <w:color w:val="auto"/>
              </w:rPr>
              <w:t>1,480</w:t>
            </w:r>
          </w:p>
        </w:tc>
        <w:tc>
          <w:tcPr>
            <w:tcW w:w="3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12,735</w:t>
            </w:r>
          </w:p>
        </w:tc>
        <w:tc>
          <w:tcPr>
            <w:tcW w:w="146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1,897</w:t>
            </w:r>
          </w:p>
        </w:tc>
        <w:tc>
          <w:tcPr>
            <w:tcW w:w="32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00"/>
              <w:spacing w:after="0" w:line="192" w:lineRule="exact"/>
              <w:rPr>
                <w:sz w:val="20"/>
                <w:szCs w:val="20"/>
                <w:color w:val="auto"/>
              </w:rPr>
            </w:pPr>
            <w:r>
              <w:rPr>
                <w:rFonts w:ascii="Arial" w:cs="Arial" w:eastAsia="Arial" w:hAnsi="Arial"/>
                <w:sz w:val="18"/>
                <w:szCs w:val="18"/>
                <w:color w:val="auto"/>
              </w:rPr>
              <w:t>21,221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Borders>
              <w:bottom w:val="single" w:sz="8" w:color="EEEEEE"/>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35,956</w:t>
            </w:r>
          </w:p>
        </w:tc>
        <w:tc>
          <w:tcPr>
            <w:tcW w:w="34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471,922</w:t>
            </w:r>
          </w:p>
        </w:tc>
        <w:tc>
          <w:tcPr>
            <w:tcW w:w="36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24,329</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288,056</w:t>
            </w:r>
          </w:p>
        </w:tc>
        <w:tc>
          <w:tcPr>
            <w:tcW w:w="3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353,899</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75"/>
              </w:rPr>
              <w:t>____________________________________</w:t>
            </w: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9" w:lineRule="auto"/>
        <w:tabs>
          <w:tab w:leader="none" w:pos="278"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86" w:lineRule="exact"/>
        <w:rPr>
          <w:rFonts w:ascii="Arial" w:cs="Arial" w:eastAsia="Arial" w:hAnsi="Arial"/>
          <w:sz w:val="18"/>
          <w:szCs w:val="18"/>
          <w:i w:val="1"/>
          <w:iCs w:val="1"/>
          <w:color w:val="auto"/>
        </w:rPr>
      </w:pPr>
    </w:p>
    <w:p>
      <w:pPr>
        <w:jc w:val="both"/>
        <w:ind w:firstLine="8"/>
        <w:spacing w:after="0" w:line="259" w:lineRule="auto"/>
        <w:tabs>
          <w:tab w:leader="none" w:pos="272"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86"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Pr>
          <w:p>
            <w:pPr>
              <w:spacing w:after="0"/>
              <w:rPr>
                <w:sz w:val="19"/>
                <w:szCs w:val="19"/>
                <w:color w:val="auto"/>
              </w:rPr>
            </w:pPr>
          </w:p>
        </w:tc>
        <w:tc>
          <w:tcPr>
            <w:tcW w:w="152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2015</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3"/>
              </w:rPr>
              <w:t>(Dollars in thousands)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1,743,233</w:t>
            </w:r>
          </w:p>
        </w:tc>
        <w:tc>
          <w:tcPr>
            <w:tcW w:w="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1,335,275</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1,415,667</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400"/>
        </w:trPr>
        <w:tc>
          <w:tcPr>
            <w:tcW w:w="7620" w:type="dxa"/>
            <w:vAlign w:val="bottom"/>
            <w:gridSpan w:val="4"/>
          </w:tcPr>
          <w:p>
            <w:pPr>
              <w:ind w:left="4480"/>
              <w:spacing w:after="0"/>
              <w:rPr>
                <w:sz w:val="20"/>
                <w:szCs w:val="20"/>
                <w:color w:val="auto"/>
              </w:rPr>
            </w:pPr>
            <w:r>
              <w:rPr>
                <w:rFonts w:ascii="Arial" w:cs="Arial" w:eastAsia="Arial" w:hAnsi="Arial"/>
                <w:sz w:val="18"/>
                <w:szCs w:val="18"/>
                <w:b w:val="1"/>
                <w:bCs w:val="1"/>
                <w:color w:val="auto"/>
              </w:rPr>
              <w:t>Net Charge-Off Experience (1)</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620" w:type="dxa"/>
            <w:vAlign w:val="bottom"/>
            <w:gridSpan w:val="4"/>
          </w:tcPr>
          <w:p>
            <w:pPr>
              <w:jc w:val="center"/>
              <w:ind w:left="3710"/>
              <w:spacing w:after="0"/>
              <w:rPr>
                <w:sz w:val="20"/>
                <w:szCs w:val="20"/>
                <w:color w:val="auto"/>
              </w:rPr>
            </w:pPr>
            <w:r>
              <w:rPr>
                <w:rFonts w:ascii="Arial" w:cs="Arial" w:eastAsia="Arial" w:hAnsi="Arial"/>
                <w:sz w:val="18"/>
                <w:szCs w:val="18"/>
                <w:b w:val="1"/>
                <w:bCs w:val="1"/>
                <w:color w:val="auto"/>
                <w:w w:val="90"/>
              </w:rPr>
              <w:t>Fireside Portfolio</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Pr>
          <w:p>
            <w:pPr>
              <w:spacing w:after="0"/>
              <w:rPr>
                <w:sz w:val="24"/>
                <w:szCs w:val="24"/>
                <w:color w:val="auto"/>
              </w:rPr>
            </w:pPr>
          </w:p>
        </w:tc>
        <w:tc>
          <w:tcPr>
            <w:tcW w:w="152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2015</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3"/>
              </w:rPr>
              <w:t>(Dollars in thousands)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725</w:t>
            </w:r>
          </w:p>
        </w:tc>
        <w:tc>
          <w:tcPr>
            <w:tcW w:w="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6,730</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5,919</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4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400"/>
        </w:trPr>
        <w:tc>
          <w:tcPr>
            <w:tcW w:w="7620" w:type="dxa"/>
            <w:vAlign w:val="bottom"/>
            <w:gridSpan w:val="4"/>
          </w:tcPr>
          <w:p>
            <w:pPr>
              <w:jc w:val="center"/>
              <w:ind w:left="3730"/>
              <w:spacing w:after="0"/>
              <w:rPr>
                <w:sz w:val="20"/>
                <w:szCs w:val="20"/>
                <w:color w:val="auto"/>
              </w:rPr>
            </w:pPr>
            <w:r>
              <w:rPr>
                <w:rFonts w:ascii="Arial" w:cs="Arial" w:eastAsia="Arial" w:hAnsi="Arial"/>
                <w:sz w:val="18"/>
                <w:szCs w:val="18"/>
                <w:b w:val="1"/>
                <w:bCs w:val="1"/>
                <w:color w:val="auto"/>
                <w:w w:val="92"/>
              </w:rPr>
              <w:t>Net Charge-Off Experience (1)</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620" w:type="dxa"/>
            <w:vAlign w:val="bottom"/>
            <w:gridSpan w:val="4"/>
          </w:tcPr>
          <w:p>
            <w:pPr>
              <w:jc w:val="center"/>
              <w:ind w:left="3730"/>
              <w:spacing w:after="0"/>
              <w:rPr>
                <w:sz w:val="20"/>
                <w:szCs w:val="20"/>
                <w:color w:val="auto"/>
              </w:rPr>
            </w:pPr>
            <w:r>
              <w:rPr>
                <w:rFonts w:ascii="Arial" w:cs="Arial" w:eastAsia="Arial" w:hAnsi="Arial"/>
                <w:sz w:val="18"/>
                <w:szCs w:val="18"/>
                <w:b w:val="1"/>
                <w:bCs w:val="1"/>
                <w:color w:val="auto"/>
                <w:w w:val="91"/>
              </w:rPr>
              <w:t>Total Owned Portfolio Including Fireside</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Pr>
          <w:p>
            <w:pPr>
              <w:spacing w:after="0"/>
              <w:rPr>
                <w:sz w:val="24"/>
                <w:szCs w:val="24"/>
                <w:color w:val="auto"/>
              </w:rPr>
            </w:pPr>
          </w:p>
        </w:tc>
        <w:tc>
          <w:tcPr>
            <w:tcW w:w="152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2015</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3"/>
              </w:rPr>
              <w:t>(Dollars in thousands)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1,743,958</w:t>
            </w:r>
          </w:p>
        </w:tc>
        <w:tc>
          <w:tcPr>
            <w:tcW w:w="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1,342,005</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1,421,586</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6.6%</w:t>
            </w:r>
          </w:p>
        </w:tc>
        <w:tc>
          <w:tcPr>
            <w:tcW w:w="460" w:type="dxa"/>
            <w:vAlign w:val="bottom"/>
          </w:tcPr>
          <w:p>
            <w:pPr>
              <w:spacing w:after="0"/>
              <w:rPr>
                <w:sz w:val="17"/>
                <w:szCs w:val="17"/>
                <w:color w:val="auto"/>
              </w:rPr>
            </w:pPr>
          </w:p>
        </w:tc>
        <w:tc>
          <w:tcPr>
            <w:tcW w:w="15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5.0%</w:t>
            </w:r>
          </w:p>
        </w:tc>
        <w:tc>
          <w:tcPr>
            <w:tcW w:w="300" w:type="dxa"/>
            <w:vAlign w:val="bottom"/>
          </w:tcPr>
          <w:p>
            <w:pPr>
              <w:spacing w:after="0"/>
              <w:rPr>
                <w:sz w:val="17"/>
                <w:szCs w:val="17"/>
                <w:color w:val="auto"/>
              </w:rPr>
            </w:pPr>
          </w:p>
        </w:tc>
        <w:tc>
          <w:tcPr>
            <w:tcW w:w="15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5.8%</w:t>
            </w:r>
          </w:p>
        </w:tc>
      </w:tr>
      <w:tr>
        <w:trPr>
          <w:trHeight w:val="230"/>
        </w:trPr>
        <w:tc>
          <w:tcPr>
            <w:tcW w:w="570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firstLine="8"/>
        <w:spacing w:after="0" w:line="277" w:lineRule="auto"/>
        <w:tabs>
          <w:tab w:leader="none" w:pos="27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spacing w:after="0" w:line="170" w:lineRule="exact"/>
        <w:rPr>
          <w:rFonts w:ascii="Arial" w:cs="Arial" w:eastAsia="Arial" w:hAnsi="Arial"/>
          <w:sz w:val="18"/>
          <w:szCs w:val="18"/>
          <w:i w:val="1"/>
          <w:iCs w:val="1"/>
          <w:color w:val="auto"/>
        </w:rPr>
      </w:pPr>
    </w:p>
    <w:p>
      <w:pPr>
        <w:jc w:val="both"/>
        <w:ind w:firstLine="8"/>
        <w:spacing w:after="0" w:line="279" w:lineRule="auto"/>
        <w:tabs>
          <w:tab w:leader="none" w:pos="26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2015 and June 30, 2014 percentage represents six months ended June 30, 2015 and June 30, 2014 annualized. December 31, 2014 represents 12 months ended December 31,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2015, for accounts that received extensions from 2008 through 2013 (2014 extension data are not included at this time due to insufficient passage of time for meaningful evaluation of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Charged Off</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 Charged</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Charged Off</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 Charged</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Avg Months</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Active or Paid</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 Active 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&gt; 6 Months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Off &gt; 6</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&lt;= 6 Months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Off &lt;= 6</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to Charge</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 Extensions</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Off at June</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Paid Off at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Months After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After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Months After</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Off Post</w:t>
            </w:r>
          </w:p>
        </w:tc>
      </w:tr>
      <w:tr>
        <w:trPr>
          <w:trHeight w:val="230"/>
        </w:trPr>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Period of Extension</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30, 2015</w:t>
            </w:r>
          </w:p>
        </w:tc>
        <w:tc>
          <w:tcPr>
            <w:tcW w:w="2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June 30, 2015</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35,588</w:t>
            </w:r>
          </w:p>
        </w:tc>
        <w:tc>
          <w:tcPr>
            <w:tcW w:w="14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10,756</w:t>
            </w: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30.2%</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20,008</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56.2%</w:t>
            </w:r>
          </w:p>
        </w:tc>
        <w:tc>
          <w:tcPr>
            <w:tcW w:w="12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4,819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13.5%</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32,226</w:t>
            </w:r>
          </w:p>
        </w:tc>
        <w:tc>
          <w:tcPr>
            <w:tcW w:w="14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10,338</w:t>
            </w: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32.1%</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16,105</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50.0%</w:t>
            </w:r>
          </w:p>
        </w:tc>
        <w:tc>
          <w:tcPr>
            <w:tcW w:w="12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5,783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17.9%</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26,167</w:t>
            </w:r>
          </w:p>
        </w:tc>
        <w:tc>
          <w:tcPr>
            <w:tcW w:w="14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12,256</w:t>
            </w: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46.8%</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11,912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45.5%</w:t>
            </w:r>
          </w:p>
        </w:tc>
        <w:tc>
          <w:tcPr>
            <w:tcW w:w="12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1,999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2011</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18,786</w:t>
            </w:r>
          </w:p>
        </w:tc>
        <w:tc>
          <w:tcPr>
            <w:tcW w:w="14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11,132</w:t>
            </w: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59.3%</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6,722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35.8%</w:t>
            </w:r>
          </w:p>
        </w:tc>
        <w:tc>
          <w:tcPr>
            <w:tcW w:w="12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932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18,783</w:t>
            </w:r>
          </w:p>
        </w:tc>
        <w:tc>
          <w:tcPr>
            <w:tcW w:w="14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12,044</w:t>
            </w: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64.1%</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5,943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31.6%</w:t>
            </w:r>
          </w:p>
        </w:tc>
        <w:tc>
          <w:tcPr>
            <w:tcW w:w="12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796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23,398</w:t>
            </w:r>
          </w:p>
        </w:tc>
        <w:tc>
          <w:tcPr>
            <w:tcW w:w="14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16,030</w:t>
            </w: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68.5%</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6,392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27.3%</w:t>
            </w:r>
          </w:p>
        </w:tc>
        <w:tc>
          <w:tcPr>
            <w:tcW w:w="12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976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13</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view these results as a confirmation of the effectiveness of our extension program. For the accounts receiving extensions in 2008, 2009, 2010, 2011, 2012 and 2013, 30.2%, 32.1%, 46.8%, 59.3%, 64.1% and 68.5%, respectively, were either paid in full or active and performing at June 30, 2015.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the 2008, 2009, 2010, 2011, 2012 and 2013 extensions, of the accounts that charged off, the charge off was incurred, on average, 19, 17, 19, 18, 15 and 13 months, respectively,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6840" w:type="dxa"/>
            <w:vAlign w:val="bottom"/>
            <w:gridSpan w:val="3"/>
          </w:tcPr>
          <w:p>
            <w:pPr>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4"/>
          </w:tcPr>
          <w:p>
            <w:pPr>
              <w:jc w:val="right"/>
              <w:ind w:right="180"/>
              <w:spacing w:after="0"/>
              <w:rPr>
                <w:sz w:val="20"/>
                <w:szCs w:val="20"/>
                <w:color w:val="auto"/>
              </w:rPr>
            </w:pPr>
            <w:r>
              <w:rPr>
                <w:rFonts w:ascii="Arial" w:cs="Arial" w:eastAsia="Arial" w:hAnsi="Arial"/>
                <w:sz w:val="18"/>
                <w:szCs w:val="18"/>
                <w:color w:val="auto"/>
              </w:rPr>
              <w:t>Six Months Ended June 30,</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9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2014</w:t>
            </w: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3,893</w:t>
            </w: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1,911</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130,727</w:t>
            </w: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103,682</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w:t>
            </w:r>
          </w:p>
        </w:tc>
        <w:tc>
          <w:tcPr>
            <w:tcW w:w="10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1200"/>
              <w:spacing w:after="0"/>
              <w:rPr>
                <w:sz w:val="20"/>
                <w:szCs w:val="20"/>
                <w:color w:val="auto"/>
              </w:rPr>
            </w:pPr>
            <w:r>
              <w:rPr>
                <w:rFonts w:ascii="Arial" w:cs="Arial" w:eastAsia="Arial" w:hAnsi="Arial"/>
                <w:sz w:val="18"/>
                <w:szCs w:val="18"/>
                <w:color w:val="auto"/>
              </w:rPr>
              <w:t>June 30, 2015</w:t>
            </w:r>
          </w:p>
        </w:tc>
        <w:tc>
          <w:tcPr>
            <w:tcW w:w="2940" w:type="dxa"/>
            <w:vAlign w:val="bottom"/>
            <w:gridSpan w:val="5"/>
          </w:tcPr>
          <w:p>
            <w:pPr>
              <w:ind w:left="800"/>
              <w:spacing w:after="0"/>
              <w:rPr>
                <w:sz w:val="20"/>
                <w:szCs w:val="20"/>
                <w:color w:val="auto"/>
              </w:rPr>
            </w:pPr>
            <w:r>
              <w:rPr>
                <w:rFonts w:ascii="Arial" w:cs="Arial" w:eastAsia="Arial" w:hAnsi="Arial"/>
                <w:sz w:val="18"/>
                <w:szCs w:val="18"/>
                <w:color w:val="auto"/>
              </w:rPr>
              <w:t>June 30, 2014</w:t>
            </w:r>
          </w:p>
        </w:tc>
        <w:tc>
          <w:tcPr>
            <w:tcW w:w="2700" w:type="dxa"/>
            <w:vAlign w:val="bottom"/>
            <w:gridSpan w:val="6"/>
          </w:tcPr>
          <w:p>
            <w:pPr>
              <w:ind w:left="580"/>
              <w:spacing w:after="0"/>
              <w:rPr>
                <w:sz w:val="20"/>
                <w:szCs w:val="20"/>
                <w:color w:val="auto"/>
              </w:rPr>
            </w:pPr>
            <w:r>
              <w:rPr>
                <w:rFonts w:ascii="Arial" w:cs="Arial" w:eastAsia="Arial" w:hAnsi="Arial"/>
                <w:sz w:val="18"/>
                <w:szCs w:val="18"/>
                <w:color w:val="auto"/>
              </w:rPr>
              <w:t>December 31, 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Contracts</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23,203</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308,251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17,564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221,453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19,662</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8,917</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115,898</w:t>
            </w:r>
          </w:p>
        </w:tc>
        <w:tc>
          <w:tcPr>
            <w:tcW w:w="1160" w:type="dxa"/>
            <w:vAlign w:val="bottom"/>
          </w:tcPr>
          <w:p>
            <w:pPr>
              <w:jc w:val="right"/>
              <w:spacing w:after="0"/>
              <w:rPr>
                <w:sz w:val="20"/>
                <w:szCs w:val="20"/>
                <w:color w:val="auto"/>
              </w:rPr>
            </w:pPr>
            <w:r>
              <w:rPr>
                <w:rFonts w:ascii="Arial" w:cs="Arial" w:eastAsia="Arial" w:hAnsi="Arial"/>
                <w:sz w:val="18"/>
                <w:szCs w:val="18"/>
                <w:color w:val="auto"/>
              </w:rPr>
              <w:t>4,886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54,011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2,992</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38,365</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9,588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1,603</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7,926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2,109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1,195</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287</w:t>
            </w: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35,956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471,922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24,329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288,056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353,901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135,892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1,821,992</w:t>
            </w:r>
          </w:p>
        </w:tc>
        <w:tc>
          <w:tcPr>
            <w:tcW w:w="360" w:type="dxa"/>
            <w:vAlign w:val="bottom"/>
            <w:shd w:val="clear" w:color="auto" w:fill="EEEEEE"/>
          </w:tcPr>
          <w:p>
            <w:pPr>
              <w:spacing w:after="0"/>
              <w:rPr>
                <w:sz w:val="20"/>
                <w:szCs w:val="20"/>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107,303</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1,372,300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123,944</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1,643,471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operating, investing and financing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for the six-month period ended June 30, 2015 was $88.9 million compared to net cash provided by operating activities for the six-month period ended June 30, 2014 of $67.3 million. Cash provided by operating activities is significantly affected by our net income before provisions for credit losses. The increase is due primarily to the increase in net income of $3.2 million and the increase in provision for credit losses of $19.6 million.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for the six-month period ended June 30, 2015 was $262.4 million compared to net cash used in investing activities of $200.3 million in the prior year period. Cash provided by investing activities primarily results from principal payments and other proceeds received on finance receivables held for investment and increases in restricted cash. Cash used in investing activities generally relates to purchases of automobile contracts. Purchases of finance receivables held for investment were $503.9 million and $401.3 million during the first six months of 2015 and 2014, respectively.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Net cash provided by financing activities for the three months ended June 30, 2015 was $174.1 million compared to net cash provided by financing activities of $125.3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2015, we issued $495.0 million in new securitization trust debt compared to $382.5 million in the same period of 2014. In addition, we repaid $318.0 million in securitization trust debt and $1.3 million in debt associated with the Fireside portfolio in the six months ended June 30, 2015 compared to repayments of securitization trust debt of $233.8 million and repayment of $8.6 million in debt associated with the Fireside portfolio in the prior year period. In the six months ended June 30, 2015, we had net proceeds on warehouse lines of credit of $4.9 million, compared to net proceeds of $31.8 million in the prior year’s period. During the first six months of 2014, we repaid in full $39.2 million of senior secured related party debt.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June 30, 2015, we had unrestricted cash of $18.4 million, $70.5 million available under one warehouse credit facility and $67.7 million available under another warehouse credit facility (such figures assume the availability of sufficient eligible collateral). As of June 30, 2015 we had approximately $32.6 million of such eligible collateral. During the six-month period ended June 30, 2015, we completed two securitizations aggregating $495.0 million of notes sold. We intend to complete more securitizations during 2015, although there can be no assurance that we will be able to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June 30, 2015, we were in compliance with all such financial covenants.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and will continue to have a substantial amount of indebtedness. At June 30, 2015, we had approximately $1,863.6 million of debt outstanding. Such debt consisted primarily of $1,775.6 million of securitization trust debt, and also included $61.8 million of warehouse lines of credit, $11.3 million of residual interest financing and $15.0 million in subordinated renewable notes. We are also currently offering the subordinated notes to the public on a continuous basis, and such notes have maturities that range from three months to 10 years.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provided under the caption “Legal Proceedings,” Note 9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February 25, 2015.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and will continue to have a substantial amount of indebtedness. At June 30, 2015, we had approximately $1,863.6 million of debt outstanding. Such debt consisted primarily of $1,775.6 million of securitization trust debt, $22.4 million of warehouse lines of credit, $11.3 million of residual interest financing and $15.0 million in subordinated renewable notes (which are outstanding with maturities that range from three months to 10 years). Our substantial indebtedness could adversely affect our financial condition by, among other things:</w:t>
      </w:r>
    </w:p>
    <w:p>
      <w:pPr>
        <w:spacing w:after="0" w:line="187" w:lineRule="exact"/>
        <w:rPr>
          <w:sz w:val="20"/>
          <w:szCs w:val="20"/>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780" w:hanging="259"/>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 economic conditions;· our ability or inability to obtain necessary financing, and the terms of any such financing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2015, we repurchased 285,473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Total Number of</w:t>
            </w:r>
          </w:p>
        </w:tc>
        <w:tc>
          <w:tcPr>
            <w:tcW w:w="3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5"/>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 Purchased as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Average</w:t>
            </w: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Part of Publicly</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Price Paid</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32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460"/>
              <w:spacing w:after="0"/>
              <w:rPr>
                <w:sz w:val="20"/>
                <w:szCs w:val="20"/>
                <w:color w:val="auto"/>
              </w:rPr>
            </w:pPr>
            <w:r>
              <w:rPr>
                <w:rFonts w:ascii="Arial" w:cs="Arial" w:eastAsia="Arial" w:hAnsi="Arial"/>
                <w:sz w:val="18"/>
                <w:szCs w:val="18"/>
                <w:b w:val="1"/>
                <w:bCs w:val="1"/>
                <w:color w:val="auto"/>
              </w:rPr>
              <w:t>Period(1)</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per Share</w:t>
            </w: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Programs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April 2015</w:t>
            </w: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5,986,193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May 2015</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5,986,193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June 2015</w:t>
            </w: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285,473</w:t>
            </w: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6.21</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285,473</w:t>
            </w:r>
          </w:p>
        </w:tc>
        <w:tc>
          <w:tcPr>
            <w:tcW w:w="50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4,212,667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3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285,473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jc w:val="both"/>
        <w:ind w:left="660" w:hanging="328"/>
        <w:spacing w:after="0" w:line="254"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2015, our board of directors had authorized the purchase of up to $39.5 million of our outstanding securities, under a program first announced in our annual report for the year 2002, filed on March 26, 2003. All purchases described in the table above were under the program announced in March 2003, which has no fixed expiration date. Our board of directors in April 2015 increased the aggregate authorization from $34.5 million to $39.5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4.14</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7"/>
              </w:rPr>
              <w:t>exclusion set forth in subdivisions (b)(iv)(iii)(A) and (b)(v) of Item 601 of Regulation S-K (17 CFR 229.601).  The registrant agrees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4.61</w:t>
            </w:r>
          </w:p>
        </w:tc>
        <w:tc>
          <w:tcPr>
            <w:tcW w:w="10500" w:type="dxa"/>
            <w:vAlign w:val="bottom"/>
          </w:tcPr>
          <w:p>
            <w:pPr>
              <w:ind w:left="240"/>
              <w:spacing w:after="0" w:line="201" w:lineRule="exact"/>
              <w:rPr>
                <w:sz w:val="20"/>
                <w:szCs w:val="20"/>
                <w:color w:val="auto"/>
              </w:rPr>
            </w:pPr>
            <w:r>
              <w:rPr>
                <w:rFonts w:ascii="Arial" w:cs="Arial" w:eastAsia="Arial" w:hAnsi="Arial"/>
                <w:sz w:val="18"/>
                <w:szCs w:val="18"/>
                <w:color w:val="auto"/>
                <w:w w:val="91"/>
              </w:rPr>
              <w:t>Indenture dated June 1, 2015 re Notes issued by CPS Auto Receivables Trust 2015-B. Incorporated by reference to exhibit 4.61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registrant’s Form 8-K/A on June 26,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4.62</w:t>
            </w:r>
          </w:p>
        </w:tc>
        <w:tc>
          <w:tcPr>
            <w:tcW w:w="10500" w:type="dxa"/>
            <w:vAlign w:val="bottom"/>
            <w:shd w:val="clear" w:color="auto" w:fill="EEEEEE"/>
          </w:tcPr>
          <w:p>
            <w:pPr>
              <w:ind w:left="240"/>
              <w:spacing w:after="0" w:line="201" w:lineRule="exact"/>
              <w:rPr>
                <w:sz w:val="20"/>
                <w:szCs w:val="20"/>
                <w:color w:val="auto"/>
              </w:rPr>
            </w:pPr>
            <w:r>
              <w:rPr>
                <w:rFonts w:ascii="Arial" w:cs="Arial" w:eastAsia="Arial" w:hAnsi="Arial"/>
                <w:sz w:val="18"/>
                <w:szCs w:val="18"/>
                <w:color w:val="auto"/>
                <w:w w:val="93"/>
              </w:rPr>
              <w:t>Sale and Servicing Agreement dated as of June 1, 2015. Incorporated by reference to exhibit 4.62 filed with the registrant’s Form 8-K/A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June 26,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40"/>
              <w:spacing w:after="0"/>
              <w:rPr>
                <w:sz w:val="20"/>
                <w:szCs w:val="20"/>
                <w:color w:val="auto"/>
              </w:rPr>
            </w:pPr>
            <w:r>
              <w:rPr>
                <w:rFonts w:ascii="Arial" w:cs="Arial" w:eastAsia="Arial" w:hAnsi="Arial"/>
                <w:sz w:val="18"/>
                <w:szCs w:val="18"/>
                <w:color w:val="auto"/>
              </w:rPr>
              <w:t>Rule 13a-14(a) Certification of the Chief Executive Officer of the 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31.2</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Rule 13a-14(a) Certification of the Chief Financial Officer of the registrant.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tcPr>
          <w:p>
            <w:pPr>
              <w:ind w:left="24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00" w:type="dxa"/>
            <w:vAlign w:val="bottom"/>
          </w:tcPr>
          <w:p>
            <w:pPr>
              <w:spacing w:after="0"/>
              <w:rPr>
                <w:sz w:val="17"/>
                <w:szCs w:val="17"/>
                <w:color w:val="auto"/>
              </w:rPr>
            </w:pPr>
          </w:p>
        </w:tc>
        <w:tc>
          <w:tcPr>
            <w:tcW w:w="10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XBRL Instances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60" w:firstLine="319"/>
        <w:spacing w:after="0" w:line="259" w:lineRule="auto"/>
        <w:tabs>
          <w:tab w:leader="none" w:pos="7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2015</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r>
        <w:rPr>
          <w:rFonts w:ascii="Arial" w:cs="Arial" w:eastAsia="Arial" w:hAnsi="Arial"/>
          <w:sz w:val="18"/>
          <w:szCs w:val="18"/>
          <w:color w:val="auto"/>
        </w:rPr>
        <w: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2015</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Executive Vice President and Chief Financial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2015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2015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2015,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00" w:hanging="344"/>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640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4"/>
    </w:lvl>
  </w:abstractNum>
  <w:abstractNum w:abstractNumId="5">
    <w:nsid w:val="6B68079A"/>
    <w:multiLevelType w:val="hybridMultilevel"/>
    <w:lvl w:ilvl="0">
      <w:lvlJc w:val="left"/>
      <w:lvlText w:val="(%1)"/>
      <w:numFmt w:val="decimal"/>
      <w:start w:val="1"/>
    </w:lvl>
    <w:lvl w:ilvl="1">
      <w:lvlJc w:val="left"/>
      <w:lvlText w:val="(%2)"/>
      <w:numFmt w:val="decimal"/>
      <w:start w:val="2"/>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2019-12-06T08:26:22Z</dcterms:created>
  <dcterms:modified xsi:type="dcterms:W3CDTF">2019-12-06T08:26:22Z</dcterms:modified>
</cp:coreProperties>
</file>