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700" w:hanging="3892"/>
        <w:spacing w:after="0" w:line="282" w:lineRule="auto"/>
        <w:tabs>
          <w:tab w:leader="none" w:pos="5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[_]</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70" w:lineRule="exact"/>
        <w:rPr>
          <w:sz w:val="24"/>
          <w:szCs w:val="24"/>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Large Accelerated Filer [_]</w:t>
      </w:r>
      <w:r>
        <w:rPr>
          <w:sz w:val="20"/>
          <w:szCs w:val="20"/>
          <w:color w:val="auto"/>
        </w:rPr>
        <w:tab/>
      </w:r>
      <w:r>
        <w:rPr>
          <w:rFonts w:ascii="Arial" w:cs="Arial" w:eastAsia="Arial" w:hAnsi="Arial"/>
          <w:sz w:val="17"/>
          <w:szCs w:val="17"/>
          <w:color w:val="auto"/>
        </w:rPr>
        <w:t>Accelerated Filer [X]</w:t>
      </w:r>
    </w:p>
    <w:p>
      <w:pPr>
        <w:spacing w:after="0" w:line="2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Non-Accelerated Filer [_]</w:t>
      </w:r>
      <w:r>
        <w:rPr>
          <w:sz w:val="20"/>
          <w:szCs w:val="20"/>
          <w:color w:val="auto"/>
        </w:rPr>
        <w:tab/>
      </w:r>
      <w:r>
        <w:rPr>
          <w:rFonts w:ascii="Arial" w:cs="Arial" w:eastAsia="Arial" w:hAnsi="Arial"/>
          <w:sz w:val="16"/>
          <w:szCs w:val="16"/>
          <w:color w:val="auto"/>
        </w:rPr>
        <w:t>Smaller Reporting Company [_]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April 20, 2015 the registrant had 26,101,400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4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PART I. FINANCIAL INFORMATION</w:t>
            </w:r>
          </w:p>
        </w:tc>
        <w:tc>
          <w:tcPr>
            <w:tcW w:w="740" w:type="dxa"/>
            <w:vAlign w:val="bottom"/>
            <w:gridSpan w:val="3"/>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84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Financial Statements</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Unaudited Condensed Consolidated Balance Sheets as of March 31, 2015 and December 31, 2014</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84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6"/>
              </w:rPr>
              <w:t>Unaudited Condensed Consolidated Statements of Operations for the three-month periods ended March 31, 2015 and 2014</w:t>
            </w:r>
          </w:p>
        </w:tc>
        <w:tc>
          <w:tcPr>
            <w:tcW w:w="52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40" w:type="dxa"/>
            <w:vAlign w:val="bottom"/>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Comprehensive Income for the three-month periods ended March 31, 2015 and</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2014</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84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5"/>
              </w:rPr>
              <w:t>Unaudited Condensed Consolidated Statements of Cash Flows for the three-month periods ended March 31, 2015 and 2014</w:t>
            </w:r>
          </w:p>
        </w:tc>
        <w:tc>
          <w:tcPr>
            <w:tcW w:w="52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8"/>
                <w:szCs w:val="18"/>
                <w:color w:val="auto"/>
              </w:rPr>
              <w:t>Notes to Unaudited Condensed Consolidated Financial Statements</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840" w:type="dxa"/>
            <w:vAlign w:val="bottom"/>
            <w:shd w:val="clear" w:color="auto" w:fill="EEEEEE"/>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w w:val="89"/>
              </w:rPr>
              <w:t>22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5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0" w:type="dxa"/>
            <w:vAlign w:val="bottom"/>
          </w:tcPr>
          <w:p>
            <w:pPr>
              <w:ind w:left="3600"/>
              <w:spacing w:after="0"/>
              <w:rPr>
                <w:sz w:val="20"/>
                <w:szCs w:val="20"/>
                <w:color w:val="auto"/>
              </w:rPr>
            </w:pPr>
            <w:r>
              <w:rPr>
                <w:rFonts w:ascii="Arial" w:cs="Arial" w:eastAsia="Arial" w:hAnsi="Arial"/>
                <w:sz w:val="18"/>
                <w:szCs w:val="18"/>
                <w:b w:val="1"/>
                <w:bCs w:val="1"/>
                <w:color w:val="auto"/>
              </w:rPr>
              <w:t>PART II. OTHER INFORMATION</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23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820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23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8200" w:type="dxa"/>
            <w:vAlign w:val="bottom"/>
          </w:tcPr>
          <w:p>
            <w:pPr>
              <w:ind w:left="260"/>
              <w:spacing w:after="0"/>
              <w:rPr>
                <w:sz w:val="20"/>
                <w:szCs w:val="20"/>
                <w:color w:val="auto"/>
              </w:rPr>
            </w:pPr>
            <w:r>
              <w:rPr>
                <w:rFonts w:ascii="Arial" w:cs="Arial" w:eastAsia="Arial" w:hAnsi="Arial"/>
                <w:sz w:val="18"/>
                <w:szCs w:val="18"/>
                <w:color w:val="auto"/>
              </w:rPr>
              <w:t>Exhibits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23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20,202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173,451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1,683,904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1,595,956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(68,142)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1,615,762</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1,534,496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12,609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40,347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24,496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1,905,453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21,665</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21,965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12,074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secured by receivables measured at fair value</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1,697,649</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1,598,496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15,082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1,768,435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1,705,805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25,750,240 and 24,540,640 shares issued</w:t>
            </w: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March 31, 2015 and December 31, 2014, respectively</w:t>
            </w:r>
          </w:p>
        </w:tc>
        <w:tc>
          <w:tcPr>
            <w:tcW w:w="2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81,945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60,124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1,905,453</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2466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EEEEEE"/>
            </w:tcBorders>
          </w:tcPr>
          <w:p>
            <w:pPr>
              <w:spacing w:after="0"/>
              <w:rPr>
                <w:sz w:val="20"/>
                <w:szCs w:val="20"/>
                <w:color w:val="auto"/>
              </w:rPr>
            </w:pPr>
          </w:p>
        </w:tc>
        <w:tc>
          <w:tcPr>
            <w:tcW w:w="180" w:type="dxa"/>
            <w:vAlign w:val="bottom"/>
            <w:tcBorders>
              <w:bottom w:val="single" w:sz="8" w:color="EE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82,359</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3,482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85,989</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68,146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14,486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4,836</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13,173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33,439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4,204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71,240</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6,416</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0.33</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25,635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31,991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32,011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246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EEEEE"/>
          </w:tcPr>
          <w:p>
            <w:pPr>
              <w:jc w:val="right"/>
              <w:ind w:right="9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8,333</w:t>
            </w:r>
          </w:p>
        </w:tc>
        <w:tc>
          <w:tcPr>
            <w:tcW w:w="340" w:type="dxa"/>
            <w:vAlign w:val="bottom"/>
            <w:gridSpan w:val="2"/>
            <w:shd w:val="clear" w:color="auto" w:fill="EEEEEE"/>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6,705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108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8,333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(2,881)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1,673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33,439</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6,644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49,816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(233,890)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(189,886)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122,066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1,931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(108,494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(97,041</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245,000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proceeds from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(34,874)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(145,867)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1086"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2,343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(7,545)</w:t>
            </w:r>
          </w:p>
        </w:tc>
      </w:tr>
      <w:tr>
        <w:trPr>
          <w:trHeight w:val="431"/>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17,859</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22,112</w:t>
            </w:r>
          </w:p>
        </w:tc>
        <w:tc>
          <w:tcPr>
            <w:tcW w:w="60" w:type="dxa"/>
            <w:vAlign w:val="bottom"/>
          </w:tcPr>
          <w:p>
            <w:pPr>
              <w:spacing w:after="0"/>
              <w:rPr>
                <w:sz w:val="24"/>
                <w:szCs w:val="24"/>
                <w:color w:val="auto"/>
              </w:rPr>
            </w:pP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w:t>
            </w:r>
          </w:p>
        </w:tc>
        <w:tc>
          <w:tcPr>
            <w:tcW w:w="60" w:type="dxa"/>
            <w:vAlign w:val="bottom"/>
          </w:tcPr>
          <w:p>
            <w:pPr>
              <w:spacing w:after="0"/>
              <w:rPr>
                <w:sz w:val="19"/>
                <w:szCs w:val="19"/>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77" w:right="239" w:bottom="1086"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11,415</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11,506</w:t>
            </w:r>
          </w:p>
        </w:tc>
      </w:tr>
      <w:tr>
        <w:trPr>
          <w:trHeight w:val="230"/>
        </w:trPr>
        <w:tc>
          <w:tcPr>
            <w:tcW w:w="572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086"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2015 are not necessarily indicative of the operating results to be expected for the full year.</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valuing residual interest in securitizations, accreting net acquisition fees, amortizing deferred costs, valuing stock options and warrants issued, and recording deferred tax assets and reserves for uncertain tax positions. These are material estimates that could be susceptible to changes in the near term and, accordingly, actual results could differ from those estimates.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020" w:type="dxa"/>
            <w:vAlign w:val="bottom"/>
            <w:gridSpan w:val="5"/>
          </w:tcPr>
          <w:p>
            <w:pPr>
              <w:jc w:val="center"/>
              <w:ind w:left="417"/>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77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530"/>
              <w:spacing w:after="0"/>
              <w:rPr>
                <w:sz w:val="20"/>
                <w:szCs w:val="20"/>
                <w:color w:val="auto"/>
              </w:rPr>
            </w:pPr>
            <w:r>
              <w:rPr>
                <w:rFonts w:ascii="Arial" w:cs="Arial" w:eastAsia="Arial" w:hAnsi="Arial"/>
                <w:sz w:val="18"/>
                <w:szCs w:val="18"/>
                <w:b w:val="1"/>
                <w:bCs w:val="1"/>
                <w:color w:val="auto"/>
                <w:w w:val="96"/>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gridSpan w:val="4"/>
          </w:tcPr>
          <w:p>
            <w:pPr>
              <w:jc w:val="center"/>
              <w:ind w:right="530"/>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080" w:type="dxa"/>
            <w:vAlign w:val="bottom"/>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2,137</w:t>
            </w:r>
          </w:p>
        </w:tc>
        <w:tc>
          <w:tcPr>
            <w:tcW w:w="1060" w:type="dxa"/>
            <w:vAlign w:val="bottom"/>
            <w:gridSpan w:val="2"/>
            <w:shd w:val="clear" w:color="auto" w:fill="EEEEEE"/>
          </w:tcPr>
          <w:p>
            <w:pPr>
              <w:jc w:val="right"/>
              <w:ind w:right="93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0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10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192</w:t>
            </w:r>
          </w:p>
        </w:tc>
        <w:tc>
          <w:tcPr>
            <w:tcW w:w="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Sales tax refunds</w:t>
            </w:r>
          </w:p>
        </w:tc>
        <w:tc>
          <w:tcPr>
            <w:tcW w:w="10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(162)</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2015 and 2014, we recorded stock-based compensation costs in the amount of $1,096,000 and $771,000, respectively. As of March 31, 2015, unrecognized stock-based compensation costs to be recognized over future periods equaled $12.8 million. This amount will be recognized as expense over a weighted-average period of 2.8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stock option activity for the three months ended March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10,828</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6.01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10,619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5.83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5,932</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2.83</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4.88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2015, the aggregate intrinsic value of options outstanding and exercisable was $32.0 million and $25.1 million, respectively. There were 209,000 options exercised for the three months ended March 31, 2015 compared to 574,000 for the comparable period in 2014. The total intrinsic value of options exercised was $1.2 million and $4.4 million for the three-month periods ended March 31, 2015 and 2014. There were 2.1 million shares available for future stock option grants under existing plans as of March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did not re-purchase any shares of our common stock during the three months ended March 31, 2015. During the three-month period ended March 31, 2014, we re-purchased 64,430 shares of our common stock, at an average price of $7.97. All purchases were related to net exercises of outstanding options and warrants. In transactions during the three-month period ended March 31, 2014, the holder of options and warrants to purchase 365,000 shares of our common stock paid the aggregate $513,400 exercise price by surrender to us of 64,430 of such 365,000 shares. There were no open market purchases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April 2015, the FASB issued Accounting Standards Update No. 2015-03 (ASU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ASU 2015-03 changes the presentation of debt issuance costs in the financial statements to present such costs as a direct deduction from the related debt liability rather than as an asset. Amortization of debt issuance costs will be reported as interest expense. This standard is effective for interim and annual reporting periods beginning after December 15, 2015. ASU 2015-03 will not have a material impact on our consolidated financial position, results of operations, or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2015,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recorded a liability as of March 31, 2015,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w w:val="98"/>
              </w:rPr>
              <w:t>The following table presents the components of Finance Receivables, net of unearned interest: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1,697,894</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1,612,246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Less: Unearned acquisition fees and originations costs</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(13,990)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(16,290)</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1,683,904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1,595,956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2015 and December 31, 2014: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1,604,715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1,523,020</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38,093</w:t>
            </w:r>
          </w:p>
        </w:tc>
        <w:tc>
          <w:tcPr>
            <w:tcW w:w="1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42,730</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280" w:type="dxa"/>
            <w:vAlign w:val="bottom"/>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23,192</w:t>
            </w:r>
          </w:p>
        </w:tc>
        <w:tc>
          <w:tcPr>
            <w:tcW w:w="18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23,300</w:t>
            </w: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31,894</w:t>
            </w:r>
          </w:p>
        </w:tc>
        <w:tc>
          <w:tcPr>
            <w:tcW w:w="18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23,196</w:t>
            </w:r>
          </w:p>
        </w:tc>
      </w:tr>
      <w:tr>
        <w:trPr>
          <w:trHeight w:val="223"/>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1,697,894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1,612,246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Finance receivables totaling $31.9 million and $23.2 million at March 31, 2015 and December 31, 2014,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940" w:type="dxa"/>
            <w:vAlign w:val="bottom"/>
            <w:gridSpan w:val="4"/>
          </w:tcPr>
          <w:p>
            <w:pPr>
              <w:jc w:val="center"/>
              <w:ind w:left="497"/>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61,460</w:t>
            </w:r>
          </w:p>
        </w:tc>
        <w:tc>
          <w:tcPr>
            <w:tcW w:w="1040" w:type="dxa"/>
            <w:vAlign w:val="bottom"/>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39,626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10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33,439</w:t>
            </w: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23,880</w:t>
            </w: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(31,829)</w:t>
            </w:r>
          </w:p>
        </w:tc>
        <w:tc>
          <w:tcPr>
            <w:tcW w:w="10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2"/>
              </w:rPr>
              <w:t>(23,541)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Recoveries</w:t>
            </w:r>
          </w:p>
        </w:tc>
        <w:tc>
          <w:tcPr>
            <w:tcW w:w="10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5,072</w:t>
            </w:r>
          </w:p>
        </w:tc>
        <w:tc>
          <w:tcPr>
            <w:tcW w:w="10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4,687</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68,142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44,652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25,625</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28,234</w:t>
            </w:r>
          </w:p>
        </w:tc>
        <w:tc>
          <w:tcPr>
            <w:tcW w:w="228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10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(16,102)</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(17,829)</w:t>
            </w:r>
          </w:p>
        </w:tc>
        <w:tc>
          <w:tcPr>
            <w:tcW w:w="2280" w:type="dxa"/>
            <w:vAlign w:val="bottom"/>
          </w:tcPr>
          <w:p>
            <w:pPr>
              <w:spacing w:after="0"/>
              <w:rPr>
                <w:sz w:val="19"/>
                <w:szCs w:val="19"/>
                <w:color w:val="auto"/>
              </w:rPr>
            </w:pP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9,523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10,405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845"/>
        </w:trPr>
        <w:tc>
          <w:tcPr>
            <w:tcW w:w="5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89"/>
              </w:rPr>
              <w:t>10</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 Measured at Fair Value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Finance Receivables measured at fair value: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EEEEEE"/>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200" w:type="dxa"/>
            <w:vAlign w:val="bottom"/>
            <w:shd w:val="clear" w:color="auto" w:fill="EEEEEE"/>
          </w:tcPr>
          <w:p>
            <w:pPr>
              <w:spacing w:after="0"/>
              <w:rPr>
                <w:sz w:val="18"/>
                <w:szCs w:val="18"/>
                <w:color w:val="auto"/>
              </w:rPr>
            </w:pPr>
          </w:p>
        </w:tc>
        <w:tc>
          <w:tcPr>
            <w:tcW w:w="2320" w:type="dxa"/>
            <w:vAlign w:val="bottom"/>
            <w:gridSpan w:val="4"/>
            <w:shd w:val="clear" w:color="auto" w:fill="EEEEEE"/>
          </w:tcPr>
          <w:p>
            <w:pPr>
              <w:jc w:val="right"/>
              <w:ind w:right="111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and accrued interest, net of unearned interest</w:t>
            </w:r>
          </w:p>
        </w:tc>
        <w:tc>
          <w:tcPr>
            <w:tcW w:w="1200" w:type="dxa"/>
            <w:vAlign w:val="bottom"/>
            <w:shd w:val="clear" w:color="auto" w:fill="EEEEEE"/>
          </w:tcPr>
          <w:p>
            <w:pPr>
              <w:jc w:val="right"/>
              <w:ind w:right="103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Fair value adjustment</w:t>
            </w:r>
          </w:p>
        </w:tc>
        <w:tc>
          <w:tcPr>
            <w:tcW w:w="12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200" w:type="dxa"/>
            <w:vAlign w:val="bottom"/>
            <w:tcBorders>
              <w:top w:val="single" w:sz="8" w:color="auto"/>
              <w:bottom w:val="single" w:sz="8" w:color="auto"/>
            </w:tcBorders>
            <w:shd w:val="clear" w:color="auto" w:fill="EEEEEE"/>
          </w:tcPr>
          <w:p>
            <w:pPr>
              <w:jc w:val="right"/>
              <w:ind w:right="103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March 31, 2015 and December 31,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2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1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200" w:type="dxa"/>
            <w:vAlign w:val="bottom"/>
          </w:tcPr>
          <w:p>
            <w:pPr>
              <w:jc w:val="right"/>
              <w:ind w:right="103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22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262</w:t>
            </w:r>
          </w:p>
        </w:tc>
        <w:tc>
          <w:tcPr>
            <w:tcW w:w="228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280" w:type="dxa"/>
            <w:vAlign w:val="bottom"/>
          </w:tcPr>
          <w:p>
            <w:pPr>
              <w:ind w:left="20"/>
              <w:spacing w:after="0"/>
              <w:rPr>
                <w:sz w:val="20"/>
                <w:szCs w:val="20"/>
                <w:color w:val="auto"/>
              </w:rPr>
            </w:pPr>
            <w:r>
              <w:rPr>
                <w:rFonts w:ascii="Arial" w:cs="Arial" w:eastAsia="Arial" w:hAnsi="Arial"/>
                <w:sz w:val="18"/>
                <w:szCs w:val="18"/>
                <w:color w:val="auto"/>
              </w:rPr>
              <w:t>- 90 days</w:t>
            </w:r>
          </w:p>
        </w:tc>
        <w:tc>
          <w:tcPr>
            <w:tcW w:w="1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22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2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w:t>
            </w:r>
          </w:p>
        </w:tc>
        <w:tc>
          <w:tcPr>
            <w:tcW w:w="228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9"/>
        </w:trPr>
        <w:tc>
          <w:tcPr>
            <w:tcW w:w="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1" w:name="page12"/>
    <w:bookmarkEnd w:id="11"/>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Final</w:t>
            </w:r>
          </w:p>
        </w:tc>
        <w:tc>
          <w:tcPr>
            <w:tcW w:w="1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Receivables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Scheduled</w:t>
            </w:r>
          </w:p>
        </w:tc>
        <w:tc>
          <w:tcPr>
            <w:tcW w:w="1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Pledged at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 at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at</w:t>
            </w:r>
          </w:p>
        </w:tc>
      </w:tr>
      <w:tr>
        <w:trPr>
          <w:trHeight w:val="230"/>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Payment</w:t>
            </w:r>
          </w:p>
        </w:tc>
        <w:tc>
          <w:tcPr>
            <w:tcW w:w="1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Initial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620" w:type="dxa"/>
            <w:vAlign w:val="bottom"/>
            <w:gridSpan w:val="2"/>
          </w:tcPr>
          <w:p>
            <w:pPr>
              <w:ind w:left="460"/>
              <w:spacing w:after="0"/>
              <w:rPr>
                <w:sz w:val="20"/>
                <w:szCs w:val="20"/>
                <w:color w:val="auto"/>
              </w:rPr>
            </w:pPr>
            <w:r>
              <w:rPr>
                <w:rFonts w:ascii="Arial" w:cs="Arial" w:eastAsia="Arial" w:hAnsi="Arial"/>
                <w:sz w:val="18"/>
                <w:szCs w:val="18"/>
                <w:b w:val="1"/>
                <w:bCs w:val="1"/>
                <w:color w:val="auto"/>
              </w:rPr>
              <w:t>Series</w:t>
            </w: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Date (1)</w:t>
            </w:r>
          </w:p>
        </w:tc>
        <w:tc>
          <w:tcPr>
            <w:tcW w:w="16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2015 (2)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Principal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10"/>
        </w:trPr>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2011-A</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April 2018</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10,138</w:t>
            </w:r>
          </w:p>
        </w:tc>
        <w:tc>
          <w:tcPr>
            <w:tcW w:w="3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100,364</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5,836</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8,457</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2.82%</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2011-B</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3"/>
              </w:rPr>
              <w:t>September 2018</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19,613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109,936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19,299</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22,985</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2011-C</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2019</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25,918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119,400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26,049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30,601</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4.92%</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2012-A</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June 2019</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31,274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30,393</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35,923</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2012-B</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3"/>
              </w:rPr>
              <w:t>September 2019</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44,458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141,500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43,388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50,125</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3.06%</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2012-C</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6"/>
              </w:rPr>
              <w:t>December 2019</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49,655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147,000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48,610</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55,619</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2012-D</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2020</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60,076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160,000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59,229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67,833</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2.06%</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2013-A</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June 2020</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87,361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185,000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87,059</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97,775</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2013-B</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3"/>
              </w:rPr>
              <w:t>September 2020</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106,376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205,000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106,305</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118,692</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2.44%</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2013-C</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6"/>
              </w:rPr>
              <w:t>December 2020</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122,248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205,000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120,830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133,628</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2013-D</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2021</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120,330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183,000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118,794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132,150</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2.54%</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2014-A</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June 2021</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132,426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180,000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143,456</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2014-B</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3"/>
              </w:rPr>
              <w:t>September 2021</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166,835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202,500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165,346</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177,601</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1.92%</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CPS 2014-C</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6"/>
              </w:rPr>
              <w:t>December 2021</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244,750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273,000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241,176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256,151</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16"/>
        </w:trPr>
        <w:tc>
          <w:tcPr>
            <w:tcW w:w="1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2014-D</w:t>
            </w:r>
          </w:p>
        </w:tc>
        <w:tc>
          <w:tcPr>
            <w:tcW w:w="14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2022</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254,224</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267,500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249,913</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267,500</w:t>
            </w:r>
          </w:p>
        </w:tc>
        <w:tc>
          <w:tcPr>
            <w:tcW w:w="1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2.40%</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CPS 2015-A (3)</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June 2022</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170,624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245,000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23"/>
        </w:trPr>
        <w:tc>
          <w:tcPr>
            <w:tcW w:w="13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1,646,306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ind w:left="440"/>
              <w:spacing w:after="0"/>
              <w:rPr>
                <w:sz w:val="20"/>
                <w:szCs w:val="20"/>
                <w:color w:val="auto"/>
              </w:rPr>
            </w:pPr>
            <w:r>
              <w:rPr>
                <w:rFonts w:ascii="Arial" w:cs="Arial" w:eastAsia="Arial" w:hAnsi="Arial"/>
                <w:sz w:val="18"/>
                <w:szCs w:val="18"/>
                <w:color w:val="auto"/>
                <w:w w:val="87"/>
              </w:rPr>
              <w:t>2,879,200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1,697,649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629"/>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jc w:val="both"/>
        <w:ind w:left="340" w:hanging="332"/>
        <w:spacing w:after="0" w:line="254"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$491.0 million in 2015, $538.9 million in 2016, $359.4 million in 2017, $200.1 million in 2018, $92.4 million in 2019 and $15.9 million in 2020.</w:t>
      </w:r>
    </w:p>
    <w:p>
      <w:pPr>
        <w:spacing w:after="0" w:line="18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$72.0 million of receivables were pledged to CPS 2015-A in April 2015.</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March 31, 2015, we were in compliance with all such covenants.</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2015, restricted cash under the various agreements totaled approximately $173.5 million, of which $72.0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and amounts of our other debt outstanding at March 31, 2015 and December 31, 2014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Amount Outstanding at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vMerge w:val="restart"/>
          </w:tcPr>
          <w:p>
            <w:pPr>
              <w:ind w:left="480"/>
              <w:spacing w:after="0"/>
              <w:rPr>
                <w:sz w:val="20"/>
                <w:szCs w:val="20"/>
                <w:color w:val="auto"/>
              </w:rPr>
            </w:pPr>
            <w:r>
              <w:rPr>
                <w:rFonts w:ascii="Arial" w:cs="Arial" w:eastAsia="Arial" w:hAnsi="Arial"/>
                <w:sz w:val="18"/>
                <w:szCs w:val="18"/>
                <w:color w:val="auto"/>
              </w:rPr>
              <w:t>Description</w:t>
            </w:r>
          </w:p>
        </w:tc>
        <w:tc>
          <w:tcPr>
            <w:tcW w:w="30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Interest Rate</w:t>
            </w:r>
          </w:p>
        </w:tc>
        <w:tc>
          <w:tcPr>
            <w:tcW w:w="31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Maturity</w:t>
            </w:r>
          </w:p>
        </w:tc>
        <w:tc>
          <w:tcPr>
            <w:tcW w:w="200" w:type="dxa"/>
            <w:vAlign w:val="bottom"/>
          </w:tcPr>
          <w:p>
            <w:pPr>
              <w:spacing w:after="0"/>
              <w:rPr>
                <w:sz w:val="19"/>
                <w:szCs w:val="19"/>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4"/>
              </w:rPr>
              <w:t>(Minimum 6.50%)</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8"/>
              </w:rPr>
              <w:t>April 2019</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21,965</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7"/>
              </w:rPr>
              <w:t>23,581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4"/>
              </w:rPr>
              <w:t>(Minimum 6.25%)</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August 2017</w:t>
            </w:r>
          </w:p>
        </w:tc>
        <w:tc>
          <w:tcPr>
            <w:tcW w:w="20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7"/>
              </w:rPr>
              <w:t>33,258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w:t>
            </w: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financing</w:t>
            </w:r>
          </w:p>
        </w:tc>
        <w:tc>
          <w:tcPr>
            <w:tcW w:w="30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11.75% over one month Libor</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8"/>
              </w:rPr>
              <w:t>April 2018</w:t>
            </w:r>
          </w:p>
        </w:tc>
        <w:tc>
          <w:tcPr>
            <w:tcW w:w="20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12,074</w:t>
            </w:r>
          </w:p>
        </w:tc>
        <w:tc>
          <w:tcPr>
            <w:tcW w:w="86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7"/>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1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Repayment is based on payments from</w:t>
            </w: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underlying receivables. Final payment</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Debt secured by</w:t>
            </w: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of the 8.00% loan was made in</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receivables measured at</w:t>
            </w: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September 2013, while final residual</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fair value</w:t>
            </w:r>
          </w:p>
        </w:tc>
        <w:tc>
          <w:tcPr>
            <w:tcW w:w="3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n/a</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payment was made in January 2015</w:t>
            </w:r>
          </w:p>
        </w:tc>
        <w:tc>
          <w:tcPr>
            <w:tcW w:w="20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1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Weighted average maturity</w:t>
            </w: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Weighted average rate of 9.83% and</w:t>
            </w:r>
          </w:p>
        </w:tc>
        <w:tc>
          <w:tcPr>
            <w:tcW w:w="31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of November 2016 and October 2016</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w:t>
            </w:r>
          </w:p>
        </w:tc>
        <w:tc>
          <w:tcPr>
            <w:tcW w:w="3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10.7% at March 31, 2015 and</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at March 31, 2015 and December 31,</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notes</w:t>
            </w:r>
          </w:p>
        </w:tc>
        <w:tc>
          <w:tcPr>
            <w:tcW w:w="3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December 31, 2014 , respectively</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2014, respectively</w:t>
            </w:r>
          </w:p>
        </w:tc>
        <w:tc>
          <w:tcPr>
            <w:tcW w:w="20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15,082</w:t>
            </w:r>
          </w:p>
        </w:tc>
        <w:tc>
          <w:tcPr>
            <w:tcW w:w="86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7"/>
              </w:rPr>
              <w:t>15,233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86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8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8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49,121</w:t>
            </w:r>
          </w:p>
        </w:tc>
        <w:tc>
          <w:tcPr>
            <w:tcW w:w="32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85,649</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2015 we entered into a new $100 million warehouse credit line with affiliates of Fortress Investment Group. The facility is structured to allow us to fund a portion of the purchase price of automobile contracts by borrowing from a credit facility to our consolidated subsidiary Page Six Funding LLC. This facility, which replaces a revolving credit facility that we have used since December 2010, provides for advances up to 88% of eligible finance receivables and the loans under it accrue interest at a rate of one-month LIBOR plus 5.50% per annum, with a minimum rate of 6.50% per annum. There was $22.0 million outstanding under the previous facility at March 31, 2015. The new facility has a revolving period through April 2017 and an amortization period through April 2019 for any receivables pledged to the facility at the end of the revolving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Interest Income and Interest Expense</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The following table presents the components of interest income:</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960" w:type="dxa"/>
            <w:vAlign w:val="bottom"/>
            <w:gridSpan w:val="4"/>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020" w:type="dxa"/>
            <w:vAlign w:val="bottom"/>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82,321</w:t>
            </w:r>
          </w:p>
        </w:tc>
        <w:tc>
          <w:tcPr>
            <w:tcW w:w="1060" w:type="dxa"/>
            <w:vAlign w:val="bottom"/>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8"/>
              </w:rPr>
              <w:t>64,882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82,359</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00" w:type="dxa"/>
            <w:vAlign w:val="bottom"/>
            <w:vMerge w:val="restart"/>
          </w:tcPr>
          <w:p>
            <w:pPr>
              <w:ind w:left="340"/>
              <w:spacing w:after="0"/>
              <w:rPr>
                <w:sz w:val="20"/>
                <w:szCs w:val="20"/>
                <w:color w:val="auto"/>
              </w:rPr>
            </w:pPr>
            <w:r>
              <w:rPr>
                <w:rFonts w:ascii="Arial" w:cs="Arial" w:eastAsia="Arial" w:hAnsi="Arial"/>
                <w:sz w:val="18"/>
                <w:szCs w:val="18"/>
                <w:color w:val="auto"/>
                <w:w w:val="98"/>
              </w:rPr>
              <w:t>The following table presents the components of interest expense:</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960" w:type="dxa"/>
            <w:vAlign w:val="bottom"/>
            <w:gridSpan w:val="4"/>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20" w:type="dxa"/>
            <w:vAlign w:val="bottom"/>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10,876</w:t>
            </w:r>
          </w:p>
        </w:tc>
        <w:tc>
          <w:tcPr>
            <w:tcW w:w="1060" w:type="dxa"/>
            <w:vAlign w:val="bottom"/>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1,473</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423</w:t>
            </w:r>
          </w:p>
        </w:tc>
        <w:tc>
          <w:tcPr>
            <w:tcW w:w="10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401</w:t>
            </w:r>
          </w:p>
        </w:tc>
        <w:tc>
          <w:tcPr>
            <w:tcW w:w="10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13,173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13,381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Earnings per share for the three-month periods ended March 31, 2015 and 2014 were calculated using the weighted average number of shares outstanding for the related period. The following table reconciles the number of shares used in the computations of basic and diluted earnings per share for the three-month ended March 31, 2015 and 2014:</w:t>
      </w:r>
    </w:p>
    <w:p>
      <w:pPr>
        <w:sectPr>
          <w:pgSz w:w="11900" w:h="16838" w:orient="portrait"/>
          <w:cols w:equalWidth="0" w:num="1">
            <w:col w:w="11480"/>
          </w:cols>
          <w:pgMar w:left="18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right="500" w:hanging="158"/>
        <w:spacing w:after="0" w:line="277"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-293370</wp:posOffset>
            </wp:positionV>
            <wp:extent cx="651764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Incremental common shares attributable to exercise of outstanding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-107315</wp:posOffset>
            </wp:positionV>
            <wp:extent cx="65176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-107315</wp:posOffset>
            </wp:positionV>
            <wp:extent cx="651764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14605</wp:posOffset>
            </wp:positionV>
            <wp:extent cx="223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-130810</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4" w:lineRule="exact"/>
        <w:rPr>
          <w:sz w:val="20"/>
          <w:szCs w:val="20"/>
          <w:color w:val="auto"/>
        </w:rPr>
      </w:pPr>
    </w:p>
    <w:p>
      <w:pPr>
        <w:jc w:val="both"/>
        <w:ind w:left="480"/>
        <w:spacing w:after="0"/>
        <w:tabs>
          <w:tab w:leader="none" w:pos="2400" w:val="left"/>
        </w:tabs>
        <w:rPr>
          <w:sz w:val="20"/>
          <w:szCs w:val="20"/>
          <w:color w:val="auto"/>
        </w:rPr>
      </w:pPr>
      <w:r>
        <w:rPr>
          <w:rFonts w:ascii="Arial" w:cs="Arial" w:eastAsia="Arial" w:hAnsi="Arial"/>
          <w:sz w:val="18"/>
          <w:szCs w:val="18"/>
          <w:color w:val="auto"/>
        </w:rPr>
        <w:t>25,635</w:t>
      </w:r>
      <w:r>
        <w:rPr>
          <w:sz w:val="20"/>
          <w:szCs w:val="20"/>
          <w:color w:val="auto"/>
        </w:rPr>
        <w:tab/>
      </w:r>
      <w:r>
        <w:rPr>
          <w:rFonts w:ascii="Arial" w:cs="Arial" w:eastAsia="Arial" w:hAnsi="Arial"/>
          <w:sz w:val="18"/>
          <w:szCs w:val="18"/>
          <w:color w:val="auto"/>
        </w:rPr>
        <w:t>24,355</w:t>
      </w:r>
    </w:p>
    <w:p>
      <w:pPr>
        <w:spacing w:after="0" w:line="239" w:lineRule="exact"/>
        <w:rPr>
          <w:sz w:val="20"/>
          <w:szCs w:val="20"/>
          <w:color w:val="auto"/>
        </w:rPr>
      </w:pPr>
    </w:p>
    <w:p>
      <w:pPr>
        <w:ind w:left="580"/>
        <w:spacing w:after="0"/>
        <w:tabs>
          <w:tab w:leader="none" w:pos="2500" w:val="left"/>
        </w:tabs>
        <w:rPr>
          <w:sz w:val="20"/>
          <w:szCs w:val="20"/>
          <w:color w:val="auto"/>
        </w:rPr>
      </w:pPr>
      <w:r>
        <w:rPr>
          <w:rFonts w:ascii="Arial" w:cs="Arial" w:eastAsia="Arial" w:hAnsi="Arial"/>
          <w:sz w:val="15"/>
          <w:szCs w:val="15"/>
          <w:color w:val="auto"/>
        </w:rPr>
        <w:t>6,356</w:t>
      </w:r>
      <w:r>
        <w:rPr>
          <w:sz w:val="20"/>
          <w:szCs w:val="20"/>
          <w:color w:val="auto"/>
        </w:rPr>
        <w:tab/>
      </w:r>
      <w:r>
        <w:rPr>
          <w:rFonts w:ascii="Arial" w:cs="Arial" w:eastAsia="Arial" w:hAnsi="Arial"/>
          <w:sz w:val="15"/>
          <w:szCs w:val="15"/>
          <w:color w:val="auto"/>
        </w:rPr>
        <w:t>7,656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36830</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80" w:lineRule="exact"/>
        <w:rPr>
          <w:sz w:val="20"/>
          <w:szCs w:val="20"/>
          <w:color w:val="auto"/>
        </w:rPr>
      </w:pPr>
    </w:p>
    <w:p>
      <w:pPr>
        <w:ind w:left="480"/>
        <w:spacing w:after="0"/>
        <w:tabs>
          <w:tab w:leader="none" w:pos="2420" w:val="left"/>
        </w:tabs>
        <w:rPr>
          <w:sz w:val="20"/>
          <w:szCs w:val="20"/>
          <w:color w:val="auto"/>
        </w:rPr>
      </w:pPr>
      <w:r>
        <w:rPr>
          <w:rFonts w:ascii="Arial" w:cs="Arial" w:eastAsia="Arial" w:hAnsi="Arial"/>
          <w:sz w:val="15"/>
          <w:szCs w:val="15"/>
          <w:color w:val="auto"/>
        </w:rPr>
        <w:t>31,991</w:t>
      </w:r>
      <w:r>
        <w:rPr>
          <w:sz w:val="20"/>
          <w:szCs w:val="20"/>
          <w:color w:val="auto"/>
        </w:rPr>
        <w:tab/>
      </w:r>
      <w:r>
        <w:rPr>
          <w:rFonts w:ascii="Arial" w:cs="Arial" w:eastAsia="Arial" w:hAnsi="Arial"/>
          <w:sz w:val="15"/>
          <w:szCs w:val="15"/>
          <w:color w:val="auto"/>
        </w:rPr>
        <w:t>32,011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53975</wp:posOffset>
            </wp:positionV>
            <wp:extent cx="223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4180"/>
          </w:cols>
          <w:pgMar w:left="180" w:top="877" w:right="239" w:bottom="1440" w:gutter="0" w:footer="0" w:header="0"/>
          <w:type w:val="continuous"/>
        </w:sectPr>
      </w:pPr>
    </w:p>
    <w:p>
      <w:pPr>
        <w:spacing w:after="0" w:line="100"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periods ended March 31, 2015 and 2014 would have included an additional 4.7 and 2.5 million shares, respectively attributable to the exercise of outstanding options and warrants.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180" w:top="877"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Income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2011.</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March 31, 2015 and December 31, 2014,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$40.3 million as of March 31, 2015 is more likely than not based on forecasted future net earnings. Our net deferred tax asset of $40.3 million consists of approximately $30.2 million of net U.S. federal deferred tax assets and $10.1 million of net state deferred tax assets. We estimate that we would need to generate approximately $93 million of taxable income during the applicable carryforward periods to realize fully our federal and state net deferred tax assets.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Income tax expense was $6.4 million and $5.1 million for the three months ended March 31, 2015 and 2014, and represents an effective income tax rate of 44% and 43%, respectively.</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The first of those two has been settled by agreement with the plaintiffs, with the settlement remaining subject to approval by the court. The court hearing the second has been instructed by its court of appeals to grant our motion for dismissal, following which the plaintiff may assert his claim in arbitration on an individual basis and not on a class basis.</w:t>
      </w:r>
    </w:p>
    <w:p>
      <w:pPr>
        <w:spacing w:after="0" w:line="19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the most part, we have legal and factual defenses to such consumer claims, which we routinely contest or settle (for immaterial amounts) depending on the particular circumstances of each case. We have recorded a liability as of March 31, 2015 with respect to such matters, in the aggregate.</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In July 2013, the staff of the U.S. Federal Trade Commission (“FTC”) advised us that they were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paid a $2 million penalty to the federal government in June 2014, and implemented procedural changes, all pursuant to a consent decree that was entered by the court in June 2014.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contracts and the representations and warranties relating to those underwriting criteria that were made in connection with the securitization of the automobile contracts. We are investigating these matters internally and are cooperating with the request. Such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referenced above. We have recorded a liability as of March 31, 2015,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March 31, 2015, and in excess of the liability we have recorded, is from $0 to $250,000.</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7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periods ended March 31,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40" w:type="dxa"/>
            <w:vAlign w:val="bottom"/>
            <w:gridSpan w:val="4"/>
          </w:tcPr>
          <w:p>
            <w:pPr>
              <w:jc w:val="center"/>
              <w:ind w:left="39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0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Service cost</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8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211</w:t>
            </w:r>
          </w:p>
        </w:tc>
        <w:tc>
          <w:tcPr>
            <w:tcW w:w="11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0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1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0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periodic cost (benefit)</w:t>
            </w:r>
          </w:p>
        </w:tc>
        <w:tc>
          <w:tcPr>
            <w:tcW w:w="1080" w:type="dxa"/>
            <w:vAlign w:val="bottom"/>
            <w:tcBorders>
              <w:top w:val="single" w:sz="8" w:color="auto"/>
              <w:bottom w:val="single" w:sz="8" w:color="auto"/>
            </w:tcBorders>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EEEEEE"/>
          </w:tcPr>
          <w:p>
            <w:pPr>
              <w:jc w:val="right"/>
              <w:ind w:right="98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make any contributions to the Plan during the three-month period ended March 31, 2015 and we do not anticipate making any contributions for the remainder of 2015. We contributed $112,000 during the three-month period ended March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96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4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118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14,476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(921)</w:t>
            </w: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(5,321)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Mark to fair value</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7"/>
              </w:rPr>
              <w:t>Debt Secured by Finance Receivables Measured at Fair Value:</w:t>
            </w:r>
          </w:p>
        </w:tc>
        <w:tc>
          <w:tcPr>
            <w:tcW w:w="1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4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118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13,117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1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Premium accretion</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4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14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Adjusted balance at end of period</w:t>
            </w:r>
          </w:p>
        </w:tc>
        <w:tc>
          <w:tcPr>
            <w:tcW w:w="14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40" w:type="dxa"/>
            <w:vAlign w:val="bottom"/>
            <w:vMerge w:val="restart"/>
          </w:tcPr>
          <w:p>
            <w:pPr>
              <w:jc w:val="right"/>
              <w:ind w:right="750"/>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March 31, 2015</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00" w:type="dxa"/>
            <w:vAlign w:val="bottom"/>
          </w:tcPr>
          <w:p>
            <w:pPr>
              <w:jc w:val="center"/>
              <w:ind w:left="214"/>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80" w:type="dxa"/>
            <w:vAlign w:val="bottom"/>
          </w:tcPr>
          <w:p>
            <w:pPr>
              <w:spacing w:after="0"/>
              <w:rPr>
                <w:sz w:val="17"/>
                <w:szCs w:val="17"/>
                <w:color w:val="auto"/>
              </w:rPr>
            </w:pPr>
          </w:p>
        </w:tc>
        <w:tc>
          <w:tcPr>
            <w:tcW w:w="1280" w:type="dxa"/>
            <w:vAlign w:val="bottom"/>
          </w:tcPr>
          <w:p>
            <w:pPr>
              <w:jc w:val="center"/>
              <w:ind w:left="590"/>
              <w:spacing w:after="0" w:line="205" w:lineRule="exact"/>
              <w:rPr>
                <w:sz w:val="20"/>
                <w:szCs w:val="20"/>
                <w:color w:val="auto"/>
              </w:rPr>
            </w:pPr>
            <w:r>
              <w:rPr>
                <w:rFonts w:ascii="Arial" w:cs="Arial" w:eastAsia="Arial" w:hAnsi="Arial"/>
                <w:sz w:val="18"/>
                <w:szCs w:val="18"/>
                <w:b w:val="1"/>
                <w:bCs w:val="1"/>
                <w:color w:val="auto"/>
                <w:w w:val="96"/>
              </w:rPr>
              <w:t>Fair</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00" w:type="dxa"/>
            <w:vAlign w:val="bottom"/>
          </w:tcPr>
          <w:p>
            <w:pPr>
              <w:jc w:val="center"/>
              <w:ind w:left="214"/>
              <w:spacing w:after="0"/>
              <w:rPr>
                <w:sz w:val="20"/>
                <w:szCs w:val="20"/>
                <w:color w:val="auto"/>
              </w:rPr>
            </w:pPr>
            <w:r>
              <w:rPr>
                <w:rFonts w:ascii="Arial" w:cs="Arial" w:eastAsia="Arial" w:hAnsi="Arial"/>
                <w:sz w:val="18"/>
                <w:szCs w:val="18"/>
                <w:b w:val="1"/>
                <w:bCs w:val="1"/>
                <w:color w:val="auto"/>
                <w:w w:val="86"/>
              </w:rPr>
              <w:t>Balance</w:t>
            </w:r>
          </w:p>
        </w:tc>
        <w:tc>
          <w:tcPr>
            <w:tcW w:w="480" w:type="dxa"/>
            <w:vAlign w:val="bottom"/>
          </w:tcPr>
          <w:p>
            <w:pPr>
              <w:spacing w:after="0"/>
              <w:rPr>
                <w:sz w:val="20"/>
                <w:szCs w:val="20"/>
                <w:color w:val="auto"/>
              </w:rPr>
            </w:pPr>
          </w:p>
        </w:tc>
        <w:tc>
          <w:tcPr>
            <w:tcW w:w="128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Value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5"/>
          </w:tcPr>
          <w:p>
            <w:pPr>
              <w:jc w:val="right"/>
              <w:ind w:right="1310"/>
              <w:spacing w:after="0"/>
              <w:rPr>
                <w:sz w:val="20"/>
                <w:szCs w:val="20"/>
                <w:color w:val="auto"/>
              </w:rPr>
            </w:pPr>
            <w:r>
              <w:rPr>
                <w:rFonts w:ascii="Arial" w:cs="Arial" w:eastAsia="Arial" w:hAnsi="Arial"/>
                <w:sz w:val="18"/>
                <w:szCs w:val="18"/>
                <w:b w:val="1"/>
                <w:bCs w:val="1"/>
                <w:color w:val="auto"/>
                <w:w w:val="95"/>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300" w:type="dxa"/>
            <w:vAlign w:val="bottom"/>
            <w:shd w:val="clear" w:color="auto" w:fill="EEEEEE"/>
          </w:tcPr>
          <w:p>
            <w:pPr>
              <w:jc w:val="right"/>
              <w:ind w:right="113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3"/>
              </w:rPr>
              <w:t>743</w:t>
            </w:r>
          </w:p>
        </w:tc>
        <w:tc>
          <w:tcPr>
            <w:tcW w:w="1280" w:type="dxa"/>
            <w:vAlign w:val="bottom"/>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743</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1,664</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30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 The final residual payment was made in January 2015.</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2015, the finance receivables related to the repossessed vehicles in inventory totaled $25.6 million. We have applied a valuation adjustment, or loss allowance, of $16.1 million, which is based on a recovery rate of approximately 37%, resulting in an estimated fair value and carrying amount of $9.5 million. The fair value and carrying amount of the repossessed inventory at December 31, 2014 was $10.4 million after applying a valuation adjustment of $17.8 million.</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March 31, 2015 and 2014. We have no level 3 assets that are measured at fair value on a non-recurring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certain qualitative information about our level 3 fair value measurements for assets and liabilities carried at fair value: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Fair Values as of</w:t>
            </w:r>
          </w:p>
        </w:tc>
        <w:tc>
          <w:tcPr>
            <w:tcW w:w="260" w:type="dxa"/>
            <w:vAlign w:val="bottom"/>
          </w:tcPr>
          <w:p>
            <w:pPr>
              <w:spacing w:after="0"/>
              <w:rPr>
                <w:sz w:val="21"/>
                <w:szCs w:val="21"/>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2700" w:type="dxa"/>
            <w:vAlign w:val="bottom"/>
            <w:gridSpan w:val="4"/>
          </w:tcPr>
          <w:p>
            <w:pPr>
              <w:ind w:left="84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8"/>
              </w:rPr>
              <w:t>March 31,</w:t>
            </w:r>
          </w:p>
        </w:tc>
        <w:tc>
          <w:tcPr>
            <w:tcW w:w="1340" w:type="dxa"/>
            <w:vAlign w:val="bottom"/>
            <w:tcBorders>
              <w:top w:val="single" w:sz="8" w:color="auto"/>
            </w:tcBorders>
            <w:gridSpan w:val="2"/>
          </w:tcPr>
          <w:p>
            <w:pPr>
              <w:jc w:val="center"/>
              <w:ind w:left="9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60" w:type="dxa"/>
            <w:vAlign w:val="bottom"/>
            <w:tcBorders>
              <w:top w:val="single" w:sz="8" w:color="auto"/>
            </w:tcBorders>
            <w:gridSpan w:val="2"/>
          </w:tcPr>
          <w:p>
            <w:pPr>
              <w:ind w:left="180"/>
              <w:spacing w:after="0" w:line="205" w:lineRule="exact"/>
              <w:rPr>
                <w:sz w:val="20"/>
                <w:szCs w:val="20"/>
                <w:color w:val="auto"/>
              </w:rPr>
            </w:pPr>
            <w:r>
              <w:rPr>
                <w:rFonts w:ascii="Arial" w:cs="Arial" w:eastAsia="Arial" w:hAnsi="Arial"/>
                <w:sz w:val="18"/>
                <w:szCs w:val="18"/>
                <w:b w:val="1"/>
                <w:bCs w:val="1"/>
                <w:color w:val="auto"/>
              </w:rPr>
              <w:t>March 31,</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Techniques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Finance receivables measured at</w:t>
            </w:r>
          </w:p>
        </w:tc>
        <w:tc>
          <w:tcPr>
            <w:tcW w:w="340" w:type="dxa"/>
            <w:vAlign w:val="bottom"/>
            <w:gridSpan w:val="2"/>
            <w:shd w:val="clear" w:color="auto" w:fill="EEEEEE"/>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70"/>
              <w:spacing w:after="0" w:line="201" w:lineRule="exact"/>
              <w:rPr>
                <w:sz w:val="20"/>
                <w:szCs w:val="20"/>
                <w:color w:val="auto"/>
              </w:rPr>
            </w:pPr>
            <w:r>
              <w:rPr>
                <w:rFonts w:ascii="Arial" w:cs="Arial" w:eastAsia="Arial" w:hAnsi="Arial"/>
                <w:sz w:val="18"/>
                <w:szCs w:val="18"/>
                <w:color w:val="auto"/>
              </w:rPr>
              <w:t>743</w:t>
            </w:r>
          </w:p>
        </w:tc>
        <w:tc>
          <w:tcPr>
            <w:tcW w:w="580" w:type="dxa"/>
            <w:vAlign w:val="bottom"/>
            <w:shd w:val="clear" w:color="auto" w:fill="EEEEEE"/>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1,664</w:t>
            </w:r>
          </w:p>
        </w:tc>
        <w:tc>
          <w:tcPr>
            <w:tcW w:w="26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8"/>
              </w:rPr>
              <w:t>Discounted cash</w:t>
            </w:r>
          </w:p>
        </w:tc>
        <w:tc>
          <w:tcPr>
            <w:tcW w:w="14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460" w:type="dxa"/>
            <w:vAlign w:val="bottom"/>
            <w:gridSpan w:val="2"/>
            <w:shd w:val="clear" w:color="auto" w:fill="EEEEEE"/>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7"/>
              </w:rPr>
              <w:t>flows</w:t>
            </w:r>
          </w:p>
        </w:tc>
        <w:tc>
          <w:tcPr>
            <w:tcW w:w="1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Cumulative net</w:t>
            </w:r>
          </w:p>
        </w:tc>
        <w:tc>
          <w:tcPr>
            <w:tcW w:w="14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losses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3"/>
              </w:rPr>
              <w:t>Monthly average</w:t>
            </w:r>
          </w:p>
        </w:tc>
        <w:tc>
          <w:tcPr>
            <w:tcW w:w="1460" w:type="dxa"/>
            <w:vAlign w:val="bottom"/>
            <w:gridSpan w:val="2"/>
            <w:shd w:val="clear" w:color="auto" w:fill="EEEEEE"/>
          </w:tcPr>
          <w:p>
            <w:pPr>
              <w:jc w:val="right"/>
              <w:ind w:right="320"/>
              <w:spacing w:after="0" w:line="201" w:lineRule="exact"/>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prepayments</w:t>
            </w: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1,250</w:t>
            </w:r>
          </w:p>
        </w:tc>
        <w:tc>
          <w:tcPr>
            <w:tcW w:w="260" w:type="dxa"/>
            <w:vAlign w:val="bottom"/>
          </w:tcPr>
          <w:p>
            <w:pPr>
              <w:spacing w:after="0"/>
              <w:rPr>
                <w:sz w:val="17"/>
                <w:szCs w:val="17"/>
                <w:color w:val="auto"/>
              </w:rPr>
            </w:pPr>
          </w:p>
        </w:tc>
        <w:tc>
          <w:tcPr>
            <w:tcW w:w="14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Discounted cash</w:t>
            </w:r>
          </w:p>
        </w:tc>
        <w:tc>
          <w:tcPr>
            <w:tcW w:w="14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460" w:type="dxa"/>
            <w:vAlign w:val="bottom"/>
            <w:gridSpan w:val="2"/>
          </w:tcPr>
          <w:p>
            <w:pPr>
              <w:ind w:left="920"/>
              <w:spacing w:after="0" w:line="201" w:lineRule="exact"/>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measured at fair 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flows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15"/>
          </w:tcPr>
          <w:p>
            <w:pPr>
              <w:ind w:left="340"/>
              <w:spacing w:after="0"/>
              <w:rPr>
                <w:sz w:val="20"/>
                <w:szCs w:val="20"/>
                <w:color w:val="auto"/>
              </w:rPr>
            </w:pPr>
            <w:r>
              <w:rPr>
                <w:rFonts w:ascii="Arial" w:cs="Arial" w:eastAsia="Arial" w:hAnsi="Arial"/>
                <w:sz w:val="18"/>
                <w:szCs w:val="18"/>
                <w:color w:val="auto"/>
              </w:rPr>
              <w:t>The estimated fair values of financial assets and liabilities at March 31, 2015 and December 31, 2014, were as follows: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As of March 31,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20,202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20,202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20,202</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173,451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173,451</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173,451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1,615,762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1,589,952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1,589,952</w:t>
            </w:r>
          </w:p>
        </w:tc>
        <w:tc>
          <w:tcPr>
            <w:tcW w:w="0" w:type="dxa"/>
            <w:vAlign w:val="bottom"/>
          </w:tcPr>
          <w:p>
            <w:pPr>
              <w:spacing w:after="0"/>
              <w:rPr>
                <w:sz w:val="1"/>
                <w:szCs w:val="1"/>
                <w:color w:val="auto"/>
              </w:rPr>
            </w:pPr>
          </w:p>
        </w:tc>
      </w:tr>
      <w:tr>
        <w:trPr>
          <w:trHeight w:val="202"/>
        </w:trPr>
        <w:tc>
          <w:tcPr>
            <w:tcW w:w="3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743</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24,496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24,496</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21,965</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21,965</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2,678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12,074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12,074</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12,074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1,697,649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1,720,705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1,720,705</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15,082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15,082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15,082</w:t>
            </w:r>
          </w:p>
        </w:tc>
        <w:tc>
          <w:tcPr>
            <w:tcW w:w="0" w:type="dxa"/>
            <w:vAlign w:val="bottom"/>
          </w:tcPr>
          <w:p>
            <w:pPr>
              <w:spacing w:after="0"/>
              <w:rPr>
                <w:sz w:val="1"/>
                <w:szCs w:val="1"/>
                <w:color w:val="auto"/>
              </w:rPr>
            </w:pPr>
          </w:p>
        </w:tc>
      </w:tr>
      <w:tr>
        <w:trPr>
          <w:trHeight w:val="446"/>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ind w:left="40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17,859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175,382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175,382</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1,534,496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1,512,567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1,512,567</w:t>
            </w:r>
          </w:p>
        </w:tc>
        <w:tc>
          <w:tcPr>
            <w:tcW w:w="0" w:type="dxa"/>
            <w:vAlign w:val="bottom"/>
          </w:tcPr>
          <w:p>
            <w:pPr>
              <w:spacing w:after="0"/>
              <w:rPr>
                <w:sz w:val="1"/>
                <w:szCs w:val="1"/>
                <w:color w:val="auto"/>
              </w:rPr>
            </w:pPr>
          </w:p>
        </w:tc>
      </w:tr>
      <w:tr>
        <w:trPr>
          <w:trHeight w:val="202"/>
        </w:trPr>
        <w:tc>
          <w:tcPr>
            <w:tcW w:w="3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23,372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23,372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56,839</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56,839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2,613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12,327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12,327</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1,619,742</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1,619,742</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15,233</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634"/>
        </w:trPr>
        <w:tc>
          <w:tcPr>
            <w:tcW w:w="3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March 31, 2015 and December 31, 2014,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March 31, 2015, we have purchased a total of approximately $11.6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Contracts</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20" w:type="dxa"/>
            <w:vAlign w:val="bottom"/>
          </w:tcPr>
          <w:p>
            <w:pPr>
              <w:spacing w:after="0"/>
              <w:rPr>
                <w:sz w:val="16"/>
                <w:szCs w:val="16"/>
                <w:color w:val="auto"/>
              </w:rPr>
            </w:pPr>
          </w:p>
        </w:tc>
      </w:tr>
      <w:tr>
        <w:trPr>
          <w:trHeight w:val="234"/>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2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Purchased in Period</w:t>
            </w: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333333"/>
                <w:w w:val="89"/>
              </w:rPr>
              <w:t>2008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296,817</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shd w:val="clear" w:color="auto" w:fill="EEEEEE"/>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113,023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284,236</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shd w:val="clear" w:color="auto" w:fill="EEEEEE"/>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551,742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764,087</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shd w:val="clear" w:color="auto" w:fill="EEEEEE"/>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944,944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Three months ended March 31, 2015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233,890</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1,725,523</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1994 we have conducted 66 term securitizations (generally quarterly) of automobile contracts that we purchased from dealers under our regular programs. As of March 31, 2015, 17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gridSpan w:val="5"/>
          </w:tcPr>
          <w:p>
            <w:pPr>
              <w:jc w:val="right"/>
              <w:ind w:right="45"/>
              <w:spacing w:after="0"/>
              <w:rPr>
                <w:sz w:val="20"/>
                <w:szCs w:val="20"/>
                <w:color w:val="auto"/>
              </w:rPr>
            </w:pPr>
            <w:r>
              <w:rPr>
                <w:rFonts w:ascii="Arial" w:cs="Arial" w:eastAsia="Arial" w:hAnsi="Arial"/>
                <w:sz w:val="18"/>
                <w:szCs w:val="18"/>
                <w:b w:val="1"/>
                <w:bCs w:val="1"/>
                <w:color w:val="auto"/>
              </w:rPr>
              <w:t>Recent Asset-Backed Term Securitizations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40" w:type="dxa"/>
            <w:vAlign w:val="bottom"/>
          </w:tcPr>
          <w:p>
            <w:pPr>
              <w:spacing w:after="0"/>
              <w:rPr>
                <w:sz w:val="16"/>
                <w:szCs w:val="16"/>
                <w:color w:val="auto"/>
              </w:rPr>
            </w:pPr>
          </w:p>
        </w:tc>
        <w:tc>
          <w:tcPr>
            <w:tcW w:w="16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6"/>
              </w:rPr>
              <w:t>Amount of Term</w:t>
            </w:r>
          </w:p>
        </w:tc>
      </w:tr>
      <w:tr>
        <w:trPr>
          <w:trHeight w:val="234"/>
        </w:trPr>
        <w:tc>
          <w:tcPr>
            <w:tcW w:w="20" w:type="dxa"/>
            <w:vAlign w:val="bottom"/>
          </w:tcPr>
          <w:p>
            <w:pPr>
              <w:spacing w:after="0"/>
              <w:rPr>
                <w:sz w:val="20"/>
                <w:szCs w:val="20"/>
                <w:color w:val="auto"/>
              </w:rPr>
            </w:pP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Securitizations</w:t>
            </w:r>
          </w:p>
        </w:tc>
        <w:tc>
          <w:tcPr>
            <w:tcW w:w="140" w:type="dxa"/>
            <w:vAlign w:val="bottom"/>
          </w:tcPr>
          <w:p>
            <w:pPr>
              <w:spacing w:after="0"/>
              <w:rPr>
                <w:sz w:val="20"/>
                <w:szCs w:val="20"/>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Securitizations</w:t>
            </w: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957,681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1,118,097</w:t>
            </w:r>
          </w:p>
        </w:tc>
      </w:tr>
      <w:tr>
        <w:trPr>
          <w:trHeight w:val="216"/>
        </w:trPr>
        <w:tc>
          <w:tcPr>
            <w:tcW w:w="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2008</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509,022</w:t>
            </w:r>
          </w:p>
        </w:tc>
      </w:tr>
      <w:tr>
        <w:trPr>
          <w:trHeight w:val="216"/>
        </w:trPr>
        <w:tc>
          <w:tcPr>
            <w:tcW w:w="2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2009</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2010</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103,772</w:t>
            </w:r>
          </w:p>
        </w:tc>
      </w:tr>
      <w:tr>
        <w:trPr>
          <w:trHeight w:val="216"/>
        </w:trPr>
        <w:tc>
          <w:tcPr>
            <w:tcW w:w="2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2011</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335,593</w:t>
            </w:r>
          </w:p>
        </w:tc>
      </w:tr>
      <w:tr>
        <w:trPr>
          <w:trHeight w:val="216"/>
        </w:trPr>
        <w:tc>
          <w:tcPr>
            <w:tcW w:w="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603,500</w:t>
            </w:r>
          </w:p>
        </w:tc>
      </w:tr>
      <w:tr>
        <w:trPr>
          <w:trHeight w:val="216"/>
        </w:trPr>
        <w:tc>
          <w:tcPr>
            <w:tcW w:w="2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778,000</w:t>
            </w:r>
          </w:p>
        </w:tc>
      </w:tr>
      <w:tr>
        <w:trPr>
          <w:trHeight w:val="216"/>
        </w:trPr>
        <w:tc>
          <w:tcPr>
            <w:tcW w:w="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2014</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923,000</w:t>
            </w: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Three months ended March 31, 2015</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245,000</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2010 securitization was, in substance, a re-securitzation of the receivables from our second securitization of 2008, which allowed us to take advantage of a lower interest rate environment at that time. Our 2012 securitizations included $58.2 million in contracts that were repurchased in 2012 from securitizations closed in 2006 and 2007. Our 2013 securitizations included $7.4 million in contracts that were repurchased from a securitization closed in 2008.</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March 31, 2015 we have one such residual interest financing outstanding.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ind w:firstLine="324"/>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March 31, 2015 included $72.0 million from the proceeds of the sale of the asset-backed notes that were held by the trustee pending delivery of the remaining receivables. In April 2015, the requisite additional receivables were delivered to the trust and we received the related restricted cash, most of which was used to repay amounts owed under our warehouse credit facilities.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extended again in March 2015 to April 2015, when it was repaid in full. Our second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cross-defaulted provisions that would allow certain creditors to declare a default if a default occurred under a different facility. As of March 31, 2015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Operating Results for the three months ended March 31, 2015 with the three months ended March 31, 2014</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three months ended March 31, 2015, our revenues were $86.0 million, an increase of $17.8 million, or 26.2%,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$68.1 million. The primary reason for the increase in revenues is an increase in interest income. Interest income for the three months ended March 31, 2015 increased $17.4 million, or 26.7%, to $82.4 million from $65.0 million in the prior year. The primary reason for the increase in interest income is the increase in finance receivables held by consolidated subsidiaries, which increased from $1,295.2 million at March 31, 2014 to $1,725.5 million at March 31, 2015. The table below shows the average balances of our portfolio held by consolidated subsidiaries for the three months ended March 31,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 2015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2014</w:t>
            </w:r>
          </w:p>
        </w:tc>
        <w:tc>
          <w:tcPr>
            <w:tcW w:w="0" w:type="dxa"/>
            <w:vAlign w:val="bottom"/>
          </w:tcPr>
          <w:p>
            <w:pPr>
              <w:spacing w:after="0"/>
              <w:rPr>
                <w:sz w:val="1"/>
                <w:szCs w:val="1"/>
                <w:color w:val="auto"/>
              </w:rPr>
            </w:pPr>
          </w:p>
        </w:tc>
      </w:tr>
      <w:tr>
        <w:trPr>
          <w:trHeight w:val="210"/>
        </w:trPr>
        <w:tc>
          <w:tcPr>
            <w:tcW w:w="5300" w:type="dxa"/>
            <w:vAlign w:val="bottom"/>
            <w:vMerge w:val="restart"/>
          </w:tcPr>
          <w:p>
            <w:pPr>
              <w:jc w:val="center"/>
              <w:ind w:left="2150"/>
              <w:spacing w:after="0"/>
              <w:rPr>
                <w:sz w:val="20"/>
                <w:szCs w:val="20"/>
                <w:color w:val="auto"/>
              </w:rPr>
            </w:pPr>
            <w:r>
              <w:rPr>
                <w:rFonts w:ascii="Arial" w:cs="Arial" w:eastAsia="Arial" w:hAnsi="Arial"/>
                <w:sz w:val="18"/>
                <w:szCs w:val="18"/>
                <w:b w:val="1"/>
                <w:bCs w:val="1"/>
                <w:color w:val="auto"/>
                <w:w w:val="88"/>
              </w:rPr>
              <w:t>Finance Receivables Owned by</w:t>
            </w:r>
          </w:p>
        </w:tc>
        <w:tc>
          <w:tcPr>
            <w:tcW w:w="24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right"/>
              <w:ind w:right="115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Consolidated Subsidiaries</w:t>
            </w: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2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1,703.3</w:t>
            </w:r>
          </w:p>
        </w:tc>
        <w:tc>
          <w:tcPr>
            <w:tcW w:w="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1,228.5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Fireside</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189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4" w:name="page25"/>
    <w:bookmarkEnd w:id="24"/>
    <w:p>
      <w:pPr>
        <w:jc w:val="both"/>
        <w:ind w:firstLine="324"/>
        <w:spacing w:after="0" w:line="279" w:lineRule="auto"/>
        <w:rPr>
          <w:sz w:val="20"/>
          <w:szCs w:val="20"/>
          <w:color w:val="auto"/>
        </w:rPr>
      </w:pPr>
      <w:r>
        <w:rPr>
          <w:rFonts w:ascii="Arial" w:cs="Arial" w:eastAsia="Arial" w:hAnsi="Arial"/>
          <w:sz w:val="17"/>
          <w:szCs w:val="17"/>
          <w:color w:val="auto"/>
        </w:rPr>
        <w:t>Servicing fees totaling $148,000 for the three months ended March 31, 2015 decreased $365,000, or 71.2%, from $513,000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March 31, 2015 and 2014,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6"/>
              </w:rPr>
              <w:t>March 31, 2015</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5"/>
              </w:rPr>
              <w:t>March 31, 2014</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1,723.6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99.9%</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1,280.3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0.7</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9.1</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1,295.2</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March 31, 2015, we were generating income and fees on a managed portfolio with an outstanding principal balance of $1,725.5 million (this amount includes $189,000 of automobile contracts on which we earn servicing fees and own a residual interest and also includes another $1.0 million of automobile contracts on which we earn base and incentive servicing fees), compared to a managed portfolio with an outstanding principal balance of $1,295.2 million as of March 31, 2014. At March 31, 2015 and 2014, the managed portfolio composition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8"/>
              </w:rPr>
              <w:t>March 31, 2015</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8"/>
              </w:rPr>
              <w:t>March 31, 2014</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gridSpan w:val="7"/>
          </w:tcPr>
          <w:p>
            <w:pPr>
              <w:ind w:left="780"/>
              <w:spacing w:after="0"/>
              <w:rPr>
                <w:sz w:val="20"/>
                <w:szCs w:val="20"/>
                <w:color w:val="auto"/>
              </w:rPr>
            </w:pPr>
            <w:r>
              <w:rPr>
                <w:rFonts w:ascii="Arial" w:cs="Arial" w:eastAsia="Arial" w:hAnsi="Arial"/>
                <w:sz w:val="18"/>
                <w:szCs w:val="18"/>
                <w:b w:val="1"/>
                <w:bCs w:val="1"/>
                <w:color w:val="auto"/>
              </w:rPr>
              <w:t>($ in millions)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1,724.5</w:t>
            </w: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99.9%</w:t>
            </w:r>
          </w:p>
        </w:tc>
        <w:tc>
          <w:tcPr>
            <w:tcW w:w="40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1,282.6</w:t>
            </w: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shd w:val="clear" w:color="auto" w:fill="EEEEEE"/>
          </w:tcPr>
          <w:p>
            <w:pPr>
              <w:spacing w:after="0"/>
              <w:rPr>
                <w:sz w:val="19"/>
                <w:szCs w:val="19"/>
                <w:color w:val="auto"/>
              </w:rPr>
            </w:pPr>
          </w:p>
        </w:tc>
        <w:tc>
          <w:tcPr>
            <w:tcW w:w="18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1,295.2</w:t>
            </w:r>
          </w:p>
        </w:tc>
        <w:tc>
          <w:tcPr>
            <w:tcW w:w="4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of $3.5 million in the three months ended March 31, 2015 increased by $845,000, or 32.0% compared to the prior year. The three-month period ended March 31, 2015 includes an increase of $285,000 in revenue associated with direct mail and other related products and services that we offer to our dealers, an increase of $140,000 in payments from third-party providers of convenience fees paid by our customers for web based and other electronic payments and an increase of $48,000 in sales tax refunds. In addition, in the prior year period, we incurred a markdown of $187,000 in the fair value of the principal balance and related debt of the Fireside portfolio.</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ind w:firstLine="324"/>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Total operating expenses were $71.2 million for the three months ended March 31, 2015, compared to $56.4 million for the prior year, an increase of $14.9 million, or 26.4%.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Employee costs increased by $3.6 million or 33.0%, to $14.5 million during the three months ended March 31, 2015, representing 20.3% of total operating expenses, from $10.9 million for the prior year, or 19.3%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March 31, 2015 and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 2015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right"/>
              <w:ind w:right="1150"/>
              <w:spacing w:after="0" w:line="195"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Contracts purchased (dollars)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233.9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(units)</w:t>
            </w: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14,688</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(dollars)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1,725.5</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(units)</w:t>
            </w: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129,657</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Originations staff</w:t>
            </w: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Marketing staff</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Servicing staff</w:t>
            </w: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other staff</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number of employees</w:t>
            </w: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$4.8 million, an increase of $1.2 million, or 34.2% compared to the previous year and represented 6.8% of total operating expenses.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for the three months ended March 31, 2015 decreased by $208,000 to $13.2 million, or 18.5% of total operating expenses, compared to $13.4 million in the previous year.</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debt on the Fireside portfolio was repaid in full in January 2015. As a result, we incurred no interest expense on that debt compared to $328,000 in the prior year period.</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on securitization trust debt increased by $1.6 million, or 16.7%, for the three months ended March 31, 2015 compared to the prior year. The average balance of securitization trust debt increased 35.9% to $1,582.9 million at March 31, 2015 compared to $1,164.5 million at March 31, 2014. However, the blended interest rates on term securitizations completed since 2012 are significantly less than the blended interest rates on securitization trust debt incurred prior to 2012. As a result, the cost of securitization debt during the three month period ended March 31, 2015 was 2.7%, compared to 3.2% in the prior 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firstLine="324"/>
        <w:spacing w:after="0" w:line="257" w:lineRule="auto"/>
        <w:rPr>
          <w:sz w:val="20"/>
          <w:szCs w:val="20"/>
          <w:color w:val="auto"/>
        </w:rPr>
      </w:pPr>
      <w:r>
        <w:rPr>
          <w:rFonts w:ascii="Arial" w:cs="Arial" w:eastAsia="Arial" w:hAnsi="Arial"/>
          <w:sz w:val="18"/>
          <w:szCs w:val="18"/>
          <w:color w:val="auto"/>
        </w:rPr>
        <w:t>Interest expense on senior secured debt was zero in the three months ended March 31, 2015 compared to $1.7 million in the prior year period. This was due to the repayment in full of senior secured debt on March 31, 2014. Interest expense on subordinated renewable notes decreased by $229,000. The decrease is due to a decrease in the average balance from $18.7 million to $15.1 million and a decrease in the average cost from 13.4% to 10.6%. Interest expense on residual interest financing decreased $156,000 in the three months ended March 31, 2015 compared to the prior year. The decrease is due to net repayments of $3.5 million during the twelve months ended March 31, 2015.</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on warehouse debt increased by $596,000 for the three months ended March 31, 2015 compared to the prior year. We increased our contract purchases to $233.9 million for the three months ended March 31, 2015 compared to $189.9 million in the prior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 March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015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1,678,610</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82,205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1,228,499</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64,304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10,884</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80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26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1,679,619</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82,359</w:t>
            </w:r>
          </w:p>
        </w:tc>
        <w:tc>
          <w:tcPr>
            <w:tcW w:w="360" w:type="dxa"/>
            <w:vAlign w:val="bottom"/>
            <w:tcBorders>
              <w:top w:val="single" w:sz="8" w:color="EEEEEE"/>
              <w:bottom w:val="single" w:sz="8" w:color="EEEEEE"/>
            </w:tcBorders>
            <w:shd w:val="clear" w:color="auto" w:fill="EEEEEE"/>
          </w:tcPr>
          <w:p>
            <w:pPr>
              <w:spacing w:after="0"/>
              <w:rPr>
                <w:sz w:val="18"/>
                <w:szCs w:val="18"/>
                <w:color w:val="auto"/>
              </w:rPr>
            </w:pPr>
          </w:p>
        </w:tc>
        <w:tc>
          <w:tcPr>
            <w:tcW w:w="1480" w:type="dxa"/>
            <w:vAlign w:val="bottom"/>
            <w:tcBorders>
              <w:top w:val="single" w:sz="8" w:color="EEEEEE"/>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1,239,383</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64,996</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320" w:type="dxa"/>
            <w:vAlign w:val="bottom"/>
            <w:gridSpan w:val="4"/>
            <w:shd w:val="clear" w:color="auto" w:fill="EEEEEE"/>
          </w:tcPr>
          <w:p>
            <w:pPr>
              <w:jc w:val="center"/>
              <w:ind w:right="160"/>
              <w:spacing w:after="0" w:line="176" w:lineRule="exact"/>
              <w:rPr>
                <w:sz w:val="20"/>
                <w:szCs w:val="20"/>
                <w:color w:val="auto"/>
              </w:rPr>
            </w:pPr>
            <w:r>
              <w:rPr>
                <w:rFonts w:ascii="Arial" w:cs="Arial" w:eastAsia="Arial" w:hAnsi="Arial"/>
                <w:sz w:val="18"/>
                <w:szCs w:val="18"/>
                <w:b w:val="1"/>
                <w:bCs w:val="1"/>
                <w:color w:val="auto"/>
                <w:w w:val="91"/>
              </w:rPr>
              <w:t>Interest Bearing Liabilities</w:t>
            </w:r>
            <w:r>
              <w:rPr>
                <w:rFonts w:ascii="Arial" w:cs="Arial" w:eastAsia="Arial" w:hAnsi="Arial"/>
                <w:sz w:val="18"/>
                <w:szCs w:val="18"/>
                <w:color w:val="FFFFFF"/>
                <w:w w:val="91"/>
              </w:rPr>
              <w:t>$</w:t>
            </w:r>
          </w:p>
        </w:tc>
        <w:tc>
          <w:tcPr>
            <w:tcW w:w="1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60" w:type="dxa"/>
            <w:vAlign w:val="bottom"/>
            <w:tcBorders>
              <w:top w:val="single" w:sz="8" w:color="auto"/>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63,626</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1,473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22,338</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12,191</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423</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16,778</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10,099</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1,582,934</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10,876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1,164,468</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9,316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28,412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15,126</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18,742</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1,673,877</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13,173</w:t>
            </w:r>
          </w:p>
        </w:tc>
        <w:tc>
          <w:tcPr>
            <w:tcW w:w="1480" w:type="dxa"/>
            <w:vAlign w:val="bottom"/>
            <w:gridSpan w:val="2"/>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1,260,837</w:t>
            </w:r>
          </w:p>
        </w:tc>
        <w:tc>
          <w:tcPr>
            <w:tcW w:w="3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13,381</w:t>
            </w:r>
          </w:p>
        </w:tc>
        <w:tc>
          <w:tcPr>
            <w:tcW w:w="12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800" w:type="dxa"/>
            <w:vAlign w:val="bottom"/>
            <w:tcBorders>
              <w:top w:val="single" w:sz="8" w:color="EEEEEE"/>
            </w:tcBorders>
            <w:shd w:val="clear" w:color="auto" w:fill="EEEEEE"/>
          </w:tcPr>
          <w:p>
            <w:pPr>
              <w:spacing w:after="0"/>
              <w:rPr>
                <w:sz w:val="17"/>
                <w:szCs w:val="17"/>
                <w:color w:val="auto"/>
              </w:rPr>
            </w:pPr>
          </w:p>
        </w:tc>
        <w:tc>
          <w:tcPr>
            <w:tcW w:w="6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69,186</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51,615</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6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6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480" w:type="dxa"/>
            <w:vAlign w:val="bottom"/>
            <w:tcBorders>
              <w:top w:val="single" w:sz="8" w:color="EEEEEE"/>
            </w:tcBorders>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16.5%</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-2014855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gridSpan w:val="7"/>
          </w:tcPr>
          <w:p>
            <w:pPr>
              <w:jc w:val="center"/>
              <w:ind w:left="890"/>
              <w:spacing w:after="0"/>
              <w:rPr>
                <w:sz w:val="20"/>
                <w:szCs w:val="20"/>
                <w:color w:val="auto"/>
              </w:rPr>
            </w:pPr>
            <w:r>
              <w:rPr>
                <w:rFonts w:ascii="Arial" w:cs="Arial" w:eastAsia="Arial" w:hAnsi="Arial"/>
                <w:sz w:val="18"/>
                <w:szCs w:val="18"/>
                <w:b w:val="1"/>
                <w:bCs w:val="1"/>
                <w:color w:val="auto"/>
                <w:w w:val="92"/>
              </w:rPr>
              <w:t>Three Months Ended March 31, 2015</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Compared to March 31, 2014</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87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76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60" w:type="dxa"/>
            <w:vAlign w:val="bottom"/>
            <w:gridSpan w:val="4"/>
            <w:vMerge w:val="restart"/>
          </w:tcPr>
          <w:p>
            <w:pPr>
              <w:jc w:val="center"/>
              <w:ind w:right="1000"/>
              <w:spacing w:after="0"/>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17,901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23,560</w:t>
            </w:r>
          </w:p>
        </w:tc>
        <w:tc>
          <w:tcPr>
            <w:tcW w:w="32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17,363</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22,932</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gridSpan w:val="5"/>
          </w:tcPr>
          <w:p>
            <w:pPr>
              <w:jc w:val="center"/>
              <w:ind w:left="6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1,621</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(1,651)</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2,710</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17,571</w:t>
            </w:r>
          </w:p>
        </w:tc>
        <w:tc>
          <w:tcPr>
            <w:tcW w:w="3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20,222</w:t>
            </w:r>
          </w:p>
        </w:tc>
        <w:tc>
          <w:tcPr>
            <w:tcW w:w="320" w:type="dxa"/>
            <w:vAlign w:val="bottom"/>
            <w:tcBorders>
              <w:bottom w:val="single" w:sz="8" w:color="EEEEEE"/>
            </w:tcBorders>
            <w:shd w:val="clear" w:color="auto" w:fill="EEEEEE"/>
          </w:tcPr>
          <w:p>
            <w:pPr>
              <w:spacing w:after="0"/>
              <w:rPr>
                <w:sz w:val="19"/>
                <w:szCs w:val="19"/>
                <w:color w:val="auto"/>
              </w:rPr>
            </w:pPr>
          </w:p>
        </w:tc>
        <w:tc>
          <w:tcPr>
            <w:tcW w:w="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March 31, 2015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Provision for credit losses was $33.4 million for the three months ended March 31, 2015, an increase of $9.6 million, or 40.0% compared to the prior year and represented 46.9%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$358,000, or 9.3%, to $4.2 million during the three months ended March 31, 2015, compared to $3.8 million in the prior year period, and represented 5.9% of total operating expenses. For the three months ended March 31, 2015, we purchased 14,688 contracts representing $233.9 million in receivables compared to 12,854 contracts representing $189.9 million in receivables in the prior year.</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Occupancy expenses increased by $266,000 or 38.8%, to $954,000 compared to $688,000 in the previous year and represented 1.3% of total operating expenses. The increase is primarily due to the establishment in April 2014 of our Nevada branch.</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expenses increased by $54,000 or 57.4%, to $148,000 compared to $94,000 in the previous year and represented 0.2% of total operating expenses.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2015, we recorded income tax expense of $6.4 million, representing a 43.5% effective income tax rate. In the prior year period, we recorded $5.1 million in income tax expense, representing a 43.0% effective income tax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0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2015</w:t>
            </w: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2014</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2014</w:t>
            </w:r>
          </w:p>
        </w:tc>
      </w:tr>
      <w:tr>
        <w:trPr>
          <w:trHeight w:val="205"/>
        </w:trPr>
        <w:tc>
          <w:tcPr>
            <w:tcW w:w="274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7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125,874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1,683,639</w:t>
            </w: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99,719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1,284,243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123,033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1,641,807</w:t>
            </w: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38,165</w:t>
            </w:r>
          </w:p>
        </w:tc>
        <w:tc>
          <w:tcPr>
            <w:tcW w:w="1160" w:type="dxa"/>
            <w:vAlign w:val="bottom"/>
          </w:tcPr>
          <w:p>
            <w:pPr>
              <w:jc w:val="right"/>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27,009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42,823</w:t>
            </w:r>
          </w:p>
        </w:tc>
      </w:tr>
      <w:tr>
        <w:trPr>
          <w:trHeight w:val="216"/>
        </w:trPr>
        <w:tc>
          <w:tcPr>
            <w:tcW w:w="2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23,230</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19,255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23,334</w:t>
            </w:r>
          </w:p>
        </w:tc>
      </w:tr>
      <w:tr>
        <w:trPr>
          <w:trHeight w:val="216"/>
        </w:trPr>
        <w:tc>
          <w:tcPr>
            <w:tcW w:w="2740" w:type="dxa"/>
            <w:vAlign w:val="bottom"/>
          </w:tcPr>
          <w:p>
            <w:pPr>
              <w:ind w:left="20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2,427</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31,920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6,699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23,239</w:t>
            </w: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7,254</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93,315</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52,963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7,274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89,396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2,251</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21,971</w:t>
            </w:r>
          </w:p>
        </w:tc>
        <w:tc>
          <w:tcPr>
            <w:tcW w:w="1160" w:type="dxa"/>
            <w:vAlign w:val="bottom"/>
          </w:tcPr>
          <w:p>
            <w:pPr>
              <w:jc w:val="right"/>
              <w:spacing w:after="0"/>
              <w:rPr>
                <w:sz w:val="20"/>
                <w:szCs w:val="20"/>
                <w:color w:val="auto"/>
              </w:rPr>
            </w:pPr>
            <w:r>
              <w:rPr>
                <w:rFonts w:ascii="Arial" w:cs="Arial" w:eastAsia="Arial" w:hAnsi="Arial"/>
                <w:sz w:val="18"/>
                <w:szCs w:val="18"/>
                <w:color w:val="auto"/>
              </w:rPr>
              <w:t>3,518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28,043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28,249</w:t>
            </w:r>
          </w:p>
        </w:tc>
      </w:tr>
      <w:tr>
        <w:trPr>
          <w:trHeight w:val="182"/>
        </w:trPr>
        <w:tc>
          <w:tcPr>
            <w:tcW w:w="27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9"/>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r>
      <w:tr>
        <w:trPr>
          <w:trHeight w:val="257"/>
        </w:trPr>
        <w:tc>
          <w:tcPr>
            <w:tcW w:w="2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9,505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115,286</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8,027</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81,006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9,938</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117,645</w:t>
            </w:r>
          </w:p>
        </w:tc>
      </w:tr>
      <w:tr>
        <w:trPr>
          <w:trHeight w:val="20"/>
        </w:trPr>
        <w:tc>
          <w:tcPr>
            <w:tcW w:w="274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ind w:left="200" w:right="100" w:hanging="197"/>
        <w:spacing w:after="0" w:line="308" w:lineRule="auto"/>
        <w:rPr>
          <w:sz w:val="20"/>
          <w:szCs w:val="20"/>
          <w:color w:val="auto"/>
        </w:rPr>
      </w:pPr>
      <w:r>
        <w:rPr>
          <w:rFonts w:ascii="Arial" w:cs="Arial" w:eastAsia="Arial" w:hAnsi="Arial"/>
          <w:sz w:val="17"/>
          <w:szCs w:val="17"/>
          <w:color w:val="auto"/>
        </w:rPr>
        <w:t>Delinquencies as a percentage of gross servicing portfolio</w:t>
      </w:r>
    </w:p>
    <w:p>
      <w:pPr>
        <w:spacing w:after="0" w:line="187" w:lineRule="exact"/>
        <w:rPr>
          <w:sz w:val="20"/>
          <w:szCs w:val="20"/>
          <w:color w:val="auto"/>
        </w:rPr>
      </w:pPr>
    </w:p>
    <w:p>
      <w:pPr>
        <w:jc w:val="both"/>
        <w:ind w:left="200" w:hanging="197"/>
        <w:spacing w:after="0" w:line="312" w:lineRule="auto"/>
        <w:rPr>
          <w:sz w:val="20"/>
          <w:szCs w:val="20"/>
          <w:color w:val="auto"/>
        </w:rPr>
      </w:pPr>
      <w:r>
        <w:rPr>
          <w:rFonts w:ascii="Arial" w:cs="Arial" w:eastAsia="Arial" w:hAnsi="Arial"/>
          <w:sz w:val="16"/>
          <w:szCs w:val="16"/>
          <w:color w:val="auto"/>
        </w:rPr>
        <w:t>Total delinquencies and amount in repossession as a percentage of gross servicing portfolio</w:t>
      </w:r>
    </w:p>
    <w:p>
      <w:pPr>
        <w:spacing w:after="0" w:line="18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i w:val="1"/>
          <w:iCs w:val="1"/>
          <w:color w:val="auto"/>
        </w:rPr>
        <w:t xml:space="preserve">Extension Experience </w:t>
      </w:r>
      <w:r>
        <w:rPr>
          <w:rFonts w:ascii="Arial" w:cs="Arial" w:eastAsia="Arial" w:hAnsi="Arial"/>
          <w:sz w:val="16"/>
          <w:szCs w:val="16"/>
          <w:color w:val="auto"/>
        </w:rPr>
        <w:t>Contracts with one extension,</w:t>
      </w:r>
    </w:p>
    <w:p>
      <w:pPr>
        <w:ind w:left="200"/>
        <w:spacing w:after="0"/>
        <w:rPr>
          <w:sz w:val="20"/>
          <w:szCs w:val="20"/>
          <w:color w:val="auto"/>
        </w:rPr>
      </w:pPr>
      <w:r>
        <w:rPr>
          <w:rFonts w:ascii="Arial" w:cs="Arial" w:eastAsia="Arial" w:hAnsi="Arial"/>
          <w:sz w:val="18"/>
          <w:szCs w:val="18"/>
          <w:color w:val="auto"/>
        </w:rPr>
        <w:t>accruing (4)</w:t>
      </w:r>
    </w:p>
    <w:p>
      <w:pPr>
        <w:spacing w:after="0" w:line="35" w:lineRule="exact"/>
        <w:rPr>
          <w:sz w:val="20"/>
          <w:szCs w:val="20"/>
          <w:color w:val="auto"/>
        </w:rPr>
      </w:pPr>
    </w:p>
    <w:p>
      <w:pPr>
        <w:jc w:val="right"/>
        <w:ind w:right="500"/>
        <w:spacing w:after="0" w:line="342" w:lineRule="auto"/>
        <w:rPr>
          <w:sz w:val="20"/>
          <w:szCs w:val="20"/>
          <w:color w:val="auto"/>
        </w:rPr>
      </w:pPr>
      <w:r>
        <w:rPr>
          <w:rFonts w:ascii="Arial" w:cs="Arial" w:eastAsia="Arial" w:hAnsi="Arial"/>
          <w:sz w:val="16"/>
          <w:szCs w:val="16"/>
          <w:color w:val="auto"/>
        </w:rPr>
        <w:t>Contracts with two or more extensions, accruing (4)</w:t>
      </w:r>
    </w:p>
    <w:p>
      <w:pPr>
        <w:spacing w:after="0" w:line="151" w:lineRule="exact"/>
        <w:rPr>
          <w:sz w:val="20"/>
          <w:szCs w:val="20"/>
          <w:color w:val="auto"/>
        </w:rPr>
      </w:pPr>
    </w:p>
    <w:p>
      <w:pPr>
        <w:ind w:left="200" w:right="340" w:hanging="197"/>
        <w:spacing w:after="0" w:line="308" w:lineRule="auto"/>
        <w:rPr>
          <w:sz w:val="20"/>
          <w:szCs w:val="20"/>
          <w:color w:val="auto"/>
        </w:rPr>
      </w:pPr>
      <w:r>
        <w:rPr>
          <w:rFonts w:ascii="Arial" w:cs="Arial" w:eastAsia="Arial" w:hAnsi="Arial"/>
          <w:sz w:val="16"/>
          <w:szCs w:val="16"/>
          <w:color w:val="auto"/>
        </w:rPr>
        <w:t>Contracts with one extension, non-accrual (4)</w:t>
      </w:r>
    </w:p>
    <w:p>
      <w:pPr>
        <w:ind w:left="200" w:right="320" w:hanging="197"/>
        <w:spacing w:after="0" w:line="311" w:lineRule="auto"/>
        <w:rPr>
          <w:sz w:val="20"/>
          <w:szCs w:val="20"/>
          <w:color w:val="auto"/>
        </w:rPr>
      </w:pPr>
      <w:r>
        <w:rPr>
          <w:rFonts w:ascii="Arial" w:cs="Arial" w:eastAsia="Arial" w:hAnsi="Arial"/>
          <w:sz w:val="16"/>
          <w:szCs w:val="16"/>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19,860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259,381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14,801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193,375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18,165</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238,267</w:t>
            </w:r>
          </w:p>
        </w:tc>
      </w:tr>
      <w:tr>
        <w:trPr>
          <w:trHeight w:val="446"/>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9,258</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118,808</w:t>
            </w:r>
          </w:p>
        </w:tc>
        <w:tc>
          <w:tcPr>
            <w:tcW w:w="1160" w:type="dxa"/>
            <w:vAlign w:val="bottom"/>
          </w:tcPr>
          <w:p>
            <w:pPr>
              <w:jc w:val="right"/>
              <w:spacing w:after="0"/>
              <w:rPr>
                <w:sz w:val="20"/>
                <w:szCs w:val="20"/>
                <w:color w:val="auto"/>
              </w:rPr>
            </w:pPr>
            <w:r>
              <w:rPr>
                <w:rFonts w:ascii="Arial" w:cs="Arial" w:eastAsia="Arial" w:hAnsi="Arial"/>
                <w:sz w:val="18"/>
                <w:szCs w:val="18"/>
                <w:color w:val="auto"/>
              </w:rPr>
              <w:t>5,295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49,428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7,537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93,220</w:t>
            </w: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29,118</w:t>
            </w: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378,189</w:t>
            </w:r>
          </w:p>
        </w:tc>
        <w:tc>
          <w:tcPr>
            <w:tcW w:w="3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20,096</w:t>
            </w: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242,803</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331,487</w:t>
            </w:r>
          </w:p>
        </w:tc>
      </w:tr>
      <w:tr>
        <w:trPr>
          <w:trHeight w:val="458"/>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1,068</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13,202</w:t>
            </w:r>
          </w:p>
        </w:tc>
        <w:tc>
          <w:tcPr>
            <w:tcW w:w="1160" w:type="dxa"/>
            <w:vAlign w:val="bottom"/>
          </w:tcPr>
          <w:p>
            <w:pPr>
              <w:jc w:val="right"/>
              <w:spacing w:after="0"/>
              <w:rPr>
                <w:sz w:val="20"/>
                <w:szCs w:val="20"/>
                <w:color w:val="auto"/>
              </w:rPr>
            </w:pPr>
            <w:r>
              <w:rPr>
                <w:rFonts w:ascii="Arial" w:cs="Arial" w:eastAsia="Arial" w:hAnsi="Arial"/>
                <w:sz w:val="18"/>
                <w:szCs w:val="18"/>
                <w:color w:val="auto"/>
              </w:rPr>
              <w:t>1,048</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8,972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14,701</w:t>
            </w:r>
          </w:p>
        </w:tc>
      </w:tr>
      <w:tr>
        <w:trPr>
          <w:trHeight w:val="444"/>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6,546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2,891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-2459355</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-2021840</wp:posOffset>
            </wp:positionV>
            <wp:extent cx="7246620" cy="43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-1447165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-1010285</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-581025</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480" w:space="260"/>
            <w:col w:w="86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720" w:type="dxa"/>
            <w:vAlign w:val="bottom"/>
            <w:shd w:val="clear" w:color="auto" w:fill="EEEEEE"/>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shd w:val="clear" w:color="auto" w:fill="EEEEEE"/>
          </w:tcPr>
          <w:p>
            <w:pPr>
              <w:spacing w:after="0"/>
              <w:rPr>
                <w:sz w:val="16"/>
                <w:szCs w:val="16"/>
                <w:color w:val="auto"/>
              </w:rPr>
            </w:pPr>
          </w:p>
        </w:tc>
        <w:tc>
          <w:tcPr>
            <w:tcW w:w="118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1,676</w:t>
            </w:r>
          </w:p>
        </w:tc>
        <w:tc>
          <w:tcPr>
            <w:tcW w:w="3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19,748</w:t>
            </w:r>
          </w:p>
        </w:tc>
        <w:tc>
          <w:tcPr>
            <w:tcW w:w="1420" w:type="dxa"/>
            <w:vAlign w:val="bottom"/>
            <w:gridSpan w:val="2"/>
            <w:shd w:val="clear" w:color="auto" w:fill="EEEEEE"/>
          </w:tcPr>
          <w:p>
            <w:pPr>
              <w:jc w:val="right"/>
              <w:spacing w:after="0" w:line="192" w:lineRule="exact"/>
              <w:rPr>
                <w:sz w:val="20"/>
                <w:szCs w:val="20"/>
                <w:color w:val="auto"/>
              </w:rPr>
            </w:pPr>
            <w:r>
              <w:rPr>
                <w:rFonts w:ascii="Arial" w:cs="Arial" w:eastAsia="Arial" w:hAnsi="Arial"/>
                <w:sz w:val="18"/>
                <w:szCs w:val="18"/>
                <w:color w:val="auto"/>
              </w:rPr>
              <w:t>1,579</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11,863</w:t>
            </w:r>
          </w:p>
        </w:tc>
        <w:tc>
          <w:tcPr>
            <w:tcW w:w="146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1,862</w:t>
            </w:r>
          </w:p>
        </w:tc>
        <w:tc>
          <w:tcPr>
            <w:tcW w:w="32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21,169</w:t>
            </w:r>
          </w:p>
        </w:tc>
      </w:tr>
      <w:tr>
        <w:trPr>
          <w:trHeight w:val="230"/>
        </w:trPr>
        <w:tc>
          <w:tcPr>
            <w:tcW w:w="20" w:type="dxa"/>
            <w:vAlign w:val="bottom"/>
          </w:tcPr>
          <w:p>
            <w:pPr>
              <w:spacing w:after="0"/>
              <w:rPr>
                <w:sz w:val="19"/>
                <w:szCs w:val="19"/>
                <w:color w:val="auto"/>
              </w:rPr>
            </w:pPr>
          </w:p>
        </w:tc>
        <w:tc>
          <w:tcPr>
            <w:tcW w:w="2720" w:type="dxa"/>
            <w:vAlign w:val="bottom"/>
            <w:tcBorders>
              <w:bottom w:val="single" w:sz="8" w:color="EEEEEE"/>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30,794</w:t>
            </w:r>
          </w:p>
        </w:tc>
        <w:tc>
          <w:tcPr>
            <w:tcW w:w="3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397,937</w:t>
            </w:r>
          </w:p>
        </w:tc>
        <w:tc>
          <w:tcPr>
            <w:tcW w:w="10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21,675</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254,666</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27,564</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352,656</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2015</w:t>
            </w: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2014</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8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416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743</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3,321</w:t>
            </w:r>
          </w:p>
        </w:tc>
        <w:tc>
          <w:tcPr>
            <w:tcW w:w="3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9,122</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911</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Gross servicing portfolio (1)</w:t>
            </w:r>
          </w:p>
        </w:tc>
        <w:tc>
          <w:tcPr>
            <w:tcW w:w="13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31-60 days</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61-90 days</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91+ days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4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Amount in repossession (3)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7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9"/>
              </w:rPr>
              <w:t>Total delinquencies and amount in</w:t>
            </w:r>
          </w:p>
        </w:tc>
        <w:tc>
          <w:tcPr>
            <w:tcW w:w="14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repossession (2)</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212</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7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ind w:left="200" w:right="100" w:hanging="197"/>
        <w:spacing w:after="0" w:line="308" w:lineRule="auto"/>
        <w:rPr>
          <w:sz w:val="20"/>
          <w:szCs w:val="20"/>
          <w:color w:val="auto"/>
        </w:rPr>
      </w:pPr>
      <w:r>
        <w:rPr>
          <w:rFonts w:ascii="Arial" w:cs="Arial" w:eastAsia="Arial" w:hAnsi="Arial"/>
          <w:sz w:val="17"/>
          <w:szCs w:val="17"/>
          <w:color w:val="auto"/>
        </w:rPr>
        <w:t>Delinquencies as a percentage of gross servicing portfolio</w:t>
      </w:r>
    </w:p>
    <w:p>
      <w:pPr>
        <w:spacing w:after="0" w:line="187" w:lineRule="exact"/>
        <w:rPr>
          <w:sz w:val="20"/>
          <w:szCs w:val="20"/>
          <w:color w:val="auto"/>
        </w:rPr>
      </w:pPr>
    </w:p>
    <w:p>
      <w:pPr>
        <w:jc w:val="both"/>
        <w:ind w:left="200" w:hanging="197"/>
        <w:spacing w:after="0" w:line="312" w:lineRule="auto"/>
        <w:rPr>
          <w:sz w:val="20"/>
          <w:szCs w:val="20"/>
          <w:color w:val="auto"/>
        </w:rPr>
      </w:pPr>
      <w:r>
        <w:rPr>
          <w:rFonts w:ascii="Arial" w:cs="Arial" w:eastAsia="Arial" w:hAnsi="Arial"/>
          <w:sz w:val="16"/>
          <w:szCs w:val="16"/>
          <w:color w:val="auto"/>
        </w:rPr>
        <w:t>Total delinquencies and amount in repossession as a percentage of gross servicing portfolio</w:t>
      </w:r>
    </w:p>
    <w:p>
      <w:pPr>
        <w:spacing w:after="0" w:line="18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i w:val="1"/>
          <w:iCs w:val="1"/>
          <w:color w:val="auto"/>
        </w:rPr>
        <w:t xml:space="preserve">Extension Experience </w:t>
      </w:r>
      <w:r>
        <w:rPr>
          <w:rFonts w:ascii="Arial" w:cs="Arial" w:eastAsia="Arial" w:hAnsi="Arial"/>
          <w:sz w:val="16"/>
          <w:szCs w:val="16"/>
          <w:color w:val="auto"/>
        </w:rPr>
        <w:t>Contracts with one extension,</w:t>
      </w:r>
    </w:p>
    <w:p>
      <w:pPr>
        <w:ind w:left="200"/>
        <w:spacing w:after="0"/>
        <w:rPr>
          <w:sz w:val="20"/>
          <w:szCs w:val="20"/>
          <w:color w:val="auto"/>
        </w:rPr>
      </w:pPr>
      <w:r>
        <w:rPr>
          <w:rFonts w:ascii="Arial" w:cs="Arial" w:eastAsia="Arial" w:hAnsi="Arial"/>
          <w:sz w:val="18"/>
          <w:szCs w:val="18"/>
          <w:color w:val="auto"/>
        </w:rPr>
        <w:t>accruing (4)</w:t>
      </w:r>
    </w:p>
    <w:p>
      <w:pPr>
        <w:spacing w:after="0" w:line="35" w:lineRule="exact"/>
        <w:rPr>
          <w:sz w:val="20"/>
          <w:szCs w:val="20"/>
          <w:color w:val="auto"/>
        </w:rPr>
      </w:pPr>
    </w:p>
    <w:p>
      <w:pPr>
        <w:jc w:val="right"/>
        <w:ind w:right="500"/>
        <w:spacing w:after="0" w:line="342" w:lineRule="auto"/>
        <w:rPr>
          <w:sz w:val="20"/>
          <w:szCs w:val="20"/>
          <w:color w:val="auto"/>
        </w:rPr>
      </w:pPr>
      <w:r>
        <w:rPr>
          <w:rFonts w:ascii="Arial" w:cs="Arial" w:eastAsia="Arial" w:hAnsi="Arial"/>
          <w:sz w:val="16"/>
          <w:szCs w:val="16"/>
          <w:color w:val="auto"/>
        </w:rPr>
        <w:t>Contracts with two or more extensions, accruing (4)</w:t>
      </w:r>
    </w:p>
    <w:p>
      <w:pPr>
        <w:spacing w:after="0" w:line="394" w:lineRule="exact"/>
        <w:rPr>
          <w:sz w:val="20"/>
          <w:szCs w:val="20"/>
          <w:color w:val="auto"/>
        </w:rPr>
      </w:pPr>
    </w:p>
    <w:p>
      <w:pPr>
        <w:ind w:left="200" w:right="340" w:hanging="197"/>
        <w:spacing w:after="0" w:line="308" w:lineRule="auto"/>
        <w:rPr>
          <w:sz w:val="20"/>
          <w:szCs w:val="20"/>
          <w:color w:val="auto"/>
        </w:rPr>
      </w:pPr>
      <w:r>
        <w:rPr>
          <w:rFonts w:ascii="Arial" w:cs="Arial" w:eastAsia="Arial" w:hAnsi="Arial"/>
          <w:sz w:val="16"/>
          <w:szCs w:val="16"/>
          <w:color w:val="auto"/>
        </w:rPr>
        <w:t>Contracts with one extension, non-accrual (4)</w:t>
      </w:r>
    </w:p>
    <w:p>
      <w:pPr>
        <w:ind w:left="200" w:right="320" w:hanging="197"/>
        <w:spacing w:after="0" w:line="330" w:lineRule="auto"/>
        <w:rPr>
          <w:sz w:val="20"/>
          <w:szCs w:val="20"/>
          <w:color w:val="auto"/>
        </w:rPr>
      </w:pPr>
      <w:r>
        <w:rPr>
          <w:rFonts w:ascii="Arial" w:cs="Arial" w:eastAsia="Arial" w:hAnsi="Arial"/>
          <w:sz w:val="16"/>
          <w:szCs w:val="16"/>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30.4%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905"/>
        </w:trPr>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886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473"/>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439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3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r>
      <w:tr>
        <w:trPr>
          <w:trHeight w:val="674"/>
        </w:trPr>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73"/>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-2632075</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-2194560</wp:posOffset>
            </wp:positionV>
            <wp:extent cx="724662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-1619885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-1183005</wp:posOffset>
            </wp:positionV>
            <wp:extent cx="7246620"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-736600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-299720</wp:posOffset>
            </wp:positionV>
            <wp:extent cx="724662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480" w:space="260"/>
            <w:col w:w="86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18</w:t>
            </w:r>
          </w:p>
        </w:tc>
        <w:tc>
          <w:tcPr>
            <w:tcW w:w="3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48</w:t>
            </w:r>
          </w:p>
        </w:tc>
        <w:tc>
          <w:tcPr>
            <w:tcW w:w="36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120</w:t>
            </w:r>
          </w:p>
        </w:tc>
        <w:tc>
          <w:tcPr>
            <w:tcW w:w="3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20"/>
              <w:spacing w:after="0" w:line="191"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6"/>
                <w:szCs w:val="16"/>
                <w:color w:val="auto"/>
              </w:rPr>
            </w:pPr>
          </w:p>
        </w:tc>
      </w:tr>
      <w:tr>
        <w:trPr>
          <w:trHeight w:val="230"/>
        </w:trPr>
        <w:tc>
          <w:tcPr>
            <w:tcW w:w="274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66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spacing w:after="0"/>
              <w:rPr>
                <w:sz w:val="19"/>
                <w:szCs w:val="19"/>
                <w:color w:val="auto"/>
              </w:rPr>
            </w:pPr>
          </w:p>
        </w:tc>
        <w:tc>
          <w:tcPr>
            <w:tcW w:w="7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74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45"/>
        </w:trPr>
        <w:tc>
          <w:tcPr>
            <w:tcW w:w="2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2015</w:t>
            </w:r>
          </w:p>
        </w:tc>
        <w:tc>
          <w:tcPr>
            <w:tcW w:w="272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2014</w:t>
            </w:r>
          </w:p>
        </w:tc>
        <w:tc>
          <w:tcPr>
            <w:tcW w:w="220" w:type="dxa"/>
            <w:vAlign w:val="bottom"/>
          </w:tcPr>
          <w:p>
            <w:pPr>
              <w:spacing w:after="0"/>
              <w:rPr>
                <w:sz w:val="20"/>
                <w:szCs w:val="20"/>
                <w:color w:val="auto"/>
              </w:rPr>
            </w:pP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123,944</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126,290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1,684,382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103,040</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1,293,365</w:t>
            </w:r>
          </w:p>
        </w:tc>
        <w:tc>
          <w:tcPr>
            <w:tcW w:w="152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2,792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38,274</w:t>
            </w:r>
          </w:p>
        </w:tc>
        <w:tc>
          <w:tcPr>
            <w:tcW w:w="1160" w:type="dxa"/>
            <w:vAlign w:val="bottom"/>
          </w:tcPr>
          <w:p>
            <w:pPr>
              <w:jc w:val="right"/>
              <w:spacing w:after="0"/>
              <w:rPr>
                <w:sz w:val="20"/>
                <w:szCs w:val="20"/>
                <w:color w:val="auto"/>
              </w:rPr>
            </w:pPr>
            <w:r>
              <w:rPr>
                <w:rFonts w:ascii="Arial" w:cs="Arial" w:eastAsia="Arial" w:hAnsi="Arial"/>
                <w:sz w:val="18"/>
                <w:szCs w:val="18"/>
                <w:color w:val="auto"/>
              </w:rPr>
              <w:t>2,533</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27,516</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3,684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2,141</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23,295</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1,590</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19,472</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31,950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6,753</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1,935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7,376</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93,519</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4,855</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53,741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7,485</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89,793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2,256</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21,993</w:t>
            </w:r>
          </w:p>
        </w:tc>
        <w:tc>
          <w:tcPr>
            <w:tcW w:w="1160" w:type="dxa"/>
            <w:vAlign w:val="bottom"/>
          </w:tcPr>
          <w:p>
            <w:pPr>
              <w:jc w:val="right"/>
              <w:spacing w:after="0"/>
              <w:rPr>
                <w:sz w:val="20"/>
                <w:szCs w:val="20"/>
                <w:color w:val="auto"/>
              </w:rPr>
            </w:pPr>
            <w:r>
              <w:rPr>
                <w:rFonts w:ascii="Arial" w:cs="Arial" w:eastAsia="Arial" w:hAnsi="Arial"/>
                <w:sz w:val="18"/>
                <w:szCs w:val="18"/>
                <w:color w:val="auto"/>
              </w:rPr>
              <w:t>3,543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28,161</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2,665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9,632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115,512</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8,398</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81,902</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10,150</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19,958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259,523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15,687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195,879</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18,377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238,643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9,438</w:t>
            </w: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119,247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5,917</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51,762</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7,840</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378,770</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21,604</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13,224</w:t>
            </w:r>
          </w:p>
        </w:tc>
        <w:tc>
          <w:tcPr>
            <w:tcW w:w="1160" w:type="dxa"/>
            <w:vAlign w:val="bottom"/>
          </w:tcPr>
          <w:p>
            <w:pPr>
              <w:jc w:val="right"/>
              <w:spacing w:after="0"/>
              <w:rPr>
                <w:sz w:val="20"/>
                <w:szCs w:val="20"/>
                <w:color w:val="auto"/>
              </w:rPr>
            </w:pPr>
            <w:r>
              <w:rPr>
                <w:rFonts w:ascii="Arial" w:cs="Arial" w:eastAsia="Arial" w:hAnsi="Arial"/>
                <w:sz w:val="18"/>
                <w:szCs w:val="18"/>
                <w:color w:val="auto"/>
              </w:rPr>
              <w:t>1,072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9,045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6,572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2,938</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19,796</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31,090</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398,566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23,224</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259,624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0</wp:posOffset>
            </wp:positionV>
            <wp:extent cx="5436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-130175</wp:posOffset>
            </wp:positionV>
            <wp:extent cx="5436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3" w:lineRule="exact"/>
        <w:rPr>
          <w:sz w:val="20"/>
          <w:szCs w:val="20"/>
          <w:color w:val="auto"/>
        </w:rPr>
      </w:pPr>
    </w:p>
    <w:p>
      <w:pPr>
        <w:jc w:val="both"/>
        <w:ind w:firstLine="8"/>
        <w:spacing w:after="0" w:line="250" w:lineRule="auto"/>
        <w:tabs>
          <w:tab w:leader="none" w:pos="27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7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19"/>
                <w:szCs w:val="19"/>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2015</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1,703,250</w:t>
            </w:r>
          </w:p>
        </w:tc>
        <w:tc>
          <w:tcPr>
            <w:tcW w:w="4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1,261,757</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1,415,667</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400"/>
        </w:trPr>
        <w:tc>
          <w:tcPr>
            <w:tcW w:w="7580" w:type="dxa"/>
            <w:vAlign w:val="bottom"/>
            <w:gridSpan w:val="4"/>
          </w:tcPr>
          <w:p>
            <w:pPr>
              <w:ind w:left="4480"/>
              <w:spacing w:after="0"/>
              <w:rPr>
                <w:sz w:val="20"/>
                <w:szCs w:val="20"/>
                <w:color w:val="auto"/>
              </w:rPr>
            </w:pPr>
            <w:r>
              <w:rPr>
                <w:rFonts w:ascii="Arial" w:cs="Arial" w:eastAsia="Arial" w:hAnsi="Arial"/>
                <w:sz w:val="18"/>
                <w:szCs w:val="18"/>
                <w:b w:val="1"/>
                <w:bCs w:val="1"/>
                <w:color w:val="auto"/>
              </w:rPr>
              <w:t>Net Charge-Off Experience (1)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50"/>
              <w:spacing w:after="0"/>
              <w:rPr>
                <w:sz w:val="20"/>
                <w:szCs w:val="20"/>
                <w:color w:val="auto"/>
              </w:rPr>
            </w:pPr>
            <w:r>
              <w:rPr>
                <w:rFonts w:ascii="Arial" w:cs="Arial" w:eastAsia="Arial" w:hAnsi="Arial"/>
                <w:sz w:val="18"/>
                <w:szCs w:val="18"/>
                <w:b w:val="1"/>
                <w:bCs w:val="1"/>
                <w:color w:val="auto"/>
                <w:w w:val="90"/>
              </w:rPr>
              <w:t>Fireside Portfolio</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24"/>
                <w:szCs w:val="24"/>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2015</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1,009</w:t>
            </w:r>
          </w:p>
        </w:tc>
        <w:tc>
          <w:tcPr>
            <w:tcW w:w="48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10,889</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5,919</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400"/>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2"/>
              </w:rPr>
              <w:t>Net Charge-Off Experience (1)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24"/>
                <w:szCs w:val="24"/>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2015</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1,704,259</w:t>
            </w:r>
          </w:p>
        </w:tc>
        <w:tc>
          <w:tcPr>
            <w:tcW w:w="4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1,272,646</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1,421,586</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6.6%</w:t>
            </w:r>
          </w:p>
        </w:tc>
        <w:tc>
          <w:tcPr>
            <w:tcW w:w="480" w:type="dxa"/>
            <w:vAlign w:val="bottom"/>
          </w:tcPr>
          <w:p>
            <w:pPr>
              <w:spacing w:after="0"/>
              <w:rPr>
                <w:sz w:val="17"/>
                <w:szCs w:val="17"/>
                <w:color w:val="auto"/>
              </w:rPr>
            </w:pPr>
          </w:p>
        </w:tc>
        <w:tc>
          <w:tcPr>
            <w:tcW w:w="15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5.5%</w:t>
            </w:r>
          </w:p>
        </w:tc>
        <w:tc>
          <w:tcPr>
            <w:tcW w:w="320" w:type="dxa"/>
            <w:vAlign w:val="bottom"/>
          </w:tcPr>
          <w:p>
            <w:pPr>
              <w:spacing w:after="0"/>
              <w:rPr>
                <w:sz w:val="17"/>
                <w:szCs w:val="17"/>
                <w:color w:val="auto"/>
              </w:rPr>
            </w:pPr>
          </w:p>
        </w:tc>
        <w:tc>
          <w:tcPr>
            <w:tcW w:w="15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5.8%</w:t>
            </w:r>
          </w:p>
        </w:tc>
      </w:tr>
      <w:tr>
        <w:trPr>
          <w:trHeight w:val="230"/>
        </w:trPr>
        <w:tc>
          <w:tcPr>
            <w:tcW w:w="570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2015 and March 31, 2014 percentage represents three months ended March 31, 2015 and March 31, 2014 annualized. December 31, 2014 represents 12 months ended December 31, 2014.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both"/>
        <w:ind w:right="20" w:firstLine="324"/>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2015, for accounts that received extensions from 2008 through 2013 (2014 extension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 Active or</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Charged Off</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 Charged</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Charged Off</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 Charged</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Avg Months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Active or Paid</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Paid Off at</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&gt; 6 Months</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Off &gt; 6</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&lt;= 6 Months</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 &lt;= 6</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Period of</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 Extensions</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Off at March</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After</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Months After</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After</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Months After</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31, 2015</w:t>
            </w:r>
          </w:p>
        </w:tc>
        <w:tc>
          <w:tcPr>
            <w:tcW w:w="3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Extension</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Extension</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Extension</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Extension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35,588</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10,825</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30.4%</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19,944</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56.0%</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4,819</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13.5%</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32,226</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10,437</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32.4%</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16,006</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49.7%</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5,783</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26,167</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12,396</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47.4%</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11,772</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45.0%</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1,999</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18,786</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11,289</w:t>
            </w: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60.1%</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6,565</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34.9%</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932</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18,783</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12,207</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65.0%</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5,780</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30.8%</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796</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23,398</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16,766</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71.7%</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5,656</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24.2%</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976</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view these results as a confirmation of the effectiveness of our extension program. For the accounts receiving extensions in 2008, 2009, 2010, 2011, 2012 and 2013, 30.4%, 32.6%, 47.4%, 60.1%, 65.0% and 71.7%, respectively, were either paid in full or active and performing at March 31, 2015.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2012 and 2013 extensions, of the accounts that charged off, the charge off was incurred, on average, 19, 17, 19, 18, 14 and 12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4"/>
          </w:tcPr>
          <w:p>
            <w:pPr>
              <w:ind w:left="640"/>
              <w:spacing w:after="0"/>
              <w:rPr>
                <w:sz w:val="20"/>
                <w:szCs w:val="20"/>
                <w:color w:val="auto"/>
              </w:rPr>
            </w:pPr>
            <w:r>
              <w:rPr>
                <w:rFonts w:ascii="Arial" w:cs="Arial" w:eastAsia="Arial" w:hAnsi="Arial"/>
                <w:sz w:val="18"/>
                <w:szCs w:val="18"/>
                <w:color w:val="auto"/>
                <w:w w:val="90"/>
              </w:rPr>
              <w:t>Three Months Ended March 31,</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9"/>
              </w:rPr>
              <w:t>2015</w:t>
            </w:r>
          </w:p>
        </w:tc>
        <w:tc>
          <w:tcPr>
            <w:tcW w:w="1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2014</w:t>
            </w: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3,248</w:t>
            </w: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1,753</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127,986</w:t>
            </w: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101,647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20"/>
              <w:spacing w:after="0"/>
              <w:rPr>
                <w:sz w:val="20"/>
                <w:szCs w:val="20"/>
                <w:color w:val="auto"/>
              </w:rPr>
            </w:pPr>
            <w:r>
              <w:rPr>
                <w:rFonts w:ascii="Arial" w:cs="Arial" w:eastAsia="Arial" w:hAnsi="Arial"/>
                <w:sz w:val="18"/>
                <w:szCs w:val="18"/>
                <w:color w:val="auto"/>
              </w:rPr>
              <w:t>March 31, 2015</w:t>
            </w:r>
          </w:p>
        </w:tc>
        <w:tc>
          <w:tcPr>
            <w:tcW w:w="2940" w:type="dxa"/>
            <w:vAlign w:val="bottom"/>
            <w:gridSpan w:val="5"/>
          </w:tcPr>
          <w:p>
            <w:pPr>
              <w:ind w:left="740"/>
              <w:spacing w:after="0"/>
              <w:rPr>
                <w:sz w:val="20"/>
                <w:szCs w:val="20"/>
                <w:color w:val="auto"/>
              </w:rPr>
            </w:pPr>
            <w:r>
              <w:rPr>
                <w:rFonts w:ascii="Arial" w:cs="Arial" w:eastAsia="Arial" w:hAnsi="Arial"/>
                <w:sz w:val="18"/>
                <w:szCs w:val="18"/>
                <w:color w:val="auto"/>
              </w:rPr>
              <w:t>March 31, 2014</w:t>
            </w:r>
          </w:p>
        </w:tc>
        <w:tc>
          <w:tcPr>
            <w:tcW w:w="2700" w:type="dxa"/>
            <w:vAlign w:val="bottom"/>
            <w:gridSpan w:val="6"/>
          </w:tcPr>
          <w:p>
            <w:pPr>
              <w:ind w:left="580"/>
              <w:spacing w:after="0"/>
              <w:rPr>
                <w:sz w:val="20"/>
                <w:szCs w:val="20"/>
                <w:color w:val="auto"/>
              </w:rPr>
            </w:pPr>
            <w:r>
              <w:rPr>
                <w:rFonts w:ascii="Arial" w:cs="Arial" w:eastAsia="Arial" w:hAnsi="Arial"/>
                <w:sz w:val="18"/>
                <w:szCs w:val="18"/>
                <w:color w:val="auto"/>
              </w:rPr>
              <w:t>December 31, 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21,036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272,747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16,759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204,924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19,662</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7,390</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95,163</w:t>
            </w:r>
          </w:p>
        </w:tc>
        <w:tc>
          <w:tcPr>
            <w:tcW w:w="1160" w:type="dxa"/>
            <w:vAlign w:val="bottom"/>
          </w:tcPr>
          <w:p>
            <w:pPr>
              <w:jc w:val="right"/>
              <w:spacing w:after="0"/>
              <w:rPr>
                <w:sz w:val="20"/>
                <w:szCs w:val="20"/>
                <w:color w:val="auto"/>
              </w:rPr>
            </w:pPr>
            <w:r>
              <w:rPr>
                <w:rFonts w:ascii="Arial" w:cs="Arial" w:eastAsia="Arial" w:hAnsi="Arial"/>
                <w:sz w:val="18"/>
                <w:szCs w:val="18"/>
                <w:color w:val="auto"/>
              </w:rPr>
              <w:t>4,410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43,449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2,132</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25,691</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8,109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4,127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2,003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648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866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31,090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398,566</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23,224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259,624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126,290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1,684,382</w:t>
            </w: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103,040</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1,293,365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123,944</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324"/>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for the three-month period ended March 31, 2015 was $49.8 million compared to net cash provided by operating activities for the three-month period ended March 31, 2014 of $36.2 million. Cash provided by operating activities is significantly affected by our net income before provisions for credit losses. The increase is due primarily to the increase in net income of $1.6 million and the increase in provision for credit losses of $9.6 million.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investing activities for the three-month period ended March 31, 2015 was $108.5 million compared to net cash used in investing activities of $97.0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$233.9 million and $189.9 million during the first three months of 2015 and 2014, respectively.</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provided by financing activities for the three months ended March 31, 2015 was $61.0 million compared to net cash provided by financing activities of $53.3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2015, we issued $245.0 million in new securitization trust debt compared to $180.0 million in the same period of 2014. In addition, we repaid $145.9 million in securitization trust debt and $1.3 million in debt associated with the Fireside portfolio in the three months ended March 31, 2015 compared to repayments of securitization trust debt of $110.2 million and repayment of $5.0 million in debt associated with the Fireside portfolio in the prior year period. In the three months ended March 31, 2015, we had net repayments of warehouse lines of credit of $34.9 million, compared to net proceeds of $32.1 million in the prior year’s period. During the first three months of 2014, we repaid in full $39.2 million of senior secured related party debt.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324"/>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March 31, 2015, we had unrestricted cash of $20.2 million, $78.0 million available under one warehouse credit facility and $100.0 million available under another warehouse credit facility (such figures assume the availability of sufficient eligible collateral). As of March 31, 2015 we had approximately $39.1 million of such eligible collateral. During the three-month period ended March 31, 2015, we completed one securitization aggregating $245.0 million of notes sold. We intend to complete more securitizations during 2015,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March 31, 2015, we were in compliance with all such financial covenants.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March 31, 2015, we had approximately $1,746.8 million of debt outstanding. Such debt consisted primarily of $1,697.6 million of securitization trust debt, and also included $22.0 million of warehouse lines of credit, $12.1 million of residual interest financing and $15.1 million in subordinated renewable notes. We are also currently offering the subordinated notes to the public on a continuous basis, and such notes have maturities that range from three months to 10 years.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recent operating results include pre-tax earnings of $14.7 million for the three months ended March 31, 2015 and $52.2 million, $37.2 million and $9.2 for the years ended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324"/>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our accounting policies related to (a) Allowance for Finance Credit Losses, (b) Amortization of Deferred Originations Costs and Acquisition Fees, (c) Term Securitizations, (d) Accrual for Contingent Liabilities, and (e) Income Taxes are the most critical to understanding and evaluating our reported financial results. Such policies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1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As of March 31, 2015 the weighted average age of our portfolio of finance receivables was 14.7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However, in our 17 most recent securitizations since 2010, we have not purchased financial guaranty insurance policies and do not expect to do so in the near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both"/>
        <w:ind w:firstLine="324"/>
        <w:spacing w:after="0" w:line="288" w:lineRule="auto"/>
        <w:rPr>
          <w:sz w:val="20"/>
          <w:szCs w:val="20"/>
          <w:color w:val="auto"/>
        </w:rPr>
      </w:pPr>
      <w:r>
        <w:rPr>
          <w:rFonts w:ascii="Arial" w:cs="Arial" w:eastAsia="Arial" w:hAnsi="Arial"/>
          <w:sz w:val="16"/>
          <w:szCs w:val="16"/>
          <w:color w:val="auto"/>
        </w:rPr>
        <w:t>We structure our securitizations to include internal credit enhancement for the benefit of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w:t>
      </w:r>
    </w:p>
    <w:p>
      <w:pPr>
        <w:jc w:val="both"/>
        <w:ind w:firstLine="8"/>
        <w:spacing w:after="0" w:line="251" w:lineRule="auto"/>
        <w:tabs>
          <w:tab w:leader="none" w:pos="3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10 65-2). As a result, assets and liabilities of those trusts are not consolidated into our consolidated balance sheet.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Historically, our warehouse credit facility structures were similar to the above, except that (i) our special-purpose subsidiaries that purchased the automobile contracts pledged the automobile contracts to secure promissory notes that they issued, (ii) no increase in the required amount of internal credit enhancement was contemplated, and (iii) we did not purchase financial guaranty insurance.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September 2008 and September 2010 securitizations, and other term securitizations completed prior to July 2003 that were structured as sales for financial accounting purposes, we removed from our consolidated balance sheet the automobile contracts sold and added to our consolidated balance sheet</w:t>
      </w:r>
    </w:p>
    <w:p>
      <w:pPr>
        <w:jc w:val="both"/>
        <w:ind w:firstLine="8"/>
        <w:spacing w:after="0" w:line="270" w:lineRule="auto"/>
        <w:tabs>
          <w:tab w:leader="none" w:pos="2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cash received, if any, and (ii) the estimated fair value of the ownership interest that we retained in the automobile contracts sold in the transaction. That retained or residual interest consisted of (a) the cash held in the spread account, if any, (b) overcollateralization, if any, (c) asset-backed securities retained, if any, and (d) receivables from the trust, which include the net interest receivables. Net interest receivables represent the estimated discounted cash flows to be received from the trust in the future, net of principal and interest payable with respect to the asset-backed notes, the premium paid to the insurance company, if any, and certain other expenses. The excess of the cash received and the assets we retained over the carrying value of the automobile contracts sold, less transaction costs, equaled the net gain on sale of automobile contracts we recorded.</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ind w:firstLine="324"/>
        <w:spacing w:after="0" w:line="270" w:lineRule="auto"/>
        <w:rPr>
          <w:sz w:val="20"/>
          <w:szCs w:val="20"/>
          <w:color w:val="auto"/>
        </w:rPr>
      </w:pPr>
      <w:r>
        <w:rPr>
          <w:rFonts w:ascii="Arial" w:cs="Arial" w:eastAsia="Arial" w:hAnsi="Arial"/>
          <w:sz w:val="17"/>
          <w:szCs w:val="17"/>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recorded a liability as of March 31, 2015,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March 31, 2015, and in excess of the liability we have recorded, is from zero to $250,000.</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ind w:firstLine="324"/>
        <w:spacing w:after="0" w:line="26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if any, within the income tax expense line in the consolidated statement of operations. Accrued interest and penalties are included within the related tax liability line in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February 25, 2015.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March 31, 2015, we had approximately $1,746.8 million of debt outstanding. Such debt consisted primarily of $1,697.6 million of securitization trust debt, $22.0 million of warehouse lines of credit, $12.1 million of residual interest financing and $15.1 million in subordinated renewable notes (which are outstanding with maturities that range from three months to 10 years). Our substantial indebtedness could adversely affect our financial condition by, among other things:</w:t>
      </w:r>
    </w:p>
    <w:p>
      <w:pPr>
        <w:spacing w:after="0" w:line="187"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2015, we repurchased no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Average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Price Paid</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Period(1)</w:t>
            </w: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Programs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2015</w:t>
            </w:r>
          </w:p>
        </w:tc>
        <w:tc>
          <w:tcPr>
            <w:tcW w:w="13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136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2015</w:t>
            </w:r>
          </w:p>
        </w:tc>
        <w:tc>
          <w:tcPr>
            <w:tcW w:w="1360" w:type="dxa"/>
            <w:vAlign w:val="bottom"/>
            <w:shd w:val="clear" w:color="auto" w:fill="EEEEEE"/>
          </w:tcPr>
          <w:p>
            <w:pPr>
              <w:spacing w:after="0"/>
              <w:rPr>
                <w:sz w:val="19"/>
                <w:szCs w:val="19"/>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ind w:left="12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9"/>
                <w:szCs w:val="19"/>
                <w:color w:val="auto"/>
              </w:rPr>
            </w:pPr>
          </w:p>
        </w:tc>
        <w:tc>
          <w:tcPr>
            <w:tcW w:w="1580" w:type="dxa"/>
            <w:vAlign w:val="bottom"/>
            <w:tcBorders>
              <w:top w:val="single" w:sz="8" w:color="auto"/>
            </w:tcBorders>
          </w:tcPr>
          <w:p>
            <w:pPr>
              <w:ind w:left="15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0</wp:posOffset>
            </wp:positionV>
            <wp:extent cx="3498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-130175</wp:posOffset>
            </wp:positionV>
            <wp:extent cx="34988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2015,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85"/>
              </w:rPr>
              <w:t>4.14</w:t>
            </w:r>
          </w:p>
        </w:tc>
        <w:tc>
          <w:tcPr>
            <w:tcW w:w="106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 the</w:t>
            </w:r>
          </w:p>
        </w:tc>
      </w:tr>
      <w:tr>
        <w:trPr>
          <w:trHeight w:val="216"/>
        </w:trPr>
        <w:tc>
          <w:tcPr>
            <w:tcW w:w="740" w:type="dxa"/>
            <w:vAlign w:val="bottom"/>
            <w:shd w:val="clear" w:color="auto" w:fill="EEEEEE"/>
          </w:tcPr>
          <w:p>
            <w:pPr>
              <w:spacing w:after="0"/>
              <w:rPr>
                <w:sz w:val="18"/>
                <w:szCs w:val="18"/>
                <w:color w:val="auto"/>
              </w:rPr>
            </w:pPr>
          </w:p>
        </w:tc>
        <w:tc>
          <w:tcPr>
            <w:tcW w:w="106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7"/>
              </w:rPr>
              <w:t>exclusion set forth in subdivisions (b)(iv)(iii)(A) and (b)(v) of Item 601 of Regulation S-K (17 CFR 229.601).  The registrant agrees to</w:t>
            </w:r>
          </w:p>
        </w:tc>
      </w:tr>
      <w:tr>
        <w:trPr>
          <w:trHeight w:val="230"/>
        </w:trPr>
        <w:tc>
          <w:tcPr>
            <w:tcW w:w="740" w:type="dxa"/>
            <w:vAlign w:val="bottom"/>
            <w:shd w:val="clear" w:color="auto" w:fill="EEEEEE"/>
          </w:tcPr>
          <w:p>
            <w:pPr>
              <w:spacing w:after="0"/>
              <w:rPr>
                <w:sz w:val="20"/>
                <w:szCs w:val="20"/>
                <w:color w:val="auto"/>
              </w:rPr>
            </w:pPr>
          </w:p>
        </w:tc>
        <w:tc>
          <w:tcPr>
            <w:tcW w:w="106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202"/>
        </w:trPr>
        <w:tc>
          <w:tcPr>
            <w:tcW w:w="740" w:type="dxa"/>
            <w:vAlign w:val="bottom"/>
          </w:tcPr>
          <w:p>
            <w:pPr>
              <w:jc w:val="right"/>
              <w:ind w:right="330"/>
              <w:spacing w:after="0" w:line="201" w:lineRule="exact"/>
              <w:rPr>
                <w:sz w:val="20"/>
                <w:szCs w:val="20"/>
                <w:color w:val="auto"/>
              </w:rPr>
            </w:pPr>
            <w:r>
              <w:rPr>
                <w:rFonts w:ascii="Arial" w:cs="Arial" w:eastAsia="Arial" w:hAnsi="Arial"/>
                <w:sz w:val="18"/>
                <w:szCs w:val="18"/>
                <w:color w:val="auto"/>
                <w:w w:val="85"/>
              </w:rPr>
              <w:t>4.61</w:t>
            </w:r>
          </w:p>
        </w:tc>
        <w:tc>
          <w:tcPr>
            <w:tcW w:w="10680" w:type="dxa"/>
            <w:vAlign w:val="bottom"/>
          </w:tcPr>
          <w:p>
            <w:pPr>
              <w:ind w:left="420"/>
              <w:spacing w:after="0" w:line="201" w:lineRule="exact"/>
              <w:rPr>
                <w:sz w:val="20"/>
                <w:szCs w:val="20"/>
                <w:color w:val="auto"/>
              </w:rPr>
            </w:pPr>
            <w:r>
              <w:rPr>
                <w:rFonts w:ascii="Arial" w:cs="Arial" w:eastAsia="Arial" w:hAnsi="Arial"/>
                <w:sz w:val="18"/>
                <w:szCs w:val="18"/>
                <w:color w:val="auto"/>
                <w:w w:val="92"/>
              </w:rPr>
              <w:t>Indenture dated March 1, 2015 re Notes issued by CPS Auto Receivables Trust 2015-A. Incorporated by reference to exhibit 4.59 filed with</w:t>
            </w:r>
          </w:p>
        </w:tc>
      </w:tr>
      <w:tr>
        <w:trPr>
          <w:trHeight w:val="230"/>
        </w:trPr>
        <w:tc>
          <w:tcPr>
            <w:tcW w:w="740" w:type="dxa"/>
            <w:vAlign w:val="bottom"/>
          </w:tcPr>
          <w:p>
            <w:pPr>
              <w:spacing w:after="0"/>
              <w:rPr>
                <w:sz w:val="20"/>
                <w:szCs w:val="20"/>
                <w:color w:val="auto"/>
              </w:rPr>
            </w:pPr>
          </w:p>
        </w:tc>
        <w:tc>
          <w:tcPr>
            <w:tcW w:w="10680" w:type="dxa"/>
            <w:vAlign w:val="bottom"/>
          </w:tcPr>
          <w:p>
            <w:pPr>
              <w:ind w:left="420"/>
              <w:spacing w:after="0"/>
              <w:rPr>
                <w:sz w:val="20"/>
                <w:szCs w:val="20"/>
                <w:color w:val="auto"/>
              </w:rPr>
            </w:pPr>
            <w:r>
              <w:rPr>
                <w:rFonts w:ascii="Arial" w:cs="Arial" w:eastAsia="Arial" w:hAnsi="Arial"/>
                <w:sz w:val="18"/>
                <w:szCs w:val="18"/>
                <w:color w:val="auto"/>
              </w:rPr>
              <w:t>the registrant’s Form 8-K on March 26, 2015.</w:t>
            </w:r>
          </w:p>
        </w:tc>
      </w:tr>
      <w:tr>
        <w:trPr>
          <w:trHeight w:val="202"/>
        </w:trPr>
        <w:tc>
          <w:tcPr>
            <w:tcW w:w="740" w:type="dxa"/>
            <w:vAlign w:val="bottom"/>
            <w:shd w:val="clear" w:color="auto" w:fill="EEEEEE"/>
          </w:tcPr>
          <w:p>
            <w:pPr>
              <w:jc w:val="right"/>
              <w:ind w:right="330"/>
              <w:spacing w:after="0" w:line="201" w:lineRule="exact"/>
              <w:rPr>
                <w:sz w:val="20"/>
                <w:szCs w:val="20"/>
                <w:color w:val="auto"/>
              </w:rPr>
            </w:pPr>
            <w:r>
              <w:rPr>
                <w:rFonts w:ascii="Arial" w:cs="Arial" w:eastAsia="Arial" w:hAnsi="Arial"/>
                <w:sz w:val="18"/>
                <w:szCs w:val="18"/>
                <w:color w:val="auto"/>
                <w:w w:val="85"/>
              </w:rPr>
              <w:t>4.62</w:t>
            </w:r>
          </w:p>
        </w:tc>
        <w:tc>
          <w:tcPr>
            <w:tcW w:w="10680" w:type="dxa"/>
            <w:vAlign w:val="bottom"/>
            <w:shd w:val="clear" w:color="auto" w:fill="EEEEEE"/>
          </w:tcPr>
          <w:p>
            <w:pPr>
              <w:ind w:left="420"/>
              <w:spacing w:after="0" w:line="201" w:lineRule="exact"/>
              <w:rPr>
                <w:sz w:val="20"/>
                <w:szCs w:val="20"/>
                <w:color w:val="auto"/>
              </w:rPr>
            </w:pPr>
            <w:r>
              <w:rPr>
                <w:rFonts w:ascii="Arial" w:cs="Arial" w:eastAsia="Arial" w:hAnsi="Arial"/>
                <w:sz w:val="18"/>
                <w:szCs w:val="18"/>
                <w:color w:val="auto"/>
                <w:w w:val="93"/>
              </w:rPr>
              <w:t>Sale and Servicing Agreement dated as of March 1, 2015. Incorporated by reference to exhibit 4.60 filed with the registrant’s Form 8-K on</w:t>
            </w:r>
          </w:p>
        </w:tc>
      </w:tr>
      <w:tr>
        <w:trPr>
          <w:trHeight w:val="230"/>
        </w:trPr>
        <w:tc>
          <w:tcPr>
            <w:tcW w:w="740" w:type="dxa"/>
            <w:vAlign w:val="bottom"/>
            <w:shd w:val="clear" w:color="auto" w:fill="EEEEEE"/>
          </w:tcPr>
          <w:p>
            <w:pPr>
              <w:spacing w:after="0"/>
              <w:rPr>
                <w:sz w:val="20"/>
                <w:szCs w:val="20"/>
                <w:color w:val="auto"/>
              </w:rPr>
            </w:pPr>
          </w:p>
        </w:tc>
        <w:tc>
          <w:tcPr>
            <w:tcW w:w="106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March 26, 2015.</w:t>
            </w:r>
          </w:p>
        </w:tc>
      </w:t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420"/>
              <w:spacing w:after="0"/>
              <w:rPr>
                <w:sz w:val="20"/>
                <w:szCs w:val="20"/>
                <w:color w:val="auto"/>
              </w:rPr>
            </w:pPr>
            <w:r>
              <w:rPr>
                <w:rFonts w:ascii="Arial" w:cs="Arial" w:eastAsia="Arial" w:hAnsi="Arial"/>
                <w:sz w:val="18"/>
                <w:szCs w:val="18"/>
                <w:color w:val="auto"/>
              </w:rPr>
              <w:t>Rule 13a-14(a) Certification of the Chief Executive Officer of the registrant.</w:t>
            </w:r>
          </w:p>
        </w:tc>
      </w:tr>
      <w:tr>
        <w:trPr>
          <w:trHeight w:val="216"/>
        </w:trPr>
        <w:tc>
          <w:tcPr>
            <w:tcW w:w="74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85"/>
              </w:rPr>
              <w:t>31.2</w:t>
            </w:r>
          </w:p>
        </w:tc>
        <w:tc>
          <w:tcPr>
            <w:tcW w:w="106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Rule 13a-14(a) Certification of the Chief Financial Officer of the registrant.</w:t>
            </w:r>
          </w:p>
        </w:tc>
      </w:tr>
    </w:tbl>
    <w:p>
      <w:pPr>
        <w:ind w:left="1160" w:hanging="115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10" w:lineRule="exact"/>
        <w:rPr>
          <w:rFonts w:ascii="Arial" w:cs="Arial" w:eastAsia="Arial" w:hAnsi="Arial"/>
          <w:sz w:val="18"/>
          <w:szCs w:val="18"/>
          <w:color w:val="auto"/>
        </w:rPr>
      </w:pPr>
    </w:p>
    <w:p>
      <w:pPr>
        <w:jc w:val="both"/>
        <w:ind w:firstLine="312"/>
        <w:spacing w:after="0" w:line="312" w:lineRule="auto"/>
        <w:rPr>
          <w:rFonts w:ascii="Arial" w:cs="Arial" w:eastAsia="Arial" w:hAnsi="Arial"/>
          <w:sz w:val="18"/>
          <w:szCs w:val="18"/>
          <w:color w:val="auto"/>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-19050</wp:posOffset>
            </wp:positionV>
            <wp:extent cx="17443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-19050</wp:posOffset>
            </wp:positionV>
            <wp:extent cx="17176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7675" cy="889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2015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2015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2015,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383"/>
        <w:spacing w:after="0"/>
        <w:tabs>
          <w:tab w:leader="none" w:pos="15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727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72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Roman"/>
      <w:start w:val="4"/>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2"/>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2019-12-06T07:18:54Z</dcterms:created>
  <dcterms:modified xsi:type="dcterms:W3CDTF">2019-12-06T07:18:54Z</dcterms:modified>
</cp:coreProperties>
</file>