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ps_8k.htm"/>
      <w:bookmarkStart w:id="1" w:name="kscps_8k"/>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9_edei--DocumentType_c20261021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A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6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D_edei--EntityFileNumber_c20261021"/>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6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5_edei--EntityAddressAddressLine1_"/>
            <w:bookmarkEnd w:id="8"/>
            <w:r>
              <w:rPr>
                <w:sz w:val="20"/>
              </w:rPr>
              <w:t xml:space="preserve">3800 Howard Hughes Pkwy, </w:t>
            </w:r>
            <w:bookmarkStart w:id="9" w:name="xdx_90E_edei--EntityAddressAddressLine2_"/>
            <w:bookmarkEnd w:id="9"/>
            <w:r>
              <w:rPr>
                <w:sz w:val="20"/>
              </w:rPr>
              <w:t xml:space="preserve">Suite 1400, </w:t>
            </w:r>
            <w:bookmarkStart w:id="10" w:name="xdx_909_edei--EntityAddressCityOrTown_c2"/>
            <w:bookmarkEnd w:id="10"/>
            <w:r>
              <w:rPr>
                <w:sz w:val="20"/>
              </w:rPr>
              <w:t xml:space="preserve">Las Vegas, </w:t>
            </w:r>
            <w:bookmarkStart w:id="11" w:name="xdx_90A_edei--EntityAddressStateOrProvin"/>
            <w:bookmarkEnd w:id="11"/>
            <w:r>
              <w:rPr>
                <w:sz w:val="20"/>
              </w:rPr>
              <w:t xml:space="preserve">NV </w:t>
            </w:r>
            <w:bookmarkStart w:id="12" w:name="xdx_906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5_edei--CityAreaCode_c20261021__20"/>
      <w:bookmarkEnd w:id="13"/>
      <w:r>
        <w:rPr>
          <w:rFonts w:ascii="Times New Roman;Times;Serif" w:hAnsi="Times New Roman;Times;Serif"/>
          <w:b w:val="false"/>
          <w:i w:val="false"/>
          <w:caps w:val="false"/>
          <w:smallCaps w:val="false"/>
          <w:sz w:val="20"/>
        </w:rPr>
        <w:t xml:space="preserve">949) </w:t>
      </w:r>
      <w:bookmarkStart w:id="14" w:name="xdx_90D_edei--LocalPhoneNumber_c20261021"/>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C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7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5_edei--SolicitingMaterial_c202610"/>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A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4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2_edei--Security12bTitle_c20261021"/>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B_edei--TradingSymbol_c20261021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B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D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2.03 of this report is hereby incorporated by reference into this Item 1.01. The registrant disclaims any implication that the agreements relating to the transactions described in this report are other than agreements entered into in the ordinary course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Securitization of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registrant Consumer Portfolio Services, Inc. (“CPS”) and its wholly owned subsidiary CPS Receivables Five LLC (“Subsidiary”) entered into a series of agreements under which Subsidiary purchased from CPS, and sold to CPS Auto Receivables Trust 2026-D (the “Trust”), approximately $797.36 million of subprime automotive receivables (the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Securitization of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CPS, Subsidiary, the Trust and others on October 21, 2026, entered into a series of agreements that, among other things, created long-term obligations that are material to CPS, Subsidiary and the Trust. Under these agreements (i) CPS sold the Receivables to Subsidiary (ii) Subsidiary sold the Receivables to the Trust (iii) the Trust deposited the Receivables with Computershare Trust Company, N.A. (“CTCNA”), as trustee of a grantor trust, receiving in return a certificate of beneficial interest (“CBI”) representing beneficial ownership of the Receivables, (iv) the Trust pledged the CBI to CTCNA as indenture trustee for benefit of the holders of the Notes (as defined below), (v) the Trust issued and sold $767.85 million of asset-backed Notes, in five classes (such Notes collectively, the “Notes”), and (vi) a cash deposit (the “Reserve Account”) in the amount of 1.00% of the aggregate balance of the Receivables was pledged for the benefit of the holders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for the repayment of the Notes consists of the Receivables and the rights to payments relating to the Receivables. CPS will act as the servicer of the Receivables. Credit enhancement for the Notes consists of over-collateralization and the Reserve Account. CTCNA will act as collateral agent and trustee on behalf of the secured parties, and is the backup servicer.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obligations only of the Trust, and not of Subsidiary nor of CPS. Nevertheless, the Notes are properly treated as long-term debt obligations of CPS. The sale and issuance of the Notes, treated as secured financings for accounting and tax purposes, are treated as sales for all other purposes, including legal and bankruptcy purposes. None of the assets of the Trust or Subsidiary are available to pay other creditors of CPS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holds a fixed pool of amortizing assets. The Trust is obligated to pay principal and interest on the Notes on a monthly basis. Interest is payable at fixed rates on the outstanding principal balance of each of the five classes of the Notes, and principal is payable by reference to the aggregate principal balance of the Receivables (adjusted for chargeoffs and prepayments, among other things) and agreed required over-collateralization. The following table sets forth the interest rates and initial principal amounts of the five classes of Notes:</w:t>
      </w:r>
    </w:p>
    <w:p>
      <w:pPr>
        <w:pStyle w:val="TextBody"/>
        <w:bidi w:val="0"/>
        <w:spacing w:before="0" w:after="0"/>
        <w:ind w:left="0" w:right="0" w:hanging="0"/>
        <w:jc w:val="left"/>
        <w:rPr>
          <w:caps w:val="false"/>
          <w:smallCaps w:val="false"/>
        </w:rPr>
      </w:pPr>
      <w:r>
        <w:rPr>
          <w:caps w:val="false"/>
          <w:smallCaps w:val="false"/>
        </w:rPr>
        <w:t> </w:t>
      </w:r>
    </w:p>
    <w:tbl>
      <w:tblPr>
        <w:tblW w:w="3240" w:type="dxa"/>
        <w:jc w:val="left"/>
        <w:tblInd w:w="-10" w:type="dxa"/>
        <w:tblLayout w:type="fixed"/>
        <w:tblCellMar>
          <w:top w:w="28" w:type="dxa"/>
          <w:left w:w="28" w:type="dxa"/>
          <w:bottom w:w="28" w:type="dxa"/>
          <w:right w:w="28" w:type="dxa"/>
        </w:tblCellMar>
      </w:tblPr>
      <w:tblGrid>
        <w:gridCol w:w="920"/>
        <w:gridCol w:w="1100"/>
        <w:gridCol w:w="1220"/>
      </w:tblGrid>
      <w:tr>
        <w:trPr/>
        <w:tc>
          <w:tcPr>
            <w:tcW w:w="920" w:type="dxa"/>
            <w:tcBorders>
              <w:top w:val="single" w:sz="8" w:space="0" w:color="BFBFBF"/>
              <w:left w:val="single" w:sz="8" w:space="0" w:color="BFBFBF"/>
              <w:bottom w:val="single" w:sz="8" w:space="0" w:color="BFBFBF"/>
              <w:right w:val="single" w:sz="8" w:space="0" w:color="BFBFBF"/>
            </w:tcBorders>
            <w:vAlign w:val="center"/>
          </w:tcPr>
          <w:p>
            <w:pPr>
              <w:pStyle w:val="TableContents"/>
              <w:bidi w:val="0"/>
              <w:spacing w:before="0" w:after="283"/>
              <w:jc w:val="center"/>
              <w:rPr>
                <w:b/>
                <w:sz w:val="20"/>
              </w:rPr>
            </w:pPr>
            <w:r>
              <w:rPr>
                <w:b/>
                <w:sz w:val="20"/>
              </w:rPr>
              <w:t>Note Class</w:t>
            </w:r>
          </w:p>
        </w:tc>
        <w:tc>
          <w:tcPr>
            <w:tcW w:w="1100" w:type="dxa"/>
            <w:tcBorders>
              <w:top w:val="single" w:sz="8" w:space="0" w:color="BFBFBF"/>
              <w:bottom w:val="single" w:sz="8" w:space="0" w:color="BFBFBF"/>
              <w:right w:val="single" w:sz="8" w:space="0" w:color="BFBFBF"/>
            </w:tcBorders>
            <w:tcMar>
              <w:left w:w="0" w:type="dxa"/>
            </w:tcMar>
            <w:vAlign w:val="center"/>
          </w:tcPr>
          <w:p>
            <w:pPr>
              <w:pStyle w:val="TableContents"/>
              <w:bidi w:val="0"/>
              <w:spacing w:before="0" w:after="283"/>
              <w:jc w:val="center"/>
              <w:rPr>
                <w:b/>
                <w:sz w:val="20"/>
              </w:rPr>
            </w:pPr>
            <w:r>
              <w:rPr>
                <w:b/>
                <w:sz w:val="20"/>
              </w:rPr>
              <w:t>Interest Rate</w:t>
            </w:r>
          </w:p>
        </w:tc>
        <w:tc>
          <w:tcPr>
            <w:tcW w:w="1220" w:type="dxa"/>
            <w:tcBorders>
              <w:top w:val="single" w:sz="8" w:space="0" w:color="BFBFBF"/>
              <w:bottom w:val="single" w:sz="8" w:space="0" w:color="BFBFBF"/>
              <w:right w:val="single" w:sz="8" w:space="0" w:color="BFBFBF"/>
            </w:tcBorders>
            <w:tcMar>
              <w:left w:w="0" w:type="dxa"/>
            </w:tcMar>
            <w:vAlign w:val="center"/>
          </w:tcPr>
          <w:p>
            <w:pPr>
              <w:pStyle w:val="TableContents"/>
              <w:bidi w:val="0"/>
              <w:spacing w:before="0" w:after="283"/>
              <w:jc w:val="center"/>
              <w:rPr>
                <w:b/>
                <w:sz w:val="20"/>
              </w:rPr>
            </w:pPr>
            <w:r>
              <w:rPr>
                <w:b/>
                <w:sz w:val="20"/>
              </w:rPr>
              <w:t>Amount</w:t>
            </w:r>
          </w:p>
        </w:tc>
      </w:tr>
      <w:tr>
        <w:trPr/>
        <w:tc>
          <w:tcPr>
            <w:tcW w:w="920" w:type="dxa"/>
            <w:tcBorders>
              <w:left w:val="single" w:sz="8" w:space="0" w:color="BFBFBF"/>
              <w:bottom w:val="single" w:sz="8" w:space="0" w:color="BFBFBF"/>
              <w:right w:val="single" w:sz="8" w:space="0" w:color="BFBFBF"/>
            </w:tcBorders>
            <w:shd w:fill="EEEEEE" w:val="clear"/>
            <w:tcMar>
              <w:top w:w="0" w:type="dxa"/>
            </w:tcMar>
            <w:vAlign w:val="center"/>
          </w:tcPr>
          <w:p>
            <w:pPr>
              <w:pStyle w:val="TableContents"/>
              <w:bidi w:val="0"/>
              <w:spacing w:before="0" w:after="283"/>
              <w:jc w:val="center"/>
              <w:rPr>
                <w:sz w:val="20"/>
              </w:rPr>
            </w:pPr>
            <w:r>
              <w:rPr>
                <w:sz w:val="20"/>
              </w:rPr>
              <w:t>Class A</w:t>
            </w:r>
          </w:p>
        </w:tc>
        <w:tc>
          <w:tcPr>
            <w:tcW w:w="110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5.14%</w:t>
            </w:r>
          </w:p>
        </w:tc>
        <w:tc>
          <w:tcPr>
            <w:tcW w:w="122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$ 356,340,000</w:t>
            </w:r>
          </w:p>
        </w:tc>
      </w:tr>
      <w:tr>
        <w:trPr/>
        <w:tc>
          <w:tcPr>
            <w:tcW w:w="920" w:type="dxa"/>
            <w:tcBorders>
              <w:left w:val="single" w:sz="8" w:space="0" w:color="BFBFBF"/>
              <w:bottom w:val="single" w:sz="8" w:space="0" w:color="BFBFBF"/>
              <w:right w:val="single" w:sz="8" w:space="0" w:color="BFBFBF"/>
            </w:tcBorders>
            <w:shd w:fill="FFFFFF" w:val="clear"/>
            <w:tcMar>
              <w:top w:w="0" w:type="dxa"/>
            </w:tcMar>
            <w:vAlign w:val="center"/>
          </w:tcPr>
          <w:p>
            <w:pPr>
              <w:pStyle w:val="TableContents"/>
              <w:bidi w:val="0"/>
              <w:spacing w:before="0" w:after="283"/>
              <w:jc w:val="center"/>
              <w:rPr>
                <w:sz w:val="20"/>
              </w:rPr>
            </w:pPr>
            <w:r>
              <w:rPr>
                <w:sz w:val="20"/>
              </w:rPr>
              <w:t>Class B</w:t>
            </w:r>
          </w:p>
        </w:tc>
        <w:tc>
          <w:tcPr>
            <w:tcW w:w="110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5.59%</w:t>
            </w:r>
          </w:p>
        </w:tc>
        <w:tc>
          <w:tcPr>
            <w:tcW w:w="122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$ 111,470,000</w:t>
            </w:r>
          </w:p>
        </w:tc>
      </w:tr>
      <w:tr>
        <w:trPr/>
        <w:tc>
          <w:tcPr>
            <w:tcW w:w="920" w:type="dxa"/>
            <w:tcBorders>
              <w:left w:val="single" w:sz="8" w:space="0" w:color="BFBFBF"/>
              <w:bottom w:val="single" w:sz="8" w:space="0" w:color="BFBFBF"/>
              <w:right w:val="single" w:sz="8" w:space="0" w:color="BFBFBF"/>
            </w:tcBorders>
            <w:shd w:fill="EEEEEE" w:val="clear"/>
            <w:tcMar>
              <w:top w:w="0" w:type="dxa"/>
            </w:tcMar>
            <w:vAlign w:val="center"/>
          </w:tcPr>
          <w:p>
            <w:pPr>
              <w:pStyle w:val="TableContents"/>
              <w:bidi w:val="0"/>
              <w:spacing w:before="0" w:after="283"/>
              <w:jc w:val="center"/>
              <w:rPr>
                <w:sz w:val="20"/>
              </w:rPr>
            </w:pPr>
            <w:r>
              <w:rPr>
                <w:sz w:val="20"/>
              </w:rPr>
              <w:t>Class C</w:t>
            </w:r>
          </w:p>
        </w:tc>
        <w:tc>
          <w:tcPr>
            <w:tcW w:w="110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6.01%</w:t>
            </w:r>
          </w:p>
        </w:tc>
        <w:tc>
          <w:tcPr>
            <w:tcW w:w="122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$ 118,090,000</w:t>
            </w:r>
          </w:p>
        </w:tc>
      </w:tr>
      <w:tr>
        <w:trPr/>
        <w:tc>
          <w:tcPr>
            <w:tcW w:w="920" w:type="dxa"/>
            <w:tcBorders>
              <w:left w:val="single" w:sz="8" w:space="0" w:color="BFBFBF"/>
              <w:bottom w:val="single" w:sz="8" w:space="0" w:color="BFBFBF"/>
              <w:right w:val="single" w:sz="8" w:space="0" w:color="BFBFBF"/>
            </w:tcBorders>
            <w:shd w:fill="FFFFFF" w:val="clear"/>
            <w:tcMar>
              <w:top w:w="0" w:type="dxa"/>
            </w:tcMar>
            <w:vAlign w:val="center"/>
          </w:tcPr>
          <w:p>
            <w:pPr>
              <w:pStyle w:val="TableContents"/>
              <w:bidi w:val="0"/>
              <w:spacing w:before="0" w:after="283"/>
              <w:jc w:val="center"/>
              <w:rPr>
                <w:sz w:val="20"/>
              </w:rPr>
            </w:pPr>
            <w:r>
              <w:rPr>
                <w:sz w:val="20"/>
              </w:rPr>
              <w:t>Class D</w:t>
            </w:r>
          </w:p>
        </w:tc>
        <w:tc>
          <w:tcPr>
            <w:tcW w:w="110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6.55%</w:t>
            </w:r>
          </w:p>
        </w:tc>
        <w:tc>
          <w:tcPr>
            <w:tcW w:w="1220" w:type="dxa"/>
            <w:tcBorders>
              <w:bottom w:val="single" w:sz="8" w:space="0" w:color="BFBFBF"/>
              <w:right w:val="single" w:sz="8" w:space="0" w:color="BFBFBF"/>
            </w:tcBorders>
            <w:shd w:fill="FFFFFF" w:val="clear"/>
            <w:tcMar>
              <w:top w:w="0" w:type="dxa"/>
              <w:left w:w="0" w:type="dxa"/>
            </w:tcMar>
            <w:vAlign w:val="center"/>
          </w:tcPr>
          <w:p>
            <w:pPr>
              <w:pStyle w:val="TableContents"/>
              <w:bidi w:val="0"/>
              <w:spacing w:before="0" w:after="283"/>
              <w:jc w:val="center"/>
              <w:rPr>
                <w:sz w:val="20"/>
              </w:rPr>
            </w:pPr>
            <w:r>
              <w:rPr>
                <w:sz w:val="20"/>
              </w:rPr>
              <w:t>$ 71,120,000</w:t>
            </w:r>
          </w:p>
        </w:tc>
      </w:tr>
      <w:tr>
        <w:trPr/>
        <w:tc>
          <w:tcPr>
            <w:tcW w:w="920" w:type="dxa"/>
            <w:tcBorders>
              <w:left w:val="single" w:sz="8" w:space="0" w:color="BFBFBF"/>
              <w:bottom w:val="single" w:sz="8" w:space="0" w:color="BFBFBF"/>
              <w:right w:val="single" w:sz="8" w:space="0" w:color="BFBFBF"/>
            </w:tcBorders>
            <w:shd w:fill="EEEEEE" w:val="clear"/>
            <w:tcMar>
              <w:top w:w="0" w:type="dxa"/>
            </w:tcMar>
            <w:vAlign w:val="center"/>
          </w:tcPr>
          <w:p>
            <w:pPr>
              <w:pStyle w:val="TableContents"/>
              <w:bidi w:val="0"/>
              <w:spacing w:before="0" w:after="283"/>
              <w:jc w:val="center"/>
              <w:rPr>
                <w:sz w:val="20"/>
              </w:rPr>
            </w:pPr>
            <w:r>
              <w:rPr>
                <w:sz w:val="20"/>
              </w:rPr>
              <w:t>Class E</w:t>
            </w:r>
          </w:p>
        </w:tc>
        <w:tc>
          <w:tcPr>
            <w:tcW w:w="110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8.56%</w:t>
            </w:r>
          </w:p>
        </w:tc>
        <w:tc>
          <w:tcPr>
            <w:tcW w:w="1220" w:type="dxa"/>
            <w:tcBorders>
              <w:bottom w:val="single" w:sz="8" w:space="0" w:color="BFBFBF"/>
              <w:right w:val="single" w:sz="8" w:space="0" w:color="BFBFBF"/>
            </w:tcBorders>
            <w:shd w:fill="EEEEEE" w:val="clear"/>
            <w:tcMar>
              <w:top w:w="0" w:type="dxa"/>
              <w:left w:w="0" w:type="dxa"/>
            </w:tcMar>
            <w:vAlign w:val="center"/>
          </w:tcPr>
          <w:p>
            <w:pPr>
              <w:pStyle w:val="TableContents"/>
              <w:bidi w:val="0"/>
              <w:spacing w:before="0" w:after="283"/>
              <w:jc w:val="center"/>
              <w:rPr>
                <w:sz w:val="20"/>
              </w:rPr>
            </w:pPr>
            <w:r>
              <w:rPr>
                <w:sz w:val="20"/>
              </w:rPr>
              <w:t>$ 110,830,000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2026-D transaction has initial credit enhancement consisting of a cash deposit equal to 1.00% of the original Receivable pool balance and overcollateralization of 3.70%. The final enhancement level requires accelerated payment of principal on the Notes to reach overcollateralization of the lesser of 8.00% of the original Receivables pool balance, or 19.40% of the then outstanding pool balance, but in no event less than 1.50% of the original receivable pool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were to occur under the agreements, the Trustee would have the right to accelerate the maturity of the Notes, in which event the cash proceeds of the Receivables that otherwise would be released to Subsidiary would instead be directed entirely toward repayment of the Notes. Events of default include such events as failure to make required payments on the Notes, breaches of warranties, representations or covenants under any of the agreements or specified bankruptcy-related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the aggregate outstanding principal balance of the Receivables is less than 10% of the initial aggregate balance of $797.36 million, CPS will have the option to purchase the Trust estate at fair market value, provided that such purchase price is sufficient to cause the Notes to be redeemed and paid in full, and to cause other obligations of the Trust to be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included with this report:</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News release re securitization transaction.</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hanging="0"/>
        <w:jc w:val="left"/>
        <w:rPr>
          <w:caps w:val="false"/>
          <w:smallCaps w:val="false"/>
        </w:rPr>
      </w:pPr>
      <w:r>
        <w:rPr>
          <w:caps w:val="false"/>
          <w:smallCaps w:val="false"/>
        </w:rPr>
        <w:t> </w:t>
      </w:r>
    </w:p>
    <w:p>
      <w:pPr>
        <w:pStyle w:val="TextBody"/>
        <w:shd w:fill="FFFFFF" w:val="clear"/>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left"/>
        <w:rPr/>
      </w:pPr>
      <w:r>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030"/>
        <w:gridCol w:w="4325"/>
      </w:tblGrid>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b/>
                <w:sz w:val="20"/>
              </w:rPr>
            </w:pPr>
            <w:r>
              <w:rPr>
                <w:b/>
                <w:sz w:val="20"/>
              </w:rPr>
              <w:t>CONSUMER PORTFOLIO SERVICES, INC.</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Dated: October 21, 2026</w:t>
            </w:r>
          </w:p>
        </w:tc>
        <w:tc>
          <w:tcPr>
            <w:tcW w:w="432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203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24" w:name="cps_ex9901.htm"/>
      <w:bookmarkStart w:id="25" w:name="kscps_ex9901"/>
      <w:bookmarkEnd w:id="24"/>
      <w:bookmarkEnd w:id="25"/>
      <w:r>
        <w:rPr>
          <w:b/>
        </w:rPr>
        <w:t>Exhibit 99.1</w:t>
      </w:r>
      <w:r>
        <w:br w:type="page"/>
      </w:r>
    </w:p>
    <w:p>
      <w:pPr>
        <w:pStyle w:val="TextBody"/>
        <w:bidi w:val="0"/>
        <w:spacing w:before="0" w:after="283"/>
        <w:jc w:val="left"/>
        <w:rPr/>
      </w:pPr>
      <w:r>
        <w:rPr/>
        <w:t> </w:t>
      </w:r>
    </w:p>
    <w:tbl>
      <w:tblPr>
        <w:tblW w:w="5735" w:type="dxa"/>
        <w:jc w:val="left"/>
        <w:tblInd w:w="0" w:type="dxa"/>
        <w:tblLayout w:type="fixed"/>
        <w:tblCellMar>
          <w:top w:w="0" w:type="dxa"/>
          <w:left w:w="0" w:type="dxa"/>
          <w:bottom w:w="28" w:type="dxa"/>
          <w:right w:w="0" w:type="dxa"/>
        </w:tblCellMar>
      </w:tblPr>
      <w:tblGrid>
        <w:gridCol w:w="2430"/>
        <w:gridCol w:w="3305"/>
      </w:tblGrid>
      <w:tr>
        <w:trPr/>
        <w:tc>
          <w:tcPr>
            <w:tcW w:w="2430" w:type="dxa"/>
            <w:tcBorders>
              <w:bottom w:val="single" w:sz="8" w:space="0" w:color="000000"/>
            </w:tcBorders>
            <w:vAlign w:val="center"/>
          </w:tcPr>
          <w:p>
            <w:pPr>
              <w:pStyle w:val="TableContents"/>
              <w:bidi w:val="0"/>
              <w:spacing w:before="0" w:after="283"/>
              <w:jc w:val="left"/>
              <w:rPr/>
            </w:pPr>
            <w:r>
              <w:rPr/>
              <w:drawing>
                <wp:inline distT="0" distB="0" distL="0" distR="0">
                  <wp:extent cx="15335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71500"/>
                          </a:xfrm>
                          <a:prstGeom prst="rect">
                            <a:avLst/>
                          </a:prstGeom>
                        </pic:spPr>
                      </pic:pic>
                    </a:graphicData>
                  </a:graphic>
                </wp:inline>
              </w:drawing>
            </w:r>
          </w:p>
        </w:tc>
        <w:tc>
          <w:tcPr>
            <w:tcW w:w="3305" w:type="dxa"/>
            <w:tcBorders>
              <w:bottom w:val="single" w:sz="8" w:space="0" w:color="000000"/>
            </w:tcBorders>
            <w:vAlign w:val="center"/>
          </w:tcPr>
          <w:p>
            <w:pPr>
              <w:pStyle w:val="TableContents"/>
              <w:bidi w:val="0"/>
              <w:spacing w:before="0" w:after="283"/>
              <w:jc w:val="right"/>
              <w:rPr>
                <w:b/>
                <w:i/>
                <w:sz w:val="44"/>
              </w:rPr>
            </w:pPr>
            <w:r>
              <w:rPr>
                <w:b/>
                <w:i/>
                <w:sz w:val="44"/>
              </w:rPr>
              <w:t>NEWS RELEASE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CPS Announces $767.85 Million Senior Subordinate Asset-Backed Securitization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LAS VEGAS, Nevada, October 21, 2026, (GlobeNewswire)</w:t>
      </w:r>
      <w:r>
        <w:rPr>
          <w:rFonts w:ascii="Times New Roman;Times;Serif" w:hAnsi="Times New Roman;Times;Serif"/>
          <w:b w:val="false"/>
          <w:i w:val="false"/>
          <w:caps w:val="false"/>
          <w:smallCaps w:val="false"/>
          <w:sz w:val="20"/>
        </w:rPr>
        <w:t xml:space="preserve"> – Consumer Portfolio Services, Inc. (Nasdaq: CPSS) (“CPS” or the “Company”) announced the closing of its fourth term securitization in 2026 on Wednesday October 21, 2026. The transaction is CPS’s 61st senior subordinate securitization since the beginning of 2011, and the 44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consecutive securitization to receive a triple “A” rating from at least two rating agencies on the senior class of notes. It also marks the 111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securitization in the history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transaction, qualified institutional buyers purchased $767.85 million of asset-backed notes secured by $797.36 million in automobile receivables originated by CPS. The sold notes, issued by CPS Auto Receivables Trust 2026-D, consist of five classes. Ratings of the notes were provided by Moody’s and DBRS Morningstar, and were based on the structure of the transaction, the historical performance of similar receivables and CPS’s experience as a servicer.</w:t>
      </w:r>
    </w:p>
    <w:p>
      <w:pPr>
        <w:pStyle w:val="TextBody"/>
        <w:bidi w:val="0"/>
        <w:spacing w:before="0" w:after="0"/>
        <w:ind w:left="0" w:right="0" w:hanging="0"/>
        <w:jc w:val="both"/>
        <w:rPr>
          <w:caps w:val="false"/>
          <w:smallCaps w:val="false"/>
        </w:rPr>
      </w:pPr>
      <w:r>
        <w:rPr>
          <w:caps w:val="false"/>
          <w:smallCaps w:val="false"/>
        </w:rPr>
        <w:t> </w:t>
      </w:r>
    </w:p>
    <w:tbl>
      <w:tblPr>
        <w:tblW w:w="8090" w:type="dxa"/>
        <w:jc w:val="left"/>
        <w:tblInd w:w="0" w:type="dxa"/>
        <w:tblLayout w:type="fixed"/>
        <w:tblCellMar>
          <w:top w:w="0" w:type="dxa"/>
          <w:left w:w="0" w:type="dxa"/>
          <w:bottom w:w="0" w:type="dxa"/>
          <w:right w:w="0" w:type="dxa"/>
        </w:tblCellMar>
      </w:tblPr>
      <w:tblGrid>
        <w:gridCol w:w="905"/>
        <w:gridCol w:w="1025"/>
        <w:gridCol w:w="1040"/>
        <w:gridCol w:w="1655"/>
        <w:gridCol w:w="965"/>
        <w:gridCol w:w="1355"/>
        <w:gridCol w:w="1145"/>
      </w:tblGrid>
      <w:tr>
        <w:trPr/>
        <w:tc>
          <w:tcPr>
            <w:tcW w:w="905" w:type="dxa"/>
            <w:tcBorders/>
            <w:vAlign w:val="center"/>
          </w:tcPr>
          <w:p>
            <w:pPr>
              <w:pStyle w:val="TableContents"/>
              <w:bidi w:val="0"/>
              <w:spacing w:before="0" w:after="283"/>
              <w:jc w:val="center"/>
              <w:rPr>
                <w:sz w:val="20"/>
                <w:u w:val="single"/>
              </w:rPr>
            </w:pPr>
            <w:r>
              <w:rPr>
                <w:sz w:val="20"/>
                <w:u w:val="single"/>
              </w:rPr>
              <w:t>Note Class</w:t>
            </w:r>
          </w:p>
        </w:tc>
        <w:tc>
          <w:tcPr>
            <w:tcW w:w="10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Amount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 millions)</w:t>
            </w:r>
          </w:p>
        </w:tc>
        <w:tc>
          <w:tcPr>
            <w:tcW w:w="1040" w:type="dxa"/>
            <w:tcBorders/>
            <w:vAlign w:val="center"/>
          </w:tcPr>
          <w:p>
            <w:pPr>
              <w:pStyle w:val="TableContents"/>
              <w:bidi w:val="0"/>
              <w:spacing w:before="0" w:after="283"/>
              <w:jc w:val="center"/>
              <w:rPr>
                <w:sz w:val="20"/>
                <w:u w:val="single"/>
              </w:rPr>
            </w:pPr>
            <w:r>
              <w:rPr>
                <w:sz w:val="20"/>
                <w:u w:val="single"/>
              </w:rPr>
              <w:t>Interest Rate</w:t>
            </w:r>
          </w:p>
        </w:tc>
        <w:tc>
          <w:tcPr>
            <w:tcW w:w="1655" w:type="dxa"/>
            <w:tcBorders/>
            <w:vAlign w:val="center"/>
          </w:tcPr>
          <w:p>
            <w:pPr>
              <w:pStyle w:val="TableContents"/>
              <w:bidi w:val="0"/>
              <w:spacing w:before="0" w:after="283"/>
              <w:jc w:val="center"/>
              <w:rPr>
                <w:sz w:val="20"/>
                <w:u w:val="single"/>
              </w:rPr>
            </w:pPr>
            <w:r>
              <w:rPr>
                <w:sz w:val="20"/>
                <w:u w:val="single"/>
              </w:rPr>
              <w:t>Average Life (years)</w:t>
            </w:r>
          </w:p>
        </w:tc>
        <w:tc>
          <w:tcPr>
            <w:tcW w:w="965" w:type="dxa"/>
            <w:tcBorders/>
            <w:vAlign w:val="center"/>
          </w:tcPr>
          <w:p>
            <w:pPr>
              <w:pStyle w:val="TableContents"/>
              <w:bidi w:val="0"/>
              <w:spacing w:before="0" w:after="283"/>
              <w:jc w:val="center"/>
              <w:rPr>
                <w:sz w:val="20"/>
                <w:u w:val="single"/>
              </w:rPr>
            </w:pPr>
            <w:r>
              <w:rPr>
                <w:sz w:val="20"/>
                <w:u w:val="single"/>
              </w:rPr>
              <w:t>Price</w:t>
            </w:r>
          </w:p>
        </w:tc>
        <w:tc>
          <w:tcPr>
            <w:tcW w:w="135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Moody’s Rating</w:t>
            </w:r>
          </w:p>
        </w:tc>
        <w:tc>
          <w:tcPr>
            <w:tcW w:w="114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DBRS Rating</w:t>
            </w:r>
          </w:p>
        </w:tc>
      </w:tr>
      <w:tr>
        <w:trPr/>
        <w:tc>
          <w:tcPr>
            <w:tcW w:w="905" w:type="dxa"/>
            <w:tcBorders/>
            <w:shd w:fill="EEEEEE" w:val="clear"/>
            <w:vAlign w:val="center"/>
          </w:tcPr>
          <w:p>
            <w:pPr>
              <w:pStyle w:val="TableContents"/>
              <w:bidi w:val="0"/>
              <w:spacing w:before="0" w:after="283"/>
              <w:jc w:val="center"/>
              <w:rPr>
                <w:sz w:val="20"/>
              </w:rPr>
            </w:pPr>
            <w:r>
              <w:rPr>
                <w:sz w:val="20"/>
              </w:rPr>
              <w:t>A</w:t>
            </w:r>
          </w:p>
        </w:tc>
        <w:tc>
          <w:tcPr>
            <w:tcW w:w="1025" w:type="dxa"/>
            <w:tcBorders/>
            <w:shd w:fill="EEEEEE" w:val="clear"/>
            <w:vAlign w:val="center"/>
          </w:tcPr>
          <w:p>
            <w:pPr>
              <w:pStyle w:val="TableContents"/>
              <w:bidi w:val="0"/>
              <w:spacing w:before="0" w:after="283"/>
              <w:jc w:val="center"/>
              <w:rPr>
                <w:sz w:val="20"/>
              </w:rPr>
            </w:pPr>
            <w:r>
              <w:rPr>
                <w:sz w:val="20"/>
              </w:rPr>
              <w:t>$ 356.340</w:t>
            </w:r>
          </w:p>
        </w:tc>
        <w:tc>
          <w:tcPr>
            <w:tcW w:w="1040" w:type="dxa"/>
            <w:tcBorders/>
            <w:shd w:fill="EEEEEE" w:val="clear"/>
            <w:vAlign w:val="center"/>
          </w:tcPr>
          <w:p>
            <w:pPr>
              <w:pStyle w:val="TableContents"/>
              <w:bidi w:val="0"/>
              <w:spacing w:before="0" w:after="283"/>
              <w:jc w:val="center"/>
              <w:rPr>
                <w:sz w:val="20"/>
              </w:rPr>
            </w:pPr>
            <w:r>
              <w:rPr>
                <w:sz w:val="20"/>
              </w:rPr>
              <w:t>5.14%</w:t>
            </w:r>
          </w:p>
        </w:tc>
        <w:tc>
          <w:tcPr>
            <w:tcW w:w="1655" w:type="dxa"/>
            <w:tcBorders/>
            <w:shd w:fill="EEEEEE" w:val="clear"/>
            <w:vAlign w:val="center"/>
          </w:tcPr>
          <w:p>
            <w:pPr>
              <w:pStyle w:val="TableContents"/>
              <w:bidi w:val="0"/>
              <w:spacing w:before="0" w:after="283"/>
              <w:jc w:val="center"/>
              <w:rPr>
                <w:sz w:val="20"/>
              </w:rPr>
            </w:pPr>
            <w:r>
              <w:rPr>
                <w:sz w:val="20"/>
              </w:rPr>
              <w:t>0.71</w:t>
            </w:r>
          </w:p>
        </w:tc>
        <w:tc>
          <w:tcPr>
            <w:tcW w:w="965" w:type="dxa"/>
            <w:tcBorders/>
            <w:shd w:fill="EEEEEE" w:val="clear"/>
            <w:vAlign w:val="center"/>
          </w:tcPr>
          <w:p>
            <w:pPr>
              <w:pStyle w:val="TableContents"/>
              <w:bidi w:val="0"/>
              <w:spacing w:before="0" w:after="283"/>
              <w:jc w:val="center"/>
              <w:rPr>
                <w:sz w:val="20"/>
              </w:rPr>
            </w:pPr>
            <w:r>
              <w:rPr>
                <w:sz w:val="20"/>
              </w:rPr>
              <w:t>99.99500%</w:t>
            </w:r>
          </w:p>
        </w:tc>
        <w:tc>
          <w:tcPr>
            <w:tcW w:w="1355" w:type="dxa"/>
            <w:tcBorders/>
            <w:shd w:fill="EEEEEE" w:val="clear"/>
            <w:vAlign w:val="center"/>
          </w:tcPr>
          <w:p>
            <w:pPr>
              <w:pStyle w:val="TableContents"/>
              <w:bidi w:val="0"/>
              <w:spacing w:before="0" w:after="283"/>
              <w:jc w:val="center"/>
              <w:rPr>
                <w:sz w:val="20"/>
              </w:rPr>
            </w:pPr>
            <w:r>
              <w:rPr>
                <w:sz w:val="20"/>
              </w:rPr>
              <w:t>Aaa</w:t>
            </w:r>
          </w:p>
        </w:tc>
        <w:tc>
          <w:tcPr>
            <w:tcW w:w="1145" w:type="dxa"/>
            <w:tcBorders/>
            <w:shd w:fill="EEEEEE" w:val="clear"/>
            <w:vAlign w:val="center"/>
          </w:tcPr>
          <w:p>
            <w:pPr>
              <w:pStyle w:val="TableContents"/>
              <w:bidi w:val="0"/>
              <w:spacing w:before="0" w:after="283"/>
              <w:jc w:val="center"/>
              <w:rPr>
                <w:sz w:val="20"/>
              </w:rPr>
            </w:pPr>
            <w:r>
              <w:rPr>
                <w:sz w:val="20"/>
              </w:rPr>
              <w:t>AAA</w:t>
            </w:r>
          </w:p>
        </w:tc>
      </w:tr>
      <w:tr>
        <w:trPr/>
        <w:tc>
          <w:tcPr>
            <w:tcW w:w="905" w:type="dxa"/>
            <w:tcBorders/>
            <w:shd w:fill="FFFFFF" w:val="clear"/>
            <w:vAlign w:val="center"/>
          </w:tcPr>
          <w:p>
            <w:pPr>
              <w:pStyle w:val="TableContents"/>
              <w:bidi w:val="0"/>
              <w:spacing w:before="0" w:after="283"/>
              <w:jc w:val="center"/>
              <w:rPr>
                <w:sz w:val="20"/>
              </w:rPr>
            </w:pPr>
            <w:r>
              <w:rPr>
                <w:sz w:val="20"/>
              </w:rPr>
              <w:t>B</w:t>
            </w:r>
          </w:p>
        </w:tc>
        <w:tc>
          <w:tcPr>
            <w:tcW w:w="1025" w:type="dxa"/>
            <w:tcBorders/>
            <w:shd w:fill="FFFFFF" w:val="clear"/>
            <w:vAlign w:val="center"/>
          </w:tcPr>
          <w:p>
            <w:pPr>
              <w:pStyle w:val="TableContents"/>
              <w:bidi w:val="0"/>
              <w:spacing w:before="0" w:after="283"/>
              <w:jc w:val="center"/>
              <w:rPr>
                <w:sz w:val="20"/>
              </w:rPr>
            </w:pPr>
            <w:r>
              <w:rPr>
                <w:sz w:val="20"/>
              </w:rPr>
              <w:t>$ 111.470</w:t>
            </w:r>
          </w:p>
        </w:tc>
        <w:tc>
          <w:tcPr>
            <w:tcW w:w="1040" w:type="dxa"/>
            <w:tcBorders/>
            <w:shd w:fill="FFFFFF" w:val="clear"/>
            <w:vAlign w:val="center"/>
          </w:tcPr>
          <w:p>
            <w:pPr>
              <w:pStyle w:val="TableContents"/>
              <w:bidi w:val="0"/>
              <w:spacing w:before="0" w:after="283"/>
              <w:jc w:val="center"/>
              <w:rPr>
                <w:sz w:val="20"/>
              </w:rPr>
            </w:pPr>
            <w:r>
              <w:rPr>
                <w:sz w:val="20"/>
              </w:rPr>
              <w:t>5.59%</w:t>
            </w:r>
          </w:p>
        </w:tc>
        <w:tc>
          <w:tcPr>
            <w:tcW w:w="1655" w:type="dxa"/>
            <w:tcBorders/>
            <w:shd w:fill="FFFFFF" w:val="clear"/>
            <w:vAlign w:val="center"/>
          </w:tcPr>
          <w:p>
            <w:pPr>
              <w:pStyle w:val="TableContents"/>
              <w:bidi w:val="0"/>
              <w:spacing w:before="0" w:after="283"/>
              <w:jc w:val="center"/>
              <w:rPr>
                <w:sz w:val="20"/>
              </w:rPr>
            </w:pPr>
            <w:r>
              <w:rPr>
                <w:sz w:val="20"/>
              </w:rPr>
              <w:t>1.84</w:t>
            </w:r>
          </w:p>
        </w:tc>
        <w:tc>
          <w:tcPr>
            <w:tcW w:w="965" w:type="dxa"/>
            <w:tcBorders/>
            <w:shd w:fill="FFFFFF" w:val="clear"/>
            <w:vAlign w:val="center"/>
          </w:tcPr>
          <w:p>
            <w:pPr>
              <w:pStyle w:val="TableContents"/>
              <w:bidi w:val="0"/>
              <w:spacing w:before="0" w:after="283"/>
              <w:jc w:val="center"/>
              <w:rPr>
                <w:sz w:val="20"/>
              </w:rPr>
            </w:pPr>
            <w:r>
              <w:rPr>
                <w:sz w:val="20"/>
              </w:rPr>
              <w:t>99.99423%</w:t>
            </w:r>
          </w:p>
        </w:tc>
        <w:tc>
          <w:tcPr>
            <w:tcW w:w="1355" w:type="dxa"/>
            <w:tcBorders/>
            <w:shd w:fill="FFFFFF" w:val="clear"/>
            <w:vAlign w:val="center"/>
          </w:tcPr>
          <w:p>
            <w:pPr>
              <w:pStyle w:val="TableContents"/>
              <w:bidi w:val="0"/>
              <w:spacing w:before="0" w:after="283"/>
              <w:jc w:val="center"/>
              <w:rPr>
                <w:sz w:val="20"/>
              </w:rPr>
            </w:pPr>
            <w:r>
              <w:rPr>
                <w:sz w:val="20"/>
              </w:rPr>
              <w:t>Aaa</w:t>
            </w:r>
          </w:p>
        </w:tc>
        <w:tc>
          <w:tcPr>
            <w:tcW w:w="1145" w:type="dxa"/>
            <w:tcBorders/>
            <w:shd w:fill="FFFFFF" w:val="clear"/>
            <w:vAlign w:val="center"/>
          </w:tcPr>
          <w:p>
            <w:pPr>
              <w:pStyle w:val="TableContents"/>
              <w:bidi w:val="0"/>
              <w:spacing w:before="0" w:after="283"/>
              <w:jc w:val="center"/>
              <w:rPr>
                <w:sz w:val="20"/>
              </w:rPr>
            </w:pPr>
            <w:r>
              <w:rPr>
                <w:sz w:val="20"/>
              </w:rPr>
              <w:t>AA</w:t>
            </w:r>
          </w:p>
        </w:tc>
      </w:tr>
      <w:tr>
        <w:trPr/>
        <w:tc>
          <w:tcPr>
            <w:tcW w:w="905" w:type="dxa"/>
            <w:tcBorders/>
            <w:shd w:fill="EEEEEE" w:val="clear"/>
            <w:vAlign w:val="center"/>
          </w:tcPr>
          <w:p>
            <w:pPr>
              <w:pStyle w:val="TableContents"/>
              <w:bidi w:val="0"/>
              <w:spacing w:before="0" w:after="283"/>
              <w:jc w:val="center"/>
              <w:rPr>
                <w:sz w:val="20"/>
              </w:rPr>
            </w:pPr>
            <w:r>
              <w:rPr>
                <w:sz w:val="20"/>
              </w:rPr>
              <w:t>C</w:t>
            </w:r>
          </w:p>
        </w:tc>
        <w:tc>
          <w:tcPr>
            <w:tcW w:w="1025" w:type="dxa"/>
            <w:tcBorders/>
            <w:shd w:fill="EEEEEE" w:val="clear"/>
            <w:vAlign w:val="center"/>
          </w:tcPr>
          <w:p>
            <w:pPr>
              <w:pStyle w:val="TableContents"/>
              <w:bidi w:val="0"/>
              <w:spacing w:before="0" w:after="283"/>
              <w:jc w:val="center"/>
              <w:rPr>
                <w:sz w:val="20"/>
              </w:rPr>
            </w:pPr>
            <w:r>
              <w:rPr>
                <w:sz w:val="20"/>
              </w:rPr>
              <w:t>$ 118.090</w:t>
            </w:r>
          </w:p>
        </w:tc>
        <w:tc>
          <w:tcPr>
            <w:tcW w:w="1040" w:type="dxa"/>
            <w:tcBorders/>
            <w:shd w:fill="EEEEEE" w:val="clear"/>
            <w:vAlign w:val="center"/>
          </w:tcPr>
          <w:p>
            <w:pPr>
              <w:pStyle w:val="TableContents"/>
              <w:bidi w:val="0"/>
              <w:spacing w:before="0" w:after="283"/>
              <w:jc w:val="center"/>
              <w:rPr>
                <w:sz w:val="20"/>
              </w:rPr>
            </w:pPr>
            <w:r>
              <w:rPr>
                <w:sz w:val="20"/>
              </w:rPr>
              <w:t>6.01%</w:t>
            </w:r>
          </w:p>
        </w:tc>
        <w:tc>
          <w:tcPr>
            <w:tcW w:w="1655" w:type="dxa"/>
            <w:tcBorders/>
            <w:shd w:fill="EEEEEE" w:val="clear"/>
            <w:vAlign w:val="center"/>
          </w:tcPr>
          <w:p>
            <w:pPr>
              <w:pStyle w:val="TableContents"/>
              <w:bidi w:val="0"/>
              <w:spacing w:before="0" w:after="283"/>
              <w:jc w:val="center"/>
              <w:rPr>
                <w:sz w:val="20"/>
              </w:rPr>
            </w:pPr>
            <w:r>
              <w:rPr>
                <w:sz w:val="20"/>
              </w:rPr>
              <w:t>2.54</w:t>
            </w:r>
          </w:p>
        </w:tc>
        <w:tc>
          <w:tcPr>
            <w:tcW w:w="965" w:type="dxa"/>
            <w:tcBorders/>
            <w:shd w:fill="EEEEEE" w:val="clear"/>
            <w:vAlign w:val="center"/>
          </w:tcPr>
          <w:p>
            <w:pPr>
              <w:pStyle w:val="TableContents"/>
              <w:bidi w:val="0"/>
              <w:spacing w:before="0" w:after="283"/>
              <w:jc w:val="center"/>
              <w:rPr>
                <w:sz w:val="20"/>
              </w:rPr>
            </w:pPr>
            <w:r>
              <w:rPr>
                <w:sz w:val="20"/>
              </w:rPr>
              <w:t>99.98129%</w:t>
            </w:r>
          </w:p>
        </w:tc>
        <w:tc>
          <w:tcPr>
            <w:tcW w:w="1355" w:type="dxa"/>
            <w:tcBorders/>
            <w:shd w:fill="EEEEEE" w:val="clear"/>
            <w:vAlign w:val="center"/>
          </w:tcPr>
          <w:p>
            <w:pPr>
              <w:pStyle w:val="TableContents"/>
              <w:bidi w:val="0"/>
              <w:spacing w:before="0" w:after="283"/>
              <w:jc w:val="center"/>
              <w:rPr>
                <w:sz w:val="20"/>
              </w:rPr>
            </w:pPr>
            <w:r>
              <w:rPr>
                <w:sz w:val="20"/>
              </w:rPr>
              <w:t>Aa3</w:t>
            </w:r>
          </w:p>
        </w:tc>
        <w:tc>
          <w:tcPr>
            <w:tcW w:w="1145" w:type="dxa"/>
            <w:tcBorders/>
            <w:shd w:fill="EEEEEE" w:val="clear"/>
            <w:vAlign w:val="center"/>
          </w:tcPr>
          <w:p>
            <w:pPr>
              <w:pStyle w:val="TableContents"/>
              <w:bidi w:val="0"/>
              <w:spacing w:before="0" w:after="283"/>
              <w:jc w:val="center"/>
              <w:rPr>
                <w:sz w:val="20"/>
              </w:rPr>
            </w:pPr>
            <w:r>
              <w:rPr>
                <w:sz w:val="20"/>
              </w:rPr>
              <w:t>A</w:t>
            </w:r>
          </w:p>
        </w:tc>
      </w:tr>
      <w:tr>
        <w:trPr/>
        <w:tc>
          <w:tcPr>
            <w:tcW w:w="905" w:type="dxa"/>
            <w:tcBorders/>
            <w:shd w:fill="FFFFFF" w:val="clear"/>
            <w:vAlign w:val="center"/>
          </w:tcPr>
          <w:p>
            <w:pPr>
              <w:pStyle w:val="TableContents"/>
              <w:bidi w:val="0"/>
              <w:spacing w:before="0" w:after="283"/>
              <w:jc w:val="center"/>
              <w:rPr>
                <w:sz w:val="20"/>
              </w:rPr>
            </w:pPr>
            <w:r>
              <w:rPr>
                <w:sz w:val="20"/>
              </w:rPr>
              <w:t>D</w:t>
            </w:r>
          </w:p>
        </w:tc>
        <w:tc>
          <w:tcPr>
            <w:tcW w:w="1025" w:type="dxa"/>
            <w:tcBorders/>
            <w:shd w:fill="FFFFFF" w:val="clear"/>
            <w:vAlign w:val="center"/>
          </w:tcPr>
          <w:p>
            <w:pPr>
              <w:pStyle w:val="TableContents"/>
              <w:bidi w:val="0"/>
              <w:spacing w:before="0" w:after="283"/>
              <w:jc w:val="center"/>
              <w:rPr>
                <w:sz w:val="20"/>
              </w:rPr>
            </w:pPr>
            <w:r>
              <w:rPr>
                <w:sz w:val="20"/>
              </w:rPr>
              <w:t>$ 71.120</w:t>
            </w:r>
          </w:p>
        </w:tc>
        <w:tc>
          <w:tcPr>
            <w:tcW w:w="1040" w:type="dxa"/>
            <w:tcBorders/>
            <w:shd w:fill="FFFFFF" w:val="clear"/>
            <w:vAlign w:val="center"/>
          </w:tcPr>
          <w:p>
            <w:pPr>
              <w:pStyle w:val="TableContents"/>
              <w:bidi w:val="0"/>
              <w:spacing w:before="0" w:after="283"/>
              <w:jc w:val="center"/>
              <w:rPr>
                <w:sz w:val="20"/>
              </w:rPr>
            </w:pPr>
            <w:r>
              <w:rPr>
                <w:sz w:val="20"/>
              </w:rPr>
              <w:t>6.55%</w:t>
            </w:r>
          </w:p>
        </w:tc>
        <w:tc>
          <w:tcPr>
            <w:tcW w:w="1655" w:type="dxa"/>
            <w:tcBorders/>
            <w:shd w:fill="FFFFFF" w:val="clear"/>
            <w:vAlign w:val="center"/>
          </w:tcPr>
          <w:p>
            <w:pPr>
              <w:pStyle w:val="TableContents"/>
              <w:bidi w:val="0"/>
              <w:spacing w:before="0" w:after="283"/>
              <w:jc w:val="center"/>
              <w:rPr>
                <w:sz w:val="20"/>
              </w:rPr>
            </w:pPr>
            <w:r>
              <w:rPr>
                <w:sz w:val="20"/>
              </w:rPr>
              <w:t>3.31</w:t>
            </w:r>
          </w:p>
        </w:tc>
        <w:tc>
          <w:tcPr>
            <w:tcW w:w="965" w:type="dxa"/>
            <w:tcBorders/>
            <w:shd w:fill="FFFFFF" w:val="clear"/>
            <w:vAlign w:val="center"/>
          </w:tcPr>
          <w:p>
            <w:pPr>
              <w:pStyle w:val="TableContents"/>
              <w:bidi w:val="0"/>
              <w:spacing w:before="0" w:after="283"/>
              <w:jc w:val="center"/>
              <w:rPr>
                <w:sz w:val="20"/>
              </w:rPr>
            </w:pPr>
            <w:r>
              <w:rPr>
                <w:sz w:val="20"/>
              </w:rPr>
              <w:t>99.98877%</w:t>
            </w:r>
          </w:p>
        </w:tc>
        <w:tc>
          <w:tcPr>
            <w:tcW w:w="1355" w:type="dxa"/>
            <w:tcBorders/>
            <w:shd w:fill="FFFFFF" w:val="clear"/>
            <w:vAlign w:val="center"/>
          </w:tcPr>
          <w:p>
            <w:pPr>
              <w:pStyle w:val="TableContents"/>
              <w:bidi w:val="0"/>
              <w:spacing w:before="0" w:after="283"/>
              <w:jc w:val="center"/>
              <w:rPr>
                <w:sz w:val="20"/>
              </w:rPr>
            </w:pPr>
            <w:r>
              <w:rPr>
                <w:sz w:val="20"/>
              </w:rPr>
              <w:t>Baa2</w:t>
            </w:r>
          </w:p>
        </w:tc>
        <w:tc>
          <w:tcPr>
            <w:tcW w:w="1145" w:type="dxa"/>
            <w:tcBorders/>
            <w:shd w:fill="FFFFFF" w:val="clear"/>
            <w:vAlign w:val="center"/>
          </w:tcPr>
          <w:p>
            <w:pPr>
              <w:pStyle w:val="TableContents"/>
              <w:bidi w:val="0"/>
              <w:spacing w:before="0" w:after="283"/>
              <w:jc w:val="center"/>
              <w:rPr>
                <w:sz w:val="20"/>
              </w:rPr>
            </w:pPr>
            <w:r>
              <w:rPr>
                <w:sz w:val="20"/>
              </w:rPr>
              <w:t>BBB</w:t>
            </w:r>
          </w:p>
        </w:tc>
      </w:tr>
      <w:tr>
        <w:trPr/>
        <w:tc>
          <w:tcPr>
            <w:tcW w:w="905" w:type="dxa"/>
            <w:tcBorders/>
            <w:shd w:fill="EEEEEE" w:val="clear"/>
            <w:vAlign w:val="center"/>
          </w:tcPr>
          <w:p>
            <w:pPr>
              <w:pStyle w:val="TableContents"/>
              <w:bidi w:val="0"/>
              <w:spacing w:before="0" w:after="283"/>
              <w:jc w:val="center"/>
              <w:rPr>
                <w:sz w:val="20"/>
              </w:rPr>
            </w:pPr>
            <w:r>
              <w:rPr>
                <w:sz w:val="20"/>
              </w:rPr>
              <w:t>E</w:t>
            </w:r>
          </w:p>
        </w:tc>
        <w:tc>
          <w:tcPr>
            <w:tcW w:w="1025" w:type="dxa"/>
            <w:tcBorders/>
            <w:shd w:fill="EEEEEE" w:val="clear"/>
            <w:vAlign w:val="center"/>
          </w:tcPr>
          <w:p>
            <w:pPr>
              <w:pStyle w:val="TableContents"/>
              <w:bidi w:val="0"/>
              <w:spacing w:before="0" w:after="283"/>
              <w:jc w:val="center"/>
              <w:rPr>
                <w:sz w:val="20"/>
              </w:rPr>
            </w:pPr>
            <w:r>
              <w:rPr>
                <w:sz w:val="20"/>
              </w:rPr>
              <w:t>$ 110.830</w:t>
            </w:r>
          </w:p>
        </w:tc>
        <w:tc>
          <w:tcPr>
            <w:tcW w:w="1040" w:type="dxa"/>
            <w:tcBorders/>
            <w:shd w:fill="EEEEEE" w:val="clear"/>
            <w:vAlign w:val="center"/>
          </w:tcPr>
          <w:p>
            <w:pPr>
              <w:pStyle w:val="TableContents"/>
              <w:bidi w:val="0"/>
              <w:spacing w:before="0" w:after="283"/>
              <w:jc w:val="center"/>
              <w:rPr>
                <w:sz w:val="20"/>
              </w:rPr>
            </w:pPr>
            <w:r>
              <w:rPr>
                <w:sz w:val="20"/>
              </w:rPr>
              <w:t>8.56%</w:t>
            </w:r>
          </w:p>
        </w:tc>
        <w:tc>
          <w:tcPr>
            <w:tcW w:w="1655" w:type="dxa"/>
            <w:tcBorders/>
            <w:shd w:fill="EEEEEE" w:val="clear"/>
            <w:vAlign w:val="center"/>
          </w:tcPr>
          <w:p>
            <w:pPr>
              <w:pStyle w:val="TableContents"/>
              <w:bidi w:val="0"/>
              <w:spacing w:before="0" w:after="283"/>
              <w:jc w:val="center"/>
              <w:rPr>
                <w:sz w:val="20"/>
              </w:rPr>
            </w:pPr>
            <w:r>
              <w:rPr>
                <w:sz w:val="20"/>
              </w:rPr>
              <w:t>4.05</w:t>
            </w:r>
          </w:p>
        </w:tc>
        <w:tc>
          <w:tcPr>
            <w:tcW w:w="965" w:type="dxa"/>
            <w:tcBorders/>
            <w:shd w:fill="EEEEEE" w:val="clear"/>
            <w:vAlign w:val="center"/>
          </w:tcPr>
          <w:p>
            <w:pPr>
              <w:pStyle w:val="TableContents"/>
              <w:bidi w:val="0"/>
              <w:spacing w:before="0" w:after="283"/>
              <w:jc w:val="center"/>
              <w:rPr>
                <w:sz w:val="20"/>
              </w:rPr>
            </w:pPr>
            <w:r>
              <w:rPr>
                <w:sz w:val="20"/>
              </w:rPr>
              <w:t>99.98762%</w:t>
            </w:r>
          </w:p>
        </w:tc>
        <w:tc>
          <w:tcPr>
            <w:tcW w:w="1355" w:type="dxa"/>
            <w:tcBorders/>
            <w:shd w:fill="EEEEEE" w:val="clear"/>
            <w:vAlign w:val="center"/>
          </w:tcPr>
          <w:p>
            <w:pPr>
              <w:pStyle w:val="TableContents"/>
              <w:bidi w:val="0"/>
              <w:spacing w:before="0" w:after="283"/>
              <w:jc w:val="center"/>
              <w:rPr>
                <w:sz w:val="20"/>
              </w:rPr>
            </w:pPr>
            <w:r>
              <w:rPr>
                <w:sz w:val="20"/>
              </w:rPr>
              <w:t>NR</w:t>
            </w:r>
          </w:p>
        </w:tc>
        <w:tc>
          <w:tcPr>
            <w:tcW w:w="1145" w:type="dxa"/>
            <w:tcBorders/>
            <w:shd w:fill="EEEEEE" w:val="clear"/>
            <w:vAlign w:val="center"/>
          </w:tcPr>
          <w:p>
            <w:pPr>
              <w:pStyle w:val="TableContents"/>
              <w:bidi w:val="0"/>
              <w:spacing w:before="0" w:after="283"/>
              <w:jc w:val="center"/>
              <w:rPr>
                <w:sz w:val="20"/>
              </w:rPr>
            </w:pPr>
            <w:r>
              <w:rPr>
                <w:sz w:val="20"/>
              </w:rPr>
              <w:t>BB</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coupon on the notes is approximately 6.68%.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2026-D transaction has initial credit enhancement consisting of a cash deposit equal to 1.00% of the original receivable pool balance and overcollateralization of 3.70%. The transaction agreements require accelerated payment of principal on the notes to reach overcollateralization of the lesser of 8.00% of the original receivable pool balance, or 19.40% of the then outstanding pool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a private offering of securities, not registered under the Securities Act of 1933, or any state securities law. All such securities having been sold, this announcement of their sale appears as a matter of record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Consumer Portfolio Services,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Danny Bharwani,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949-753-6811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1572</Words>
  <Characters>8619</Characters>
  <CharactersWithSpaces>10190</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