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ind w:left="4020" w:right="1500" w:hanging="4012"/>
        <w:spacing w:after="0" w:line="500" w:lineRule="auto"/>
        <w:tabs>
          <w:tab w:leader="none" w:pos="5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_____to_____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001-11416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CONSUMER PORTFOLIO SERVICES,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2025 the registrant had 21,559,795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20" w:type="dxa"/>
            <w:vAlign w:val="bottom"/>
            <w:gridSpan w:val="1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 AND SUBSIDIARIES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color w:val="auto"/>
                <w:w w:val="99"/>
              </w:rPr>
              <w:t>INDEX TO FORM 10-Q</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20" w:type="dxa"/>
            <w:vAlign w:val="bottom"/>
            <w:gridSpan w:val="1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6500" w:type="dxa"/>
            <w:vAlign w:val="bottom"/>
            <w:gridSpan w:val="12"/>
            <w:shd w:val="clear" w:color="auto" w:fill="EEEEEE"/>
          </w:tcPr>
          <w:p>
            <w:pPr>
              <w:jc w:val="center"/>
              <w:ind w:right="344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17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20" w:type="dxa"/>
            <w:vAlign w:val="bottom"/>
            <w:tcBorders>
              <w:bottom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180" w:type="dxa"/>
            <w:vAlign w:val="bottom"/>
            <w:tcBorders>
              <w:bottom w:val="single" w:sz="8" w:color="EEEEEE"/>
            </w:tcBorders>
            <w:gridSpan w:val="14"/>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6"/>
        </w:trPr>
        <w:tc>
          <w:tcPr>
            <w:tcW w:w="920" w:type="dxa"/>
            <w:vAlign w:val="bottom"/>
          </w:tcPr>
          <w:p>
            <w:pPr>
              <w:spacing w:after="0"/>
              <w:rPr>
                <w:sz w:val="15"/>
                <w:szCs w:val="15"/>
                <w:color w:val="auto"/>
              </w:rPr>
            </w:pPr>
          </w:p>
        </w:tc>
        <w:tc>
          <w:tcPr>
            <w:tcW w:w="96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2025, and December 31, 2024</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920" w:type="dxa"/>
            <w:vAlign w:val="bottom"/>
            <w:shd w:val="clear" w:color="auto" w:fill="EEEEEE"/>
          </w:tcPr>
          <w:p>
            <w:pPr>
              <w:spacing w:after="0"/>
              <w:rPr>
                <w:sz w:val="15"/>
                <w:szCs w:val="15"/>
                <w:color w:val="auto"/>
              </w:rPr>
            </w:pPr>
          </w:p>
        </w:tc>
        <w:tc>
          <w:tcPr>
            <w:tcW w:w="9680" w:type="dxa"/>
            <w:vAlign w:val="bottom"/>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periods ended March 31, 2025, and 2024</w:t>
            </w:r>
          </w:p>
        </w:tc>
        <w:tc>
          <w:tcPr>
            <w:tcW w:w="3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EEEEEE"/>
          </w:tcPr>
          <w:p>
            <w:pPr>
              <w:spacing w:after="0"/>
              <w:rPr>
                <w:sz w:val="15"/>
                <w:szCs w:val="15"/>
                <w:color w:val="auto"/>
              </w:rPr>
            </w:pPr>
          </w:p>
        </w:tc>
      </w:tr>
      <w:tr>
        <w:trPr>
          <w:trHeight w:val="20"/>
        </w:trPr>
        <w:tc>
          <w:tcPr>
            <w:tcW w:w="9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4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02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0000EE"/>
            </w:tcBorders>
            <w:shd w:val="clear" w:color="auto" w:fill="EEEEEE"/>
          </w:tcPr>
          <w:p>
            <w:pPr>
              <w:spacing w:after="0" w:line="20" w:lineRule="exact"/>
              <w:rPr>
                <w:sz w:val="1"/>
                <w:szCs w:val="1"/>
                <w:color w:val="auto"/>
              </w:rPr>
            </w:pPr>
          </w:p>
        </w:tc>
        <w:tc>
          <w:tcPr>
            <w:tcW w:w="13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7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920" w:type="dxa"/>
            <w:vAlign w:val="bottom"/>
          </w:tcPr>
          <w:p>
            <w:pPr>
              <w:spacing w:after="0"/>
              <w:rPr>
                <w:sz w:val="15"/>
                <w:szCs w:val="15"/>
                <w:color w:val="auto"/>
              </w:rPr>
            </w:pPr>
          </w:p>
        </w:tc>
        <w:tc>
          <w:tcPr>
            <w:tcW w:w="96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three-month periods ended March 31, 2025, and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6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tcBorders>
              <w:bottom w:val="single" w:sz="8" w:color="EEEEEE"/>
            </w:tcBorders>
            <w:shd w:val="clear" w:color="auto" w:fill="EEEEEE"/>
          </w:tcPr>
          <w:p>
            <w:pPr>
              <w:spacing w:after="0"/>
              <w:rPr>
                <w:sz w:val="17"/>
                <w:szCs w:val="17"/>
                <w:color w:val="auto"/>
              </w:rPr>
            </w:pPr>
          </w:p>
        </w:tc>
        <w:tc>
          <w:tcPr>
            <w:tcW w:w="8940" w:type="dxa"/>
            <w:vAlign w:val="bottom"/>
            <w:tcBorders>
              <w:bottom w:val="single" w:sz="8" w:color="0000EE"/>
            </w:tcBorders>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three-month periods ended March 31, 2025, and 2024</w:t>
            </w:r>
          </w:p>
        </w:tc>
        <w:tc>
          <w:tcPr>
            <w:tcW w:w="740" w:type="dxa"/>
            <w:vAlign w:val="bottom"/>
            <w:tcBorders>
              <w:bottom w:val="single" w:sz="8" w:color="EEEEEE"/>
            </w:tcBorders>
            <w:gridSpan w:val="3"/>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6"/>
        </w:trPr>
        <w:tc>
          <w:tcPr>
            <w:tcW w:w="920" w:type="dxa"/>
            <w:vAlign w:val="bottom"/>
          </w:tcPr>
          <w:p>
            <w:pPr>
              <w:spacing w:after="0"/>
              <w:rPr>
                <w:sz w:val="15"/>
                <w:szCs w:val="15"/>
                <w:color w:val="auto"/>
              </w:rPr>
            </w:pPr>
          </w:p>
        </w:tc>
        <w:tc>
          <w:tcPr>
            <w:tcW w:w="96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three-month periods ended March 31, 2025, and</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6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tcBorders>
              <w:bottom w:val="single" w:sz="8" w:color="EEEEEE"/>
            </w:tcBorders>
            <w:shd w:val="clear" w:color="auto" w:fill="EEEEEE"/>
          </w:tcPr>
          <w:p>
            <w:pPr>
              <w:spacing w:after="0"/>
              <w:rPr>
                <w:sz w:val="17"/>
                <w:szCs w:val="17"/>
                <w:color w:val="auto"/>
              </w:rPr>
            </w:pPr>
          </w:p>
        </w:tc>
        <w:tc>
          <w:tcPr>
            <w:tcW w:w="4780" w:type="dxa"/>
            <w:vAlign w:val="bottom"/>
            <w:tcBorders>
              <w:bottom w:val="single" w:sz="8" w:color="0000EE"/>
            </w:tcBorders>
            <w:gridSpan w:val="1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900" w:type="dxa"/>
            <w:vAlign w:val="bottom"/>
            <w:tcBorders>
              <w:bottom w:val="single" w:sz="8" w:color="EEEEEE"/>
            </w:tcBorders>
            <w:gridSpan w:val="9"/>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26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shd w:val="clear" w:color="auto" w:fill="EEEEEE"/>
          </w:tcPr>
          <w:p>
            <w:pPr>
              <w:spacing w:after="0"/>
              <w:rPr>
                <w:sz w:val="17"/>
                <w:szCs w:val="17"/>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17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6500" w:type="dxa"/>
            <w:vAlign w:val="bottom"/>
            <w:gridSpan w:val="12"/>
            <w:shd w:val="clear" w:color="auto" w:fill="EEEEEE"/>
          </w:tcPr>
          <w:p>
            <w:pPr>
              <w:jc w:val="center"/>
              <w:ind w:right="346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16"/>
        </w:trPr>
        <w:tc>
          <w:tcPr>
            <w:tcW w:w="9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4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60" w:type="dxa"/>
            <w:vAlign w:val="bottom"/>
            <w:tcBorders>
              <w:top w:val="single" w:sz="8" w:color="EEEEEE"/>
            </w:tcBorders>
          </w:tcPr>
          <w:p>
            <w:pPr>
              <w:spacing w:after="0"/>
              <w:rPr>
                <w:sz w:val="18"/>
                <w:szCs w:val="18"/>
                <w:color w:val="auto"/>
              </w:rPr>
            </w:pPr>
          </w:p>
        </w:tc>
        <w:tc>
          <w:tcPr>
            <w:tcW w:w="17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2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380" w:type="dxa"/>
            <w:vAlign w:val="bottom"/>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60" w:type="dxa"/>
            <w:vAlign w:val="bottom"/>
            <w:shd w:val="clear" w:color="auto" w:fill="EEEEEE"/>
          </w:tcPr>
          <w:p>
            <w:pPr>
              <w:spacing w:after="0"/>
              <w:rPr>
                <w:sz w:val="17"/>
                <w:szCs w:val="17"/>
                <w:color w:val="auto"/>
              </w:rPr>
            </w:pPr>
          </w:p>
        </w:tc>
      </w:tr>
      <w:tr>
        <w:trPr>
          <w:trHeight w:val="175"/>
        </w:trPr>
        <w:tc>
          <w:tcPr>
            <w:tcW w:w="920" w:type="dxa"/>
            <w:vAlign w:val="bottom"/>
            <w:tcBorders>
              <w:top w:val="single" w:sz="8" w:color="EEEEEE"/>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360" w:type="dxa"/>
            <w:vAlign w:val="bottom"/>
            <w:tcBorders>
              <w:top w:val="single" w:sz="8" w:color="EEEEEE"/>
            </w:tcBorders>
            <w:gridSpan w:val="15"/>
          </w:tcPr>
          <w:p>
            <w:pPr>
              <w:spacing w:after="0"/>
              <w:rPr>
                <w:sz w:val="15"/>
                <w:szCs w:val="15"/>
                <w:color w:val="auto"/>
              </w:rPr>
            </w:pPr>
          </w:p>
        </w:tc>
        <w:tc>
          <w:tcPr>
            <w:tcW w:w="380" w:type="dxa"/>
            <w:vAlign w:val="bottom"/>
            <w:tcBorders>
              <w:top w:val="single" w:sz="8" w:color="EEEEEE"/>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60" w:type="dxa"/>
            <w:vAlign w:val="bottom"/>
            <w:tcBorders>
              <w:top w:val="single" w:sz="8" w:color="EEEEEE"/>
            </w:tcBorders>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tcBorders>
              <w:bottom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340" w:type="dxa"/>
            <w:vAlign w:val="bottom"/>
            <w:tcBorders>
              <w:bottom w:val="single" w:sz="8" w:color="EEEEEE"/>
            </w:tcBorders>
            <w:gridSpan w:val="10"/>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20" w:type="dxa"/>
            <w:vAlign w:val="bottom"/>
            <w:tcBorders>
              <w:bottom w:val="single" w:sz="8" w:color="EEEEEE"/>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80" w:type="dxa"/>
            <w:vAlign w:val="bottom"/>
            <w:tcBorders>
              <w:bottom w:val="single" w:sz="8" w:color="EEEEEE"/>
            </w:tcBorders>
            <w:gridSpan w:val="19"/>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5"/>
        </w:trPr>
        <w:tc>
          <w:tcPr>
            <w:tcW w:w="920" w:type="dxa"/>
            <w:vAlign w:val="bottom"/>
          </w:tcPr>
          <w:p>
            <w:pPr>
              <w:spacing w:after="0"/>
              <w:rPr>
                <w:sz w:val="15"/>
                <w:szCs w:val="15"/>
                <w:color w:val="auto"/>
              </w:rPr>
            </w:pPr>
          </w:p>
        </w:tc>
        <w:tc>
          <w:tcPr>
            <w:tcW w:w="76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920" w:type="dxa"/>
            <w:vAlign w:val="bottom"/>
            <w:gridSpan w:val="18"/>
          </w:tcPr>
          <w:p>
            <w:pPr>
              <w:spacing w:after="0"/>
              <w:rPr>
                <w:sz w:val="15"/>
                <w:szCs w:val="15"/>
                <w:color w:val="auto"/>
              </w:rPr>
            </w:pP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40" w:type="dxa"/>
            <w:vAlign w:val="bottom"/>
            <w:tcBorders>
              <w:bottom w:val="single" w:sz="8" w:color="EEEEEE"/>
            </w:tcBorders>
          </w:tcPr>
          <w:p>
            <w:pPr>
              <w:spacing w:after="0"/>
              <w:rPr>
                <w:sz w:val="20"/>
                <w:szCs w:val="20"/>
                <w:color w:val="auto"/>
              </w:rPr>
            </w:pPr>
          </w:p>
        </w:tc>
        <w:tc>
          <w:tcPr>
            <w:tcW w:w="32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153,637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3,449,106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r>
        <w:trPr>
          <w:trHeight w:val="216"/>
        </w:trPr>
        <w:tc>
          <w:tcPr>
            <w:tcW w:w="7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w:t>
            </w:r>
          </w:p>
        </w:tc>
      </w:tr>
      <w:tr>
        <w:trPr>
          <w:trHeight w:val="229"/>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1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36,171</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35,764</w:t>
            </w:r>
          </w:p>
        </w:tc>
      </w:tr>
      <w:tr>
        <w:trPr>
          <w:trHeight w:val="223"/>
        </w:trPr>
        <w:tc>
          <w:tcPr>
            <w:tcW w:w="73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3,673,606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75,289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70,151</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365,683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163,391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99,176</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2,743,269</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2,594,384</w:t>
            </w:r>
          </w:p>
        </w:tc>
      </w:tr>
      <w:tr>
        <w:trPr>
          <w:trHeight w:val="230"/>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27,547</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r>
      <w:tr>
        <w:trPr>
          <w:trHeight w:val="209"/>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3,375,179</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3,201,098</w:t>
            </w: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75,000,000 shares; 21,503,198 and 21,432,698 shares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2025 and December 31, 2024, respectively</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26,683</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25,720</w:t>
            </w:r>
          </w:p>
        </w:tc>
      </w:tr>
      <w:tr>
        <w:trPr>
          <w:trHeight w:val="216"/>
        </w:trPr>
        <w:tc>
          <w:tcPr>
            <w:tcW w:w="7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271,754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267,060</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298,427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292,770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40" w:type="dxa"/>
            <w:vAlign w:val="bottom"/>
            <w:shd w:val="clear" w:color="auto" w:fill="EEEEEE"/>
          </w:tcPr>
          <w:p>
            <w:pPr>
              <w:spacing w:after="0"/>
              <w:rPr>
                <w:sz w:val="21"/>
                <w:szCs w:val="21"/>
                <w:color w:val="auto"/>
              </w:rPr>
            </w:pPr>
          </w:p>
        </w:tc>
        <w:tc>
          <w:tcPr>
            <w:tcW w:w="5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3,673,606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3,493,868</w:t>
            </w:r>
          </w:p>
        </w:tc>
      </w:tr>
      <w:tr>
        <w:trPr>
          <w:trHeight w:val="20"/>
        </w:trPr>
        <w:tc>
          <w:tcPr>
            <w:tcW w:w="73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101,933</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84,288</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1,441</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106,874</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25,033</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24,416</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13,542</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54,918</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41,968</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5,911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1,398</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30"/>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100,072</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2,108</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23"/>
        </w:trPr>
        <w:tc>
          <w:tcPr>
            <w:tcW w:w="5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0.19</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21,444</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21,143</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24,325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24,602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4,694</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shd w:val="clear" w:color="auto" w:fill="EEEEEE"/>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 change in funded status of pension plan</w:t>
            </w:r>
          </w:p>
        </w:tc>
        <w:tc>
          <w:tcPr>
            <w:tcW w:w="106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19"/>
                <w:szCs w:val="19"/>
                <w:color w:val="auto"/>
              </w:rPr>
            </w:pP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4,694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64,907</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54,247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2,865</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(3,500)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(979)</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(407)</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29"/>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5,138</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16,579</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73,868</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52,705</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3,106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9,428</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(449,602)</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(328,893)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252,856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210,935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442,420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280,924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1,603</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5,489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(545)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(45,811)</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17,176</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65,000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(292,997)</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(268,710)</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(3,592)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166,324</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81,451</w:t>
            </w:r>
          </w:p>
        </w:tc>
        <w:tc>
          <w:tcPr>
            <w:tcW w:w="100" w:type="dxa"/>
            <w:vAlign w:val="bottom"/>
            <w:tcBorders>
              <w:bottom w:val="single" w:sz="8" w:color="EEEEEE"/>
            </w:tcBorders>
          </w:tcPr>
          <w:p>
            <w:pPr>
              <w:spacing w:after="0"/>
              <w:rPr>
                <w:sz w:val="18"/>
                <w:szCs w:val="18"/>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137,397</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125,431</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183,478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150,955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51,507</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42,145</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020" w:type="dxa"/>
            <w:vAlign w:val="bottom"/>
            <w:tcBorders>
              <w:bottom w:val="single" w:sz="8" w:color="EEEEEE"/>
            </w:tcBorders>
          </w:tcPr>
          <w:p>
            <w:pPr>
              <w:spacing w:after="0"/>
              <w:rPr>
                <w:sz w:val="19"/>
                <w:szCs w:val="19"/>
                <w:color w:val="auto"/>
              </w:rPr>
            </w:pPr>
          </w:p>
        </w:tc>
        <w:tc>
          <w:tcPr>
            <w:tcW w:w="164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21,433</w:t>
            </w:r>
          </w:p>
        </w:tc>
        <w:tc>
          <w:tcPr>
            <w:tcW w:w="9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21,175</w:t>
            </w: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09"/>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25,720</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28,678</w:t>
            </w: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246</w:t>
            </w:r>
          </w:p>
        </w:tc>
        <w:tc>
          <w:tcPr>
            <w:tcW w:w="9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(1,697)</w:t>
            </w:r>
          </w:p>
        </w:tc>
      </w:tr>
      <w:tr>
        <w:trPr>
          <w:trHeight w:val="229"/>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717</w:t>
            </w:r>
          </w:p>
        </w:tc>
        <w:tc>
          <w:tcPr>
            <w:tcW w:w="9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r>
      <w:tr>
        <w:trPr>
          <w:trHeight w:val="210"/>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32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28,518</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60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w w:val="99"/>
              </w:rPr>
              <w:t>267,060</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247,857</w:t>
            </w:r>
          </w:p>
        </w:tc>
        <w:tc>
          <w:tcPr>
            <w:tcW w:w="80" w:type="dxa"/>
            <w:vAlign w:val="bottom"/>
            <w:shd w:val="clear" w:color="auto" w:fill="EEEEEE"/>
          </w:tcPr>
          <w:p>
            <w:pPr>
              <w:spacing w:after="0"/>
              <w:rPr>
                <w:sz w:val="18"/>
                <w:szCs w:val="18"/>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4,694</w:t>
            </w:r>
          </w:p>
        </w:tc>
        <w:tc>
          <w:tcPr>
            <w:tcW w:w="9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80" w:type="dxa"/>
            <w:vAlign w:val="bottom"/>
          </w:tcPr>
          <w:p>
            <w:pPr>
              <w:spacing w:after="0"/>
              <w:rPr>
                <w:sz w:val="19"/>
                <w:szCs w:val="19"/>
                <w:color w:val="auto"/>
              </w:rPr>
            </w:pPr>
          </w:p>
        </w:tc>
      </w:tr>
      <w:tr>
        <w:trPr>
          <w:trHeight w:val="209"/>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271,754</w:t>
            </w: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252,447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(1,867)</w:t>
            </w: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0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298,427</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279,098</w:t>
            </w:r>
          </w:p>
        </w:tc>
        <w:tc>
          <w:tcPr>
            <w:tcW w:w="8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2025,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In accordance with the fair value accounting standards, credit losses are included in our computation of the appropriate level yield, therefore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2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1,431</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EEEEEE"/>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EEEEEE"/>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17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c>
          <w:tcPr>
            <w:tcW w:w="0" w:type="dxa"/>
            <w:vAlign w:val="bottom"/>
          </w:tcPr>
          <w:p>
            <w:pPr>
              <w:spacing w:after="0"/>
              <w:rPr>
                <w:sz w:val="1"/>
                <w:szCs w:val="1"/>
                <w:color w:val="auto"/>
              </w:rPr>
            </w:pPr>
          </w:p>
        </w:tc>
      </w:tr>
      <w:tr>
        <w:trPr>
          <w:trHeight w:val="229"/>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(32,850)</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(31,644)</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(21,471)</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(3,538)</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FFFFFF"/>
              </w:rPr>
              <w:t>$</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98"/>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Maturities of lease liabilities were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10"/>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5,084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3,761</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708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9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2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tc>
        <w:tc>
          <w:tcPr>
            <w:tcW w:w="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we recorded stock-based compensation costs in the amount of $717,000 and $832,000, respectively. As of March 31, 2025, unrecognized stock-based compensation costs to be recognized over future periods equaled $2.3 million. This amount will be recognized as expense over a weighted-average period of 0.8 years.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7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57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74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10"/>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3.49</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EEEEEE"/>
              <w:bottom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2.46 years</w:t>
            </w: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5,204</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2.24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March 31,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4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310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40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10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7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8"/>
                <w:szCs w:val="18"/>
                <w:color w:val="auto"/>
              </w:rPr>
            </w:pPr>
          </w:p>
        </w:tc>
        <w:tc>
          <w:tcPr>
            <w:tcW w:w="30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 $2.99</w:t>
            </w:r>
          </w:p>
        </w:tc>
        <w:tc>
          <w:tcPr>
            <w:tcW w:w="170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1,197</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1,197</w:t>
            </w:r>
          </w:p>
        </w:tc>
        <w:tc>
          <w:tcPr>
            <w:tcW w:w="166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1,197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$3.00 - $3.99</w:t>
            </w:r>
          </w:p>
        </w:tc>
        <w:tc>
          <w:tcPr>
            <w:tcW w:w="1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1,955</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1,955</w:t>
            </w:r>
          </w:p>
        </w:tc>
        <w:tc>
          <w:tcPr>
            <w:tcW w:w="1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$4.00 - $4.99</w:t>
            </w:r>
          </w:p>
        </w:tc>
        <w:tc>
          <w:tcPr>
            <w:tcW w:w="1700" w:type="dxa"/>
            <w:vAlign w:val="bottom"/>
            <w:gridSpan w:val="2"/>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rPr>
              <w:t>1,262</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972</w:t>
            </w:r>
          </w:p>
        </w:tc>
        <w:tc>
          <w:tcPr>
            <w:tcW w:w="166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1,262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$10.00 - $10.99</w:t>
            </w:r>
          </w:p>
        </w:tc>
        <w:tc>
          <w:tcPr>
            <w:tcW w:w="17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1,613</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1,080</w:t>
            </w:r>
          </w:p>
        </w:tc>
        <w:tc>
          <w:tcPr>
            <w:tcW w:w="1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1,612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360" w:type="dxa"/>
            <w:vAlign w:val="bottom"/>
            <w:tcBorders>
              <w:top w:val="single" w:sz="8" w:color="auto"/>
              <w:bottom w:val="single" w:sz="8" w:color="auto"/>
            </w:tcBorders>
            <w:shd w:val="clear" w:color="auto" w:fill="EEEEEE"/>
          </w:tcPr>
          <w:p>
            <w:pPr>
              <w:ind w:left="960"/>
              <w:spacing w:after="0"/>
              <w:rPr>
                <w:sz w:val="20"/>
                <w:szCs w:val="20"/>
                <w:color w:val="auto"/>
              </w:rPr>
            </w:pPr>
            <w:r>
              <w:rPr>
                <w:rFonts w:ascii="Times New Roman" w:cs="Times New Roman" w:eastAsia="Times New Roman" w:hAnsi="Times New Roman"/>
                <w:sz w:val="18"/>
                <w:szCs w:val="18"/>
                <w:color w:val="auto"/>
                <w:w w:val="93"/>
              </w:rPr>
              <w:t>6,027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w w:val="98"/>
              </w:rPr>
              <w:t>6,097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the aggregate intrinsic value of options outstanding and exercisable was $22.2 million and $21.1 million, respectively. There were 70,000 options exercised for the three months ended March 31, 2025, compared to 180,000 for the comparable period in 2024. The total intrinsic value of options exercised was $390,000 and $716,000 for the three-month periods ended March 31, 2025, and 2024. There were 2,984,000 shares available for future stock option grants under existing plans as of March 31,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three months ended March 31, 2025, and 2024:</w:t>
      </w:r>
    </w:p>
    <w:p>
      <w:pPr>
        <w:spacing w:after="0" w:line="23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94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101,355</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105,758</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940" w:type="dxa"/>
            <w:vAlign w:val="bottom"/>
            <w:tcBorders>
              <w:top w:val="single" w:sz="8" w:color="auto"/>
              <w:bottom w:val="single" w:sz="8" w:color="auto"/>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207,113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2025,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which is intended to provide greater transparency in various income tax components that affect the rate reconciliation based on the applicable taxing jurisdictions, as well as the qualitative and quantitative aspects of those components. This new standard will be effective for annual reporting periods beginning on or after December 15, 2024, with early adoption permitted. The Company is currently evaluating the impact of ASU 2023-09; however, at the current time, the Company does not believe this ASU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The following table summarizes the delinquency status of finance receivables as of March 31, 2025, and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9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4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3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42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31-60 days</w:t>
            </w:r>
          </w:p>
        </w:tc>
        <w:tc>
          <w:tcPr>
            <w:tcW w:w="3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4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61-90 days</w:t>
            </w:r>
          </w:p>
        </w:tc>
        <w:tc>
          <w:tcPr>
            <w:tcW w:w="3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91 + days</w:t>
            </w:r>
          </w:p>
        </w:tc>
        <w:tc>
          <w:tcPr>
            <w:tcW w:w="3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454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receivables totaling $175,000 and $271,000 at March 31, 2025, and December 31, 2024, respectively,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196"/>
        </w:trPr>
        <w:tc>
          <w:tcPr>
            <w:tcW w:w="2960" w:type="dxa"/>
            <w:vAlign w:val="bottom"/>
            <w:tcBorders>
              <w:bottom w:val="single" w:sz="8" w:color="EEEEEE"/>
            </w:tcBorders>
            <w:shd w:val="clear" w:color="auto" w:fill="EEEEEE"/>
          </w:tcPr>
          <w:p>
            <w:pPr>
              <w:spacing w:after="0"/>
              <w:rPr>
                <w:sz w:val="17"/>
                <w:szCs w:val="17"/>
                <w:color w:val="auto"/>
              </w:rPr>
            </w:pPr>
          </w:p>
        </w:tc>
        <w:tc>
          <w:tcPr>
            <w:tcW w:w="15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Annual Vintage Pool</w:t>
            </w:r>
          </w:p>
        </w:tc>
        <w:tc>
          <w:tcPr>
            <w:tcW w:w="3420" w:type="dxa"/>
            <w:vAlign w:val="bottom"/>
            <w:tcBorders>
              <w:bottom w:val="single" w:sz="8" w:color="EEEEEE"/>
            </w:tcBorders>
            <w:gridSpan w:val="2"/>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2015 and prior</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2,212</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w:t>
            </w: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periods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94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14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w:t>
            </w:r>
          </w:p>
        </w:tc>
        <w:tc>
          <w:tcPr>
            <w:tcW w:w="10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5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20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10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1,124</w:t>
            </w:r>
          </w:p>
        </w:tc>
        <w:tc>
          <w:tcPr>
            <w:tcW w:w="10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r>
      <w:tr>
        <w:trPr>
          <w:trHeight w:val="223"/>
        </w:trPr>
        <w:tc>
          <w:tcPr>
            <w:tcW w:w="56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6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charge-offs by year of origination of our finance receivables for the three-month periods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960" w:type="dxa"/>
            <w:vAlign w:val="bottom"/>
            <w:tcBorders>
              <w:bottom w:val="single" w:sz="8" w:color="EEEEEE"/>
            </w:tcBorders>
          </w:tcPr>
          <w:p>
            <w:pPr>
              <w:spacing w:after="0"/>
              <w:rPr>
                <w:sz w:val="18"/>
                <w:szCs w:val="18"/>
                <w:color w:val="auto"/>
              </w:rPr>
            </w:pPr>
          </w:p>
        </w:tc>
        <w:tc>
          <w:tcPr>
            <w:tcW w:w="1520" w:type="dxa"/>
            <w:vAlign w:val="bottom"/>
            <w:tcBorders>
              <w:bottom w:val="single" w:sz="8" w:color="EEEEEE"/>
            </w:tcBorders>
          </w:tcPr>
          <w:p>
            <w:pPr>
              <w:spacing w:after="0"/>
              <w:rPr>
                <w:sz w:val="18"/>
                <w:szCs w:val="18"/>
                <w:color w:val="auto"/>
              </w:rPr>
            </w:pPr>
          </w:p>
        </w:tc>
        <w:tc>
          <w:tcPr>
            <w:tcW w:w="3180" w:type="dxa"/>
            <w:vAlign w:val="bottom"/>
            <w:tcBorders>
              <w:bottom w:val="single" w:sz="8" w:color="EEEEEE"/>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190"/>
        </w:trPr>
        <w:tc>
          <w:tcPr>
            <w:tcW w:w="2960" w:type="dxa"/>
            <w:vAlign w:val="bottom"/>
            <w:tcBorders>
              <w:bottom w:val="single" w:sz="8" w:color="EEEEEE"/>
            </w:tcBorders>
            <w:shd w:val="clear" w:color="auto" w:fill="EEEEEE"/>
          </w:tcPr>
          <w:p>
            <w:pPr>
              <w:spacing w:after="0"/>
              <w:rPr>
                <w:sz w:val="16"/>
                <w:szCs w:val="16"/>
                <w:color w:val="auto"/>
              </w:rPr>
            </w:pPr>
          </w:p>
        </w:tc>
        <w:tc>
          <w:tcPr>
            <w:tcW w:w="1520" w:type="dxa"/>
            <w:vAlign w:val="bottom"/>
            <w:tcBorders>
              <w:bottom w:val="single" w:sz="8" w:color="auto"/>
            </w:tcBorders>
            <w:shd w:val="clear" w:color="auto" w:fill="EEEEEE"/>
          </w:tcPr>
          <w:p>
            <w:pPr>
              <w:spacing w:after="0" w:line="169" w:lineRule="exact"/>
              <w:rPr>
                <w:sz w:val="20"/>
                <w:szCs w:val="20"/>
                <w:color w:val="auto"/>
              </w:rPr>
            </w:pPr>
            <w:r>
              <w:rPr>
                <w:rFonts w:ascii="Times New Roman" w:cs="Times New Roman" w:eastAsia="Times New Roman" w:hAnsi="Times New Roman"/>
                <w:sz w:val="18"/>
                <w:szCs w:val="18"/>
                <w:color w:val="auto"/>
                <w:w w:val="98"/>
              </w:rPr>
              <w:t>Annual Vintage Pool</w:t>
            </w:r>
          </w:p>
        </w:tc>
        <w:tc>
          <w:tcPr>
            <w:tcW w:w="3180" w:type="dxa"/>
            <w:vAlign w:val="bottom"/>
            <w:tcBorders>
              <w:bottom w:val="single" w:sz="8" w:color="EEEEEE"/>
            </w:tcBorders>
            <w:shd w:val="clear" w:color="auto" w:fill="EEEEEE"/>
          </w:tcPr>
          <w:p>
            <w:pPr>
              <w:spacing w:after="0"/>
              <w:rPr>
                <w:sz w:val="16"/>
                <w:szCs w:val="16"/>
                <w:color w:val="auto"/>
              </w:rPr>
            </w:pPr>
          </w:p>
        </w:tc>
        <w:tc>
          <w:tcPr>
            <w:tcW w:w="1080" w:type="dxa"/>
            <w:vAlign w:val="bottom"/>
            <w:tcBorders>
              <w:bottom w:val="single" w:sz="8" w:color="EEEEEE"/>
            </w:tcBorders>
            <w:shd w:val="clear" w:color="auto" w:fill="EEEEEE"/>
          </w:tcPr>
          <w:p>
            <w:pPr>
              <w:spacing w:after="0"/>
              <w:rPr>
                <w:sz w:val="16"/>
                <w:szCs w:val="16"/>
                <w:color w:val="auto"/>
              </w:rPr>
            </w:pPr>
          </w:p>
        </w:tc>
        <w:tc>
          <w:tcPr>
            <w:tcW w:w="500" w:type="dxa"/>
            <w:vAlign w:val="bottom"/>
            <w:tcBorders>
              <w:bottom w:val="single" w:sz="8" w:color="EEEEEE"/>
            </w:tcBorders>
            <w:shd w:val="clear" w:color="auto" w:fill="EEEEEE"/>
          </w:tcPr>
          <w:p>
            <w:pPr>
              <w:spacing w:after="0"/>
              <w:rPr>
                <w:sz w:val="16"/>
                <w:szCs w:val="16"/>
                <w:color w:val="auto"/>
              </w:rPr>
            </w:pPr>
          </w:p>
        </w:tc>
        <w:tc>
          <w:tcPr>
            <w:tcW w:w="320" w:type="dxa"/>
            <w:vAlign w:val="bottom"/>
            <w:tcBorders>
              <w:bottom w:val="single" w:sz="8" w:color="EEEEEE"/>
            </w:tcBorders>
            <w:shd w:val="clear" w:color="auto" w:fill="EEEEEE"/>
          </w:tcPr>
          <w:p>
            <w:pPr>
              <w:spacing w:after="0"/>
              <w:rPr>
                <w:sz w:val="16"/>
                <w:szCs w:val="16"/>
                <w:color w:val="auto"/>
              </w:rPr>
            </w:pPr>
          </w:p>
        </w:tc>
        <w:tc>
          <w:tcPr>
            <w:tcW w:w="1060" w:type="dxa"/>
            <w:vAlign w:val="bottom"/>
            <w:tcBorders>
              <w:bottom w:val="single" w:sz="8" w:color="EEEEEE"/>
            </w:tcBorders>
            <w:shd w:val="clear" w:color="auto" w:fill="EEEEEE"/>
          </w:tcPr>
          <w:p>
            <w:pPr>
              <w:spacing w:after="0"/>
              <w:rPr>
                <w:sz w:val="16"/>
                <w:szCs w:val="16"/>
                <w:color w:val="auto"/>
              </w:rPr>
            </w:pPr>
          </w:p>
        </w:tc>
        <w:tc>
          <w:tcPr>
            <w:tcW w:w="520" w:type="dxa"/>
            <w:vAlign w:val="bottom"/>
            <w:tcBorders>
              <w:bottom w:val="single" w:sz="8" w:color="EEEEEE"/>
            </w:tcBorders>
            <w:shd w:val="clear" w:color="auto" w:fill="EEEEEE"/>
          </w:tcPr>
          <w:p>
            <w:pPr>
              <w:spacing w:after="0"/>
              <w:rPr>
                <w:sz w:val="16"/>
                <w:szCs w:val="16"/>
                <w:color w:val="auto"/>
              </w:rPr>
            </w:pPr>
          </w:p>
        </w:tc>
        <w:tc>
          <w:tcPr>
            <w:tcW w:w="100" w:type="dxa"/>
            <w:vAlign w:val="bottom"/>
            <w:tcBorders>
              <w:bottom w:val="single" w:sz="8" w:color="EEEEEE"/>
            </w:tcBorders>
            <w:shd w:val="clear" w:color="auto" w:fill="EEEEEE"/>
          </w:tcPr>
          <w:p>
            <w:pPr>
              <w:spacing w:after="0"/>
              <w:rPr>
                <w:sz w:val="16"/>
                <w:szCs w:val="16"/>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2014 and prior</w:t>
            </w:r>
          </w:p>
        </w:tc>
        <w:tc>
          <w:tcPr>
            <w:tcW w:w="578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2015</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Applied against repos in inventory (net)</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Debt</w:t>
            </w:r>
          </w:p>
        </w:tc>
      </w:tr>
      <w:tr>
        <w:trPr>
          <w:trHeight w:val="203"/>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Pledged at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Principal at</w:t>
            </w: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Principal at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 at</w:t>
            </w:r>
          </w:p>
        </w:tc>
      </w:tr>
      <w:tr>
        <w:trPr>
          <w:trHeight w:val="212"/>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9"/>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88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Date (1)</w:t>
            </w: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2025 (2)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6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r>
      <w:tr>
        <w:trPr>
          <w:trHeight w:val="199"/>
        </w:trPr>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2020-C</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November 2027</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22,486</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252,200</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17,548</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4.95%</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2021-A</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March 2028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26,575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19,067</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22,396</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2021-B</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June 2028</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34,772</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27,234</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31,903</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3.41%</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2021-C</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September 2028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54,285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42,922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49,739</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2021-D</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December 2028</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75,514</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349,202</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62,973</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72,090</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3.39%</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2022-A</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April 2029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85,515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66,736</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77,872</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3.61%</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2022-B</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October 2029</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136,495</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395,600</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115,569</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132,002</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5.83%</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2022-C</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April 2030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163,166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122,681</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141,176</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6.76%</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2022-D</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June 2030</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141,231</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307,018</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121,637</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135,857</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9.08%</w:t>
            </w:r>
          </w:p>
        </w:tc>
      </w:tr>
      <w:tr>
        <w:trPr>
          <w:trHeight w:val="202"/>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2023-A</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August 2030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170,620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128,500</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146,020</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6.97%</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2023-B</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November 2030</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185,817</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332,885</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152,296</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172,154</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7.10%</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2023-C</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February 2031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180,556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156,898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175,219</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6.98%</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2023-D</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May 2031</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194,089</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286,149</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171,113</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191,621</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7.71%</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2024-A</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August 2031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207,289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185,746</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206,348</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6.26%</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2024-B</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November 2031</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259,400</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319,871</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239,755</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262,768</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r>
      <w:tr>
        <w:trPr>
          <w:trHeight w:val="20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2024-C</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March 2032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376,172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348,842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379,254</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6.24%</w:t>
            </w:r>
          </w:p>
        </w:tc>
      </w:tr>
      <w:tr>
        <w:trPr>
          <w:trHeight w:val="203"/>
        </w:trPr>
        <w:tc>
          <w:tcPr>
            <w:tcW w:w="1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CPS 2024-D</w:t>
            </w:r>
          </w:p>
        </w:tc>
        <w:tc>
          <w:tcPr>
            <w:tcW w:w="1880" w:type="dxa"/>
            <w:vAlign w:val="bottom"/>
            <w:gridSpan w:val="2"/>
            <w:shd w:val="clear" w:color="auto" w:fill="EEEEEE"/>
          </w:tcPr>
          <w:p>
            <w:pPr>
              <w:jc w:val="right"/>
              <w:ind w:right="339"/>
              <w:spacing w:after="0"/>
              <w:rPr>
                <w:sz w:val="20"/>
                <w:szCs w:val="20"/>
                <w:color w:val="auto"/>
              </w:rPr>
            </w:pPr>
            <w:r>
              <w:rPr>
                <w:rFonts w:ascii="Times New Roman" w:cs="Times New Roman" w:eastAsia="Times New Roman" w:hAnsi="Times New Roman"/>
                <w:sz w:val="16"/>
                <w:szCs w:val="16"/>
                <w:color w:val="auto"/>
              </w:rPr>
              <w:t>June 2032</w:t>
            </w:r>
          </w:p>
        </w:tc>
        <w:tc>
          <w:tcPr>
            <w:tcW w:w="132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388,933</w:t>
            </w: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416,816</w:t>
            </w: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359,232</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390,983</w:t>
            </w:r>
          </w:p>
        </w:tc>
        <w:tc>
          <w:tcPr>
            <w:tcW w:w="176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5.20%</w:t>
            </w:r>
          </w:p>
        </w:tc>
      </w:tr>
      <w:tr>
        <w:trPr>
          <w:trHeight w:val="213"/>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CPS 2025-A</w:t>
            </w:r>
          </w:p>
        </w:tc>
        <w:tc>
          <w:tcPr>
            <w:tcW w:w="18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August 2032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443,564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420,527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5.37%</w:t>
            </w:r>
          </w:p>
        </w:tc>
      </w:tr>
      <w:tr>
        <w:trPr>
          <w:trHeight w:val="209"/>
        </w:trPr>
        <w:tc>
          <w:tcPr>
            <w:tcW w:w="1140" w:type="dxa"/>
            <w:vAlign w:val="bottom"/>
            <w:tcBorders>
              <w:top w:val="single" w:sz="8" w:color="EEEEEE"/>
              <w:bottom w:val="single" w:sz="8" w:color="EEEEEE"/>
            </w:tcBorders>
            <w:shd w:val="clear" w:color="auto" w:fill="EEEEEE"/>
          </w:tcPr>
          <w:p>
            <w:pPr>
              <w:spacing w:after="0"/>
              <w:rPr>
                <w:sz w:val="18"/>
                <w:szCs w:val="18"/>
                <w:color w:val="auto"/>
              </w:rPr>
            </w:pP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70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3,146,479</w:t>
            </w: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5,905,840</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2,759,276</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2,609,855</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34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 w:lineRule="exact"/>
        <w:rPr>
          <w:sz w:val="20"/>
          <w:szCs w:val="20"/>
          <w:color w:val="auto"/>
        </w:rPr>
      </w:pPr>
    </w:p>
    <w:p>
      <w:pPr>
        <w:jc w:val="both"/>
        <w:ind w:left="340" w:hanging="332"/>
        <w:spacing w:after="0" w:line="262" w:lineRule="auto"/>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$810.2 million in 2025, $810.4 million in 2026, $548.7 million in 2027, $329.7 million in 2028, $171.8 million in 2029, $70.7 million in 2030, and $1.7 million in 2031.</w:t>
      </w:r>
    </w:p>
    <w:p>
      <w:pPr>
        <w:ind w:left="340" w:hanging="332"/>
        <w:spacing w:after="0"/>
        <w:tabs>
          <w:tab w:leader="none" w:pos="34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$16.0 million and $15.5 million as of March 31, 2025, and December 31, 2024,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March 31,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March 31, 2025, restricted cash under the various agreements totaled approximately $153.6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2025, and December 31, 2024,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Subordinate Lender</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Description</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Interest Rate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Rate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Maturity</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6.40% over SOFR yield</w:t>
            </w:r>
          </w:p>
        </w:tc>
        <w:tc>
          <w:tcPr>
            <w:tcW w:w="2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3.00% over CP yield rate</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 (Minimum 7.15%)</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(Minimum 3.75%) 7.38%</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10.95% and 11.09% at</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credit</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and 7.52% at March 31,</w:t>
            </w:r>
          </w:p>
        </w:tc>
        <w:tc>
          <w:tcPr>
            <w:tcW w:w="21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2025 and</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2025 and December 31</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31, 2024,</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2024, respectively</w:t>
            </w:r>
          </w:p>
        </w:tc>
        <w:tc>
          <w:tcPr>
            <w:tcW w:w="21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respectively</w:t>
            </w:r>
          </w:p>
        </w:tc>
        <w:tc>
          <w:tcPr>
            <w:tcW w:w="2140" w:type="dxa"/>
            <w:vAlign w:val="bottom"/>
            <w:gridSpan w:val="2"/>
            <w:shd w:val="clear" w:color="auto" w:fill="EEEEEE"/>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2026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280,400</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269,602</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4.50% over a commercial</w:t>
            </w: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paper rate (Minimum</w:t>
            </w:r>
          </w:p>
        </w:tc>
        <w:tc>
          <w:tcPr>
            <w:tcW w:w="2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7.50%) 8.82% and 8.90% at</w:t>
            </w:r>
          </w:p>
        </w:tc>
        <w:tc>
          <w:tcPr>
            <w:tcW w:w="2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credit</w:t>
            </w: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March 31 2025, and</w:t>
            </w:r>
          </w:p>
        </w:tc>
        <w:tc>
          <w:tcPr>
            <w:tcW w:w="2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2024,</w:t>
            </w:r>
          </w:p>
        </w:tc>
        <w:tc>
          <w:tcPr>
            <w:tcW w:w="2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respectively</w:t>
            </w:r>
          </w:p>
        </w:tc>
        <w:tc>
          <w:tcPr>
            <w:tcW w:w="20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88,988</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145,597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Residual interest</w:t>
            </w: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w:t>
            </w:r>
          </w:p>
        </w:tc>
        <w:tc>
          <w:tcPr>
            <w:tcW w:w="20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20" w:type="dxa"/>
            <w:vAlign w:val="bottom"/>
            <w:shd w:val="clear" w:color="auto" w:fill="EEEEEE"/>
          </w:tcPr>
          <w:p>
            <w:pPr>
              <w:spacing w:after="0"/>
              <w:rPr>
                <w:sz w:val="20"/>
                <w:szCs w:val="20"/>
                <w:color w:val="auto"/>
              </w:rPr>
            </w:pPr>
          </w:p>
        </w:tc>
        <w:tc>
          <w:tcPr>
            <w:tcW w:w="20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80"/>
              <w:spacing w:after="0"/>
              <w:rPr>
                <w:sz w:val="20"/>
                <w:szCs w:val="20"/>
                <w:color w:val="auto"/>
              </w:rPr>
            </w:pPr>
            <w:r>
              <w:rPr>
                <w:rFonts w:ascii="Times New Roman" w:cs="Times New Roman" w:eastAsia="Times New Roman" w:hAnsi="Times New Roman"/>
                <w:sz w:val="18"/>
                <w:szCs w:val="18"/>
                <w:color w:val="auto"/>
              </w:rPr>
              <w:t>June 2026</w:t>
            </w:r>
          </w:p>
        </w:tc>
        <w:tc>
          <w:tcPr>
            <w:tcW w:w="1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Residual interest</w:t>
            </w: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w:t>
            </w:r>
          </w:p>
        </w:tc>
        <w:tc>
          <w:tcPr>
            <w:tcW w:w="20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11.50%</w:t>
            </w:r>
          </w:p>
        </w:tc>
        <w:tc>
          <w:tcPr>
            <w:tcW w:w="120" w:type="dxa"/>
            <w:vAlign w:val="bottom"/>
            <w:shd w:val="clear" w:color="auto" w:fill="EEEEEE"/>
          </w:tcPr>
          <w:p>
            <w:pPr>
              <w:spacing w:after="0"/>
              <w:rPr>
                <w:sz w:val="20"/>
                <w:szCs w:val="20"/>
                <w:color w:val="auto"/>
              </w:rPr>
            </w:pPr>
          </w:p>
        </w:tc>
        <w:tc>
          <w:tcPr>
            <w:tcW w:w="20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March 2029</w:t>
            </w:r>
          </w:p>
        </w:tc>
        <w:tc>
          <w:tcPr>
            <w:tcW w:w="1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Residual interest</w:t>
            </w: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w:t>
            </w:r>
          </w:p>
        </w:tc>
        <w:tc>
          <w:tcPr>
            <w:tcW w:w="20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20" w:type="dxa"/>
            <w:vAlign w:val="bottom"/>
            <w:shd w:val="clear" w:color="auto" w:fill="EEEEEE"/>
          </w:tcPr>
          <w:p>
            <w:pPr>
              <w:spacing w:after="0"/>
              <w:rPr>
                <w:sz w:val="20"/>
                <w:szCs w:val="20"/>
                <w:color w:val="auto"/>
              </w:rPr>
            </w:pPr>
          </w:p>
        </w:tc>
        <w:tc>
          <w:tcPr>
            <w:tcW w:w="20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140" w:type="dxa"/>
            <w:vAlign w:val="bottom"/>
            <w:gridSpan w:val="2"/>
            <w:shd w:val="clear" w:color="auto" w:fill="EEEEEE"/>
          </w:tcPr>
          <w:p>
            <w:pPr>
              <w:jc w:val="center"/>
              <w:ind w:right="80"/>
              <w:spacing w:after="0"/>
              <w:rPr>
                <w:sz w:val="20"/>
                <w:szCs w:val="20"/>
                <w:color w:val="auto"/>
              </w:rPr>
            </w:pPr>
            <w:r>
              <w:rPr>
                <w:rFonts w:ascii="Times New Roman" w:cs="Times New Roman" w:eastAsia="Times New Roman" w:hAnsi="Times New Roman"/>
                <w:sz w:val="18"/>
                <w:szCs w:val="18"/>
                <w:color w:val="auto"/>
              </w:rPr>
              <w:t>June 2032</w:t>
            </w:r>
          </w:p>
        </w:tc>
        <w:tc>
          <w:tcPr>
            <w:tcW w:w="18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8"/>
              </w:rPr>
              <w:t>Weighted average rate of</w:t>
            </w:r>
          </w:p>
        </w:tc>
        <w:tc>
          <w:tcPr>
            <w:tcW w:w="2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140" w:type="dxa"/>
            <w:vAlign w:val="bottom"/>
            <w:gridSpan w:val="2"/>
            <w:shd w:val="clear" w:color="auto" w:fill="EEEEEE"/>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8"/>
              </w:rPr>
              <w:t>Weighted average maturity</w:t>
            </w: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7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April 2027 and</w:t>
            </w: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21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9.18% and 9.24% at March</w:t>
            </w: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continue"/>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December 2026 at March</w:t>
            </w: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renewable notes</w:t>
            </w:r>
          </w:p>
        </w:tc>
        <w:tc>
          <w:tcPr>
            <w:tcW w:w="2140" w:type="dxa"/>
            <w:vAlign w:val="bottom"/>
            <w:gridSpan w:val="2"/>
            <w:vMerge w:val="restart"/>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31, 2025 and December 31,</w:t>
            </w: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vMerge w:val="continue"/>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31, 2025 and December 31,</w:t>
            </w: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2024, respectively</w:t>
            </w:r>
          </w:p>
        </w:tc>
        <w:tc>
          <w:tcPr>
            <w:tcW w:w="20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140" w:type="dxa"/>
            <w:vAlign w:val="bottom"/>
            <w:gridSpan w:val="2"/>
            <w:vMerge w:val="continue"/>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1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continue"/>
            <w:shd w:val="clear" w:color="auto" w:fill="EEEEEE"/>
          </w:tcPr>
          <w:p>
            <w:pPr>
              <w:spacing w:after="0"/>
              <w:rPr>
                <w:sz w:val="10"/>
                <w:szCs w:val="10"/>
                <w:color w:val="auto"/>
              </w:rPr>
            </w:pPr>
          </w:p>
        </w:tc>
        <w:tc>
          <w:tcPr>
            <w:tcW w:w="20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restart"/>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2024, respectively</w:t>
            </w:r>
          </w:p>
        </w:tc>
        <w:tc>
          <w:tcPr>
            <w:tcW w:w="180" w:type="dxa"/>
            <w:vAlign w:val="bottom"/>
            <w:shd w:val="clear" w:color="auto" w:fill="EEEEEE"/>
          </w:tcPr>
          <w:p>
            <w:pPr>
              <w:spacing w:after="0"/>
              <w:rPr>
                <w:sz w:val="10"/>
                <w:szCs w:val="10"/>
                <w:color w:val="auto"/>
              </w:rPr>
            </w:pPr>
          </w:p>
        </w:tc>
        <w:tc>
          <w:tcPr>
            <w:tcW w:w="138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27,547</w:t>
            </w:r>
          </w:p>
        </w:tc>
        <w:tc>
          <w:tcPr>
            <w:tcW w:w="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gridSpan w:val="3"/>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122"/>
        </w:trPr>
        <w:tc>
          <w:tcPr>
            <w:tcW w:w="17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1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380" w:type="dxa"/>
            <w:vAlign w:val="bottom"/>
            <w:gridSpan w:val="2"/>
            <w:vMerge w:val="continue"/>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gridSpan w:val="3"/>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 At March 31, 2025, there was $65.0 million outstanding under this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we increased the capacity of our revolving credit agreement with Citibank, N.A., to $335 million. This follows the November 2024 closing of a revolving credit agreement with Oaktree Capital Management, which is subordinate to our credit agreement with Citibank, N.A. The facility provides effective advances up to 10.00% of eligible finance receivables, effectively increasing the advance rate up to 95% across the facility for eligible receivables. The revolving credit agreement with Citibank, N.A. was last renewed in July 2024, extending the maturity date to July 2026 followed by an amortization period through July 2027 for any receivables pledged at the end of the revolving period. There was $280.4 million outstanding under this facility at March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renewed our two-year $200 million revolving credit agreement with Ares Agent Services, L.P. The revolving period for this facility was extended to March 2026 followed by an amortization period through March 2028 for any receivables pledged at the end of the revolving period. There was $89.0 million outstanding under this facility at March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we completed a $50 million securitization of residual interests from previously issued securitizations. In the transaction, a qualified institutional buyer purchased $50.0 million of asset-backed notes secured by an 80% interest in a CPS affiliate that owns the residual interests in five CPS securitizations issued from January 2022 through January 2023. The sold notes (“2024-1 Notes”), issued by CPS Auto Securitization Trust 2024-1, consist of a single class with a coupon of 11.50%. At March 31, 2025, there was $50.0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March 31, 2025, there was $50.0 million outstanding under this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$1.6 million and $824,000 as of March 31, 2025, and December 31, 2024, respectively, have been excluded from the amount reported above for residual interest financing. Similarly, unamortized debt issuance costs of $3.7 million and $4.3 million as of March 31, 2025, and December 31, 2024,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6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6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4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250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1,171</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shd w:val="clear" w:color="auto" w:fill="EEEEEE"/>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99,567</w:t>
            </w:r>
          </w:p>
        </w:tc>
        <w:tc>
          <w:tcPr>
            <w:tcW w:w="10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80,505</w:t>
            </w:r>
          </w:p>
        </w:tc>
        <w:tc>
          <w:tcPr>
            <w:tcW w:w="80" w:type="dxa"/>
            <w:vAlign w:val="bottom"/>
          </w:tcPr>
          <w:p>
            <w:pPr>
              <w:spacing w:after="0"/>
              <w:rPr>
                <w:sz w:val="18"/>
                <w:szCs w:val="18"/>
                <w:color w:val="auto"/>
              </w:rPr>
            </w:pPr>
          </w:p>
        </w:tc>
      </w:tr>
      <w:tr>
        <w:trPr>
          <w:trHeight w:val="229"/>
        </w:trPr>
        <w:tc>
          <w:tcPr>
            <w:tcW w:w="61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52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1,195</w:t>
            </w:r>
          </w:p>
        </w:tc>
        <w:tc>
          <w:tcPr>
            <w:tcW w:w="102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shd w:val="clear" w:color="auto" w:fill="EEEEEE"/>
          </w:tcPr>
          <w:p>
            <w:pPr>
              <w:spacing w:after="0"/>
              <w:rPr>
                <w:sz w:val="19"/>
                <w:szCs w:val="19"/>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101,933</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2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trust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84"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45,044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6,513</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2,715</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41,968</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2025, and 2024 were calculated using the weighted average number of shares outstanding for the related period. The following table reconciles the number of shares used in the computations of basic and diluted earnings per share for the three-month periods ended March 31, 2025, and 2024:</w:t>
      </w:r>
    </w:p>
    <w:p>
      <w:pPr>
        <w:spacing w:after="0" w:line="17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w:t>
            </w:r>
          </w:p>
        </w:tc>
        <w:tc>
          <w:tcPr>
            <w:tcW w:w="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868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21,444</w:t>
            </w: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21,143</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tc>
        <w:tc>
          <w:tcPr>
            <w:tcW w:w="10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2,881</w:t>
            </w: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tc>
        <w:tc>
          <w:tcPr>
            <w:tcW w:w="1020" w:type="dxa"/>
            <w:vAlign w:val="bottom"/>
            <w:tcBorders>
              <w:top w:val="single" w:sz="8" w:color="auto"/>
              <w:bottom w:val="single" w:sz="8" w:color="auto"/>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 months ended March 31, 2025, would have included an additional 1.4 million shares attributable to the exercise of outstanding options and warrants. For the three months ended March 31, 2024, 1.7 million shares, would be included in the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$826,000 as of March 31, 2025, is more likely than not based on forecasted future net earnings. Our net deferred tax asset of $826,000 consists of approximately $338,000 of net U.S. federal deferred tax assets and $488,000 of net state deferred tax assets.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$2.1 million for the three months ended March 31, 2025, representing effective income tax rates of 31%, compared to income tax expense of $2.0 million for the three months ended March 31, 2024, and representing effective income tax rates of 30% respectively.</w:t>
      </w:r>
    </w:p>
    <w:p>
      <w:pPr>
        <w:spacing w:after="0" w:line="15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Litigation.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2024, a motion for certification of a class was filed. Prior to the motion being ruled upon, summary judgment was granted in our favor, disposing of the claims against CPS. An appeal of the summary judgment ruling was filed on October 25, 2024, and we filed a cross appeal of the denial of the motion to compel arbitration on October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2025, our best estimate of probable incurred losses for legal contingencies, including the matters identified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identified above, as of March 31, 2025, does not exceed $3.2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2025,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3,313,767</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2,722,662</w:t>
            </w:r>
          </w:p>
        </w:tc>
        <w:tc>
          <w:tcPr>
            <w:tcW w:w="80" w:type="dxa"/>
            <w:vAlign w:val="bottom"/>
            <w:shd w:val="clear" w:color="auto" w:fill="EEEEEE"/>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449,602</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328,893</w:t>
            </w: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(252,856)</w:t>
            </w:r>
          </w:p>
        </w:tc>
        <w:tc>
          <w:tcPr>
            <w:tcW w:w="5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(210,935)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(64,907)</w:t>
            </w:r>
          </w:p>
        </w:tc>
        <w:tc>
          <w:tcPr>
            <w:tcW w:w="5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(54,247)</w:t>
            </w:r>
          </w:p>
        </w:tc>
      </w:tr>
      <w:tr>
        <w:trPr>
          <w:trHeight w:val="229"/>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5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EEEEEE"/>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3,449,106</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3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660" w:type="dxa"/>
            <w:vAlign w:val="bottom"/>
          </w:tcPr>
          <w:p>
            <w:pPr>
              <w:spacing w:after="0"/>
              <w:rPr>
                <w:sz w:val="17"/>
                <w:szCs w:val="17"/>
                <w:color w:val="auto"/>
              </w:rPr>
            </w:pPr>
          </w:p>
        </w:tc>
        <w:tc>
          <w:tcPr>
            <w:tcW w:w="1080" w:type="dxa"/>
            <w:vAlign w:val="bottom"/>
          </w:tcPr>
          <w:p>
            <w:pPr>
              <w:jc w:val="center"/>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740" w:type="dxa"/>
            <w:vAlign w:val="bottom"/>
          </w:tcPr>
          <w:p>
            <w:pPr>
              <w:spacing w:after="0"/>
              <w:rPr>
                <w:sz w:val="17"/>
                <w:szCs w:val="17"/>
                <w:color w:val="auto"/>
              </w:rPr>
            </w:pPr>
          </w:p>
        </w:tc>
        <w:tc>
          <w:tcPr>
            <w:tcW w:w="1000" w:type="dxa"/>
            <w:vAlign w:val="bottom"/>
          </w:tcPr>
          <w:p>
            <w:pPr>
              <w:jc w:val="center"/>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r>
      <w:tr>
        <w:trPr>
          <w:trHeight w:val="238"/>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60" w:type="dxa"/>
            <w:vAlign w:val="bottom"/>
          </w:tcPr>
          <w:p>
            <w:pPr>
              <w:spacing w:after="0"/>
              <w:rPr>
                <w:sz w:val="20"/>
                <w:szCs w:val="20"/>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tcPr>
          <w:p>
            <w:pPr>
              <w:spacing w:after="0"/>
              <w:rPr>
                <w:sz w:val="20"/>
                <w:szCs w:val="20"/>
                <w:color w:val="auto"/>
              </w:rPr>
            </w:pPr>
          </w:p>
        </w:tc>
        <w:tc>
          <w:tcPr>
            <w:tcW w:w="15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740" w:type="dxa"/>
            <w:vAlign w:val="bottom"/>
          </w:tcPr>
          <w:p>
            <w:pPr>
              <w:spacing w:after="0"/>
              <w:rPr>
                <w:sz w:val="20"/>
                <w:szCs w:val="20"/>
                <w:color w:val="auto"/>
              </w:rPr>
            </w:pPr>
          </w:p>
        </w:tc>
        <w:tc>
          <w:tcPr>
            <w:tcW w:w="11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3,611,445</w:t>
            </w:r>
          </w:p>
        </w:tc>
        <w:tc>
          <w:tcPr>
            <w:tcW w:w="66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3,449,106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3,485,540</w:t>
            </w:r>
          </w:p>
        </w:tc>
        <w:tc>
          <w:tcPr>
            <w:tcW w:w="740" w:type="dxa"/>
            <w:vAlign w:val="bottom"/>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Weight Avg. Inputs as of</w:t>
            </w:r>
          </w:p>
        </w:tc>
        <w:tc>
          <w:tcPr>
            <w:tcW w:w="0" w:type="dxa"/>
            <w:vAlign w:val="bottom"/>
          </w:tcPr>
          <w:p>
            <w:pPr>
              <w:spacing w:after="0"/>
              <w:rPr>
                <w:sz w:val="1"/>
                <w:szCs w:val="1"/>
                <w:color w:val="auto"/>
              </w:rPr>
            </w:pPr>
          </w:p>
        </w:tc>
      </w:tr>
      <w:tr>
        <w:trPr>
          <w:trHeight w:val="201"/>
        </w:trPr>
        <w:tc>
          <w:tcPr>
            <w:tcW w:w="2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 fair</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3,449,106</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3,313,767</w:t>
            </w:r>
          </w:p>
        </w:tc>
        <w:tc>
          <w:tcPr>
            <w:tcW w:w="22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Discount rate</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3,166,583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2,969,864</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194,950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241,883</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95,158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113,662</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60,862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64,810</w:t>
            </w: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93,892</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95,321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3,611,445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3,485,540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March 31, 2025, and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29,841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29,841</w:t>
            </w: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153,637</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153,637</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153,637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365,683</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365,683</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365,683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163,391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163,391</w:t>
            </w: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11,209</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11,209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11,209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2,743,269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2,733,488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2,733,488</w:t>
            </w: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27,547</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27,547</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27,547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11,713</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125,684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410,898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10,663</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2,594,384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2,614,352</w:t>
            </w: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26,489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This determination is made by our Chief Executive Officer, who acts as the chief operating decision-maker (“CODM”), in assessing performance and making decisions regarding resource allocation. The CODM assesses performance by reviewing the consolidated financial statements, which reflect the financial results of our one reportable operating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Company’s one reportable segment, it provides indirect vehicle financing to motor vehicle dealer’s less credit- worthy borrowers. The Company’s revenue primarily consists of interest income and is derived from the interest recorded on contracts the Company has purchased, The revenue generated from any individual borrower is deemed to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2025, we executed our second securitization of 2025. In the transaction, qualified institutional buyers purchased $419.95 million of asset-backed notes secured by $439.29 million in automobile receivables originated by CPS. The sold notes, issued by CPS Auto Receivables Trust 2025-B,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5.96%.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You can generally identify forward-looking statements as statements containing the words “will,” “would,” “believe,” “may,” “could,” “expect,” “anticipate,” “intend,” “estimate,” “judgment,” “assume,” “plans,” “goals, “strategy,” “future,” “likely,” “should” or other similar expressions.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include, among others, statements we make regarding:</w:t>
      </w:r>
    </w:p>
    <w:p>
      <w:pPr>
        <w:spacing w:after="0" w:line="27" w:lineRule="exact"/>
        <w:rPr>
          <w:sz w:val="20"/>
          <w:szCs w:val="20"/>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charge-offs and recovery rates;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obligors to pay pursuant to contractual terms;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rights under contracts;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and rates at which we plan to acquire automobile contracts;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levels of recoveries upon sale of repossessed vehicles;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or expenses;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credit losses;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industry and general economic trends;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losses for legal contingencies;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deferred tax assets;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taxable income;</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and repay our debt;</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structuring of securitization transactions as secured financings and the effects of such structures on financial items and future profitability; or</w:t>
      </w:r>
    </w:p>
    <w:p>
      <w:pPr>
        <w:spacing w:after="0" w:line="9" w:lineRule="exact"/>
        <w:rPr>
          <w:rFonts w:ascii="Times New Roman" w:cs="Times New Roman" w:eastAsia="Times New Roman" w:hAnsi="Times New Roman"/>
          <w:sz w:val="18"/>
          <w:szCs w:val="18"/>
          <w:color w:val="auto"/>
        </w:rPr>
      </w:pPr>
    </w:p>
    <w:p>
      <w:pPr>
        <w:ind w:left="580" w:hanging="343"/>
        <w:spacing w:after="0" w:line="260"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change in structure on our profitability and the duration of the period in which our profitability would be affected by the change in securitization structure.</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actual results, performance and achievements may differ materially from the results, performance and achievements expressed or implied in such forward-looking statements. Some of the factors that might cause such a difference include, but are not limited to, the following:</w:t>
      </w: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report.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guarantees of performance. Instead, they are based only on our current beliefs, expectations and assumptions regarding the future of our business, plans and strategies, projections, anticipated events and trends, the economy and other uncertain conditions. Because forward-looking statements relate to the future, they involve risks, uncertainties and assumptions. Actual results may differ from expectations due to many factors beyond our ability to control or predict, including those described herein, and in any documents incorporated by reference in this report. Therefore, you should not rely on any of these forward-looking statements.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originated vehicle purchase money loans by lending directly to consumers, (ii) acquired installment purchase contracts in four merger and acquisition transactions, and (iii)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2025, we have originated a total of approximately $23.5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7300" w:type="dxa"/>
            <w:vAlign w:val="bottom"/>
            <w:gridSpan w:val="4"/>
          </w:tcPr>
          <w:p>
            <w:pPr>
              <w:ind w:left="2320"/>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Contracts Purchased</w:t>
            </w:r>
          </w:p>
        </w:tc>
        <w:tc>
          <w:tcPr>
            <w:tcW w:w="1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Managed Portfolio</w:t>
            </w:r>
          </w:p>
        </w:tc>
        <w:tc>
          <w:tcPr>
            <w:tcW w:w="80" w:type="dxa"/>
            <w:vAlign w:val="bottom"/>
          </w:tcPr>
          <w:p>
            <w:pPr>
              <w:spacing w:after="0"/>
              <w:rPr>
                <w:sz w:val="16"/>
                <w:szCs w:val="16"/>
                <w:color w:val="auto"/>
              </w:rPr>
            </w:pPr>
          </w:p>
        </w:tc>
      </w:tr>
      <w:tr>
        <w:trPr>
          <w:trHeight w:val="238"/>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Period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10"/>
        </w:trPr>
        <w:tc>
          <w:tcPr>
            <w:tcW w:w="52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18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26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18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1,854,385</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3,001,308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18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1,357,752</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3,194,623</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2024</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1,681,941</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3,665,725</w:t>
            </w:r>
          </w:p>
        </w:tc>
        <w:tc>
          <w:tcPr>
            <w:tcW w:w="80" w:type="dxa"/>
            <w:vAlign w:val="bottom"/>
          </w:tcPr>
          <w:p>
            <w:pPr>
              <w:spacing w:after="0"/>
              <w:rPr>
                <w:sz w:val="18"/>
                <w:szCs w:val="18"/>
                <w:color w:val="auto"/>
              </w:rPr>
            </w:pPr>
          </w:p>
        </w:tc>
      </w:tr>
      <w:tr>
        <w:trPr>
          <w:trHeight w:val="216"/>
        </w:trPr>
        <w:tc>
          <w:tcPr>
            <w:tcW w:w="5400" w:type="dxa"/>
            <w:vAlign w:val="bottom"/>
            <w:gridSpan w:val="2"/>
            <w:shd w:val="clear" w:color="auto" w:fill="EEEEEE"/>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Three months ended March 31, 2025</w:t>
            </w: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451,218</w:t>
            </w:r>
          </w:p>
        </w:tc>
        <w:tc>
          <w:tcPr>
            <w:tcW w:w="26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3,774,629</w:t>
            </w:r>
          </w:p>
        </w:tc>
        <w:tc>
          <w:tcPr>
            <w:tcW w:w="8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three months ended March 31, 2025, we originated $4.3 million under this third-party program. As of March 31, 2025, our managed portfolio includes $160.1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Nevada, and Virginia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1994 we have conducted 104 term securitizations of automobile contracts that we originated. As of March 31, 2025, 18 of those securitizations are active and all are structured as secured financings. We generally conduct our securitizations on a quarterly basis, near the beginning of each calendar quarter, resulting in four securitizations per calendar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5"/>
        </w:trPr>
        <w:tc>
          <w:tcPr>
            <w:tcW w:w="1140" w:type="dxa"/>
            <w:vAlign w:val="bottom"/>
          </w:tcPr>
          <w:p>
            <w:pPr>
              <w:spacing w:after="0"/>
              <w:rPr>
                <w:sz w:val="24"/>
                <w:szCs w:val="24"/>
                <w:color w:val="auto"/>
              </w:rPr>
            </w:pPr>
          </w:p>
        </w:tc>
        <w:tc>
          <w:tcPr>
            <w:tcW w:w="7300" w:type="dxa"/>
            <w:vAlign w:val="bottom"/>
            <w:gridSpan w:val="4"/>
          </w:tcPr>
          <w:p>
            <w:pPr>
              <w:ind w:left="286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11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1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 Pledged</w:t>
            </w:r>
          </w:p>
        </w:tc>
      </w:tr>
      <w:tr>
        <w:trPr>
          <w:trHeight w:val="216"/>
        </w:trPr>
        <w:tc>
          <w:tcPr>
            <w:tcW w:w="11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Term</w:t>
            </w:r>
          </w:p>
        </w:tc>
      </w:tr>
      <w:tr>
        <w:trPr>
          <w:trHeight w:val="238"/>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1140" w:type="dxa"/>
            <w:vAlign w:val="bottom"/>
          </w:tcPr>
          <w:p>
            <w:pPr>
              <w:spacing w:after="0"/>
              <w:rPr>
                <w:sz w:val="18"/>
                <w:szCs w:val="18"/>
                <w:color w:val="auto"/>
              </w:rPr>
            </w:pPr>
          </w:p>
        </w:tc>
        <w:tc>
          <w:tcPr>
            <w:tcW w:w="54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2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80" w:type="dxa"/>
            <w:vAlign w:val="bottom"/>
            <w:shd w:val="clear" w:color="auto" w:fill="EEEEEE"/>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2022</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1,537,383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2023</w:t>
            </w:r>
          </w:p>
        </w:tc>
        <w:tc>
          <w:tcPr>
            <w:tcW w:w="200" w:type="dxa"/>
            <w:vAlign w:val="bottom"/>
            <w:shd w:val="clear" w:color="auto" w:fill="EEEEEE"/>
          </w:tcPr>
          <w:p>
            <w:pPr>
              <w:spacing w:after="0"/>
              <w:rPr>
                <w:sz w:val="18"/>
                <w:szCs w:val="18"/>
                <w:color w:val="auto"/>
              </w:rPr>
            </w:pP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1,352,114</w:t>
            </w:r>
          </w:p>
        </w:tc>
        <w:tc>
          <w:tcPr>
            <w:tcW w:w="80" w:type="dxa"/>
            <w:vAlign w:val="bottom"/>
            <w:shd w:val="clear" w:color="auto" w:fill="EEEEEE"/>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2024</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1,533,854</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333333"/>
                <w:w w:val="99"/>
              </w:rPr>
              <w:t>Three months ended March 31, 2025</w:t>
            </w:r>
          </w:p>
        </w:tc>
        <w:tc>
          <w:tcPr>
            <w:tcW w:w="1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462,541</w:t>
            </w:r>
          </w:p>
        </w:tc>
        <w:tc>
          <w:tcPr>
            <w:tcW w:w="8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currently have short-term funding capacity of $535 million over two credit facilities. The first credit facility was established in May 2012. This facility was most recently renewed in July 2024, extending the revolving period to July 2026, with an optional amortization period through July 2027. In addition, a subordinated lender was added to the credit facility in November 2024, effectively increasing our advance rate to a maximum of 95% for eligible receivables across the facility. The capacity was then increased from $200 million at the most recent renewal date to $335 million in December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In June 2022, we increased the capacity of our credit agreement with Ares Agent Services, L.P. from $100 million to $200 million. This facility was most recently renewed in March 2024, extending the revolving period to March 2026, followed by an amortization period to March 2028.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have also completed financings of our residual interests in other securitizations that we and our affiliates previously sponsored. On March 20, 2025, we completed a $65 million securitization of residual interests from previously issued securitizations. In the transaction, a qualified institutional buyer purchased $65.0 million of asset-backed notes secured by an 80% interest in a CPS affiliate that owns the residual interests in five CPS securitizations issued from October 2023 through September 2024. The sold notes (“2025-1 Notes”), issued by CPS Auto Securitization Trust 2025-1, consist of a single class with a coupon of 11.00%.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2025,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2025, with the three months ended March 31,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March 31, 2025, our revenues were $106.9 million, an increase of $15.2 million, or 16.6%,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$91.7 million. The primary reason for the increase in revenues is the increase in interest income resulting from the increase in the average outstanding balance of finance receivables measured at fair value. Revenues for the three months ended March 31, 2025, include a $3.5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$3.5 million. There was a $5.0 million mark up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for the three months ended March 31, 2025, increased $17.6 million, or 20.9%, to $101.9 million from $84.3 million in the prior year. The primary reason for the increase in interest income is the 19.3% increase in the average balance of our loan portfolio over the prior year period. The interest yield on our total loan portfolio increased from 11.3% in the prior year period to 11.4% in the current year period.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March 31, 2025 and 2024:</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5"/>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22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6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3,572,642</w:t>
            </w:r>
          </w:p>
        </w:tc>
        <w:tc>
          <w:tcPr>
            <w:tcW w:w="4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101,933</w:t>
            </w: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2,993,816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84,288</w:t>
            </w: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$1.4 million for the three months ended March 31, 2025, compared to $2.5 million for the comparable period in 2024. This 41.3% decrease was primarily driven by the decrease in origination and servicing fees we earned from third party receivables. These fees were $1.4 million for the quarter ended March 31, 2025, compared to $2.1 million in the prior year period.</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employee costs, sales and general and administrative expenses. Interest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profit margins and net income include changes in the automobile and automobile finance market environments, and macroeconomic factors such as interest rates and changes in the unemployment level.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$100.1 million for the three months ended March 31, 2025, compared to $85.2 million for the prior period, an increase of $14.9 million, or 17.5%. The increase is primarily due to increases in interest expense and to a lesser extent, increases to sales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$25.0 million during the three months ended March 31, 2025, compared to $24.4 million for the same quarter in the prior year, an increase of $617,000, or 2.5%. The table below summarizes our employees by category as well as contract purchases and units in our managed portfolio as of, and for the three-month periods ended, March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451.2</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20,707</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16,414</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3,614.6</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3,021.2</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207,123</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181,650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$13.5 million, a decrease of $211,000 from $13.8 million in the prior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$54.9 million and represented 54.9% of total operating expenses, compared to $42.0 million in the previous year, when it was 49.3% of total operating expenses. The $12.9 million increase in interest expense compared to the same three month period in the prior year was largely due to the volume, and to a lesser extent, due to the rate.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$9.1 million for the three months ended March 31, 2025, compared to the prior period. The average balance of securitization trust debt increased to $2,861.9 million for the three months ended March 31, 2025, compared to $2,388.1 million for the three months ended March 31, 2024. The annualized average rate on our securitization trust debt was 6.3% for the three months ended March 31, 2025, compared to 6.0%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w:t>
            </w:r>
          </w:p>
        </w:tc>
      </w:tr>
      <w:tr>
        <w:trPr>
          <w:trHeight w:val="210"/>
        </w:trPr>
        <w:tc>
          <w:tcPr>
            <w:tcW w:w="40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340" w:type="dxa"/>
            <w:vAlign w:val="bottom"/>
            <w:tcBorders>
              <w:top w:val="single" w:sz="8" w:color="EEEEEE"/>
            </w:tcBorders>
            <w:shd w:val="clear" w:color="auto" w:fill="EEEEEE"/>
          </w:tcPr>
          <w:p>
            <w:pPr>
              <w:spacing w:after="0"/>
              <w:rPr>
                <w:sz w:val="18"/>
                <w:szCs w:val="18"/>
                <w:color w:val="auto"/>
              </w:rPr>
            </w:pPr>
          </w:p>
        </w:tc>
        <w:tc>
          <w:tcPr>
            <w:tcW w:w="40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4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2022</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38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2022</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4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October 2022</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438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2023</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4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2023</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438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July 2023</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October 2023</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438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2024</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4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April 2024</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4380" w:type="dxa"/>
            <w:vAlign w:val="bottom"/>
            <w:gridSpan w:val="2"/>
            <w:shd w:val="clear" w:color="auto" w:fill="EEEEEE"/>
          </w:tcPr>
          <w:p>
            <w:pPr>
              <w:jc w:val="center"/>
              <w:ind w:right="360"/>
              <w:spacing w:after="0"/>
              <w:rPr>
                <w:sz w:val="20"/>
                <w:szCs w:val="20"/>
                <w:color w:val="auto"/>
              </w:rPr>
            </w:pPr>
            <w:r>
              <w:rPr>
                <w:rFonts w:ascii="Times New Roman" w:cs="Times New Roman" w:eastAsia="Times New Roman" w:hAnsi="Times New Roman"/>
                <w:sz w:val="18"/>
                <w:szCs w:val="18"/>
                <w:color w:val="auto"/>
              </w:rPr>
              <w:t>June 2024</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4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380" w:type="dxa"/>
            <w:vAlign w:val="bottom"/>
            <w:gridSpan w:val="2"/>
            <w:shd w:val="clear" w:color="auto" w:fill="EEEEEE"/>
          </w:tcPr>
          <w:p>
            <w:pPr>
              <w:jc w:val="center"/>
              <w:ind w:right="340"/>
              <w:spacing w:after="0"/>
              <w:rPr>
                <w:sz w:val="20"/>
                <w:szCs w:val="20"/>
                <w:color w:val="auto"/>
              </w:rPr>
            </w:pPr>
            <w:r>
              <w:rPr>
                <w:rFonts w:ascii="Times New Roman" w:cs="Times New Roman" w:eastAsia="Times New Roman" w:hAnsi="Times New Roman"/>
                <w:sz w:val="18"/>
                <w:szCs w:val="18"/>
                <w:color w:val="auto"/>
                <w:w w:val="99"/>
              </w:rPr>
              <w:t>January 2025</w:t>
            </w:r>
          </w:p>
        </w:tc>
        <w:tc>
          <w:tcPr>
            <w:tcW w:w="40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5.88%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$2.2 million to $6.5 million for the three months ended March 31, 2025, compared to $4.3 million in the prior year period. The increase was primarily due to the higher utilization of our credit lines during the quarter compared to last year. The average balance of our warehouse debt was $275.8 million during the three months ended March 31, 2025, compared to $164.9 million for the same period in 2024. The annualized average rate on our credit line debt was 9.4% for the three months ended March 31, 2025, compared to 10.5% in the prior year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$646,000 for the three months ended March 31, 2025. The average balance of the outstanding subordinated debt was $26.9 million for the three months ended March 31, 2025, compared to $20.8 million for the prior year period. The average yield of subordinated notes decreased to 9.6% compared to 9.7%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March 2024, and again on March 20, 2025, we completed a securitization of residual interests from other previously issued securitizations in the amount of $50 million, $50 million, and $65 million, respectively. Interest expense for these residual interest financings was $2.7 million for the three months ended March 31, 2025, compared to $1.2 for the same period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90"/>
        </w:trPr>
        <w:tc>
          <w:tcPr>
            <w:tcW w:w="5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8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26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2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3,572,642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101,933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2,993,816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2740" w:type="dxa"/>
            <w:vAlign w:val="bottom"/>
            <w:gridSpan w:val="4"/>
          </w:tcPr>
          <w:p>
            <w:pPr>
              <w:jc w:val="center"/>
              <w:ind w:right="66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275,816</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6,513</w:t>
            </w: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164,883</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4,321</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108,667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2,861,870</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45,044</w:t>
            </w: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2,388,146</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35,932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26,945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20,842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3,273,298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54,918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2,640,904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41,968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260" w:type="dxa"/>
            <w:vAlign w:val="bottom"/>
            <w:shd w:val="clear" w:color="auto" w:fill="EEEEEE"/>
          </w:tcPr>
          <w:p>
            <w:pPr>
              <w:spacing w:after="0"/>
              <w:rPr>
                <w:sz w:val="21"/>
                <w:szCs w:val="21"/>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47,015</w:t>
            </w:r>
          </w:p>
        </w:tc>
        <w:tc>
          <w:tcPr>
            <w:tcW w:w="140" w:type="dxa"/>
            <w:vAlign w:val="bottom"/>
            <w:shd w:val="clear" w:color="auto" w:fill="EEEEEE"/>
          </w:tcPr>
          <w:p>
            <w:pPr>
              <w:spacing w:after="0"/>
              <w:rPr>
                <w:sz w:val="21"/>
                <w:szCs w:val="21"/>
                <w:color w:val="auto"/>
              </w:rPr>
            </w:pPr>
          </w:p>
        </w:tc>
        <w:tc>
          <w:tcPr>
            <w:tcW w:w="11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42,320</w:t>
            </w:r>
          </w:p>
        </w:tc>
        <w:tc>
          <w:tcPr>
            <w:tcW w:w="11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EEEEEE"/>
              <w:bottom w:val="single" w:sz="8" w:color="EEEEEE"/>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yield (2)</w:t>
            </w:r>
          </w:p>
        </w:tc>
        <w:tc>
          <w:tcPr>
            <w:tcW w:w="1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bottom w:val="single" w:sz="8" w:color="EEEEEE"/>
            </w:tcBorders>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bottom w:val="single" w:sz="8" w:color="EEEEEE"/>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line="20" w:lineRule="exact"/>
              <w:rPr>
                <w:sz w:val="1"/>
                <w:szCs w:val="1"/>
                <w:color w:val="auto"/>
              </w:rPr>
            </w:pPr>
          </w:p>
        </w:tc>
      </w:tr>
      <w:tr>
        <w:trPr>
          <w:trHeight w:val="196"/>
        </w:trPr>
        <w:tc>
          <w:tcPr>
            <w:tcW w:w="32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28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520" w:hanging="28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Compared to</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200" w:type="dxa"/>
            <w:vAlign w:val="bottom"/>
          </w:tcPr>
          <w:p>
            <w:pPr>
              <w:spacing w:after="0"/>
              <w:rPr>
                <w:sz w:val="17"/>
                <w:szCs w:val="17"/>
                <w:color w:val="auto"/>
              </w:rPr>
            </w:pPr>
          </w:p>
        </w:tc>
        <w:tc>
          <w:tcPr>
            <w:tcW w:w="138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r>
      <w:tr>
        <w:trPr>
          <w:trHeight w:val="238"/>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to Volume</w:t>
            </w: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09"/>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7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120" w:type="dxa"/>
            <w:vAlign w:val="bottom"/>
            <w:tcBorders>
              <w:bottom w:val="single" w:sz="8" w:color="EEEEEE"/>
            </w:tcBorders>
            <w:gridSpan w:val="2"/>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4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Loan Portfolio</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17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76"/>
        </w:trPr>
        <w:tc>
          <w:tcPr>
            <w:tcW w:w="4780" w:type="dxa"/>
            <w:vAlign w:val="bottom"/>
            <w:gridSpan w:val="5"/>
          </w:tcPr>
          <w:p>
            <w:pPr>
              <w:jc w:val="center"/>
              <w:ind w:left="65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2,192</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9,112</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6,966</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2,146</w:t>
            </w:r>
          </w:p>
        </w:tc>
      </w:tr>
      <w:tr>
        <w:trPr>
          <w:trHeight w:val="230"/>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7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EEEEEE"/>
            </w:tcBorders>
            <w:shd w:val="clear" w:color="auto" w:fill="EEEEEE"/>
          </w:tcPr>
          <w:p>
            <w:pPr>
              <w:spacing w:after="0"/>
              <w:rPr>
                <w:sz w:val="18"/>
                <w:szCs w:val="18"/>
                <w:color w:val="auto"/>
              </w:rPr>
            </w:pPr>
          </w:p>
        </w:tc>
        <w:tc>
          <w:tcPr>
            <w:tcW w:w="9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2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4,695</w:t>
            </w:r>
          </w:p>
        </w:tc>
        <w:tc>
          <w:tcPr>
            <w:tcW w:w="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r>
      <w:tr>
        <w:trPr>
          <w:trHeight w:val="20"/>
        </w:trPr>
        <w:tc>
          <w:tcPr>
            <w:tcW w:w="17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Our evaluation of the allowance for credit losses indicated that the reserves against future losses are adequate as of March 31, 2025. The allowance applies only to our finance receivables originated through December 2017, which we refer to as our legacy portfolio. </w:t>
      </w:r>
      <w:r>
        <w:rPr>
          <w:rFonts w:ascii="Times New Roman" w:cs="Times New Roman" w:eastAsia="Times New Roman" w:hAnsi="Times New Roman"/>
          <w:sz w:val="17"/>
          <w:szCs w:val="17"/>
          <w:color w:val="auto"/>
        </w:rPr>
        <w:t>Finance receivables that we have originated since January 2018 are accounted for at fair value. Under the fair value method of accounting, we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recognize interest income net of expected credit losses. Thus, no provision for credit loss expense is recorded for finance receivables measured at fair value.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recorded a reduction to provision for credit losses on finance receivables in the amount of $979,000. The reserve decrease was primarily due to better than expected recovery rates and a decrease in lifetime expected credit losses resulting from improved credit performance as our previous estimates for future losses exceeded actual incurred losses. This compares to $1.6 million in reductions to provision for credit losses for the three months ended March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expenses consist primarily of commission-based compensation paid to our employee sales representatives. Our sales representatives earn a salary plus commissions based on volume of contract purchases. Sales expense increased to $5.9 million during the three months ended March 31, 2025, from $4.9 million for the same quarter in 2024. We purchased $451.2 million of new contracts during the three months ended March 31, 2025, compared to $346.3 million in the prior 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$1.4 million for the three months ending March 31, 2025, which is down from the $1.6 million in the first quarter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expenses increased to $249,000 compared to $215,000 in the previous year.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recorded income tax expense of $2.1 million, representing a 31% effective tax rate. In the prior period, our income tax expense was $2.0 million, representing a 30%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ind w:left="3460"/>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Total Managed Portfolio (Excludes Third Party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1"/>
        </w:trPr>
        <w:tc>
          <w:tcPr>
            <w:tcW w:w="394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207,123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3,614,555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3,021,185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201,441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3,490,960</w:t>
            </w: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31-60 days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195,595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243,068</w:t>
            </w: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61-90 days</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6,020</w:t>
            </w: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95,712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5,443</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85,338</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7,244</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114,633</w:t>
            </w: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 days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2,792</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4,477</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65,081</w:t>
            </w:r>
          </w:p>
        </w:tc>
        <w:tc>
          <w:tcPr>
            <w:tcW w:w="0" w:type="dxa"/>
            <w:vAlign w:val="bottom"/>
          </w:tcPr>
          <w:p>
            <w:pPr>
              <w:spacing w:after="0"/>
              <w:rPr>
                <w:sz w:val="1"/>
                <w:szCs w:val="1"/>
                <w:color w:val="auto"/>
              </w:rPr>
            </w:pPr>
          </w:p>
        </w:tc>
      </w:tr>
      <w:tr>
        <w:trPr>
          <w:trHeight w:val="210"/>
        </w:trPr>
        <w:tc>
          <w:tcPr>
            <w:tcW w:w="39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352,344</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301,579</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26,364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422,782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93,997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5,020</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72,861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6,227</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95,620</w:t>
            </w:r>
          </w:p>
        </w:tc>
        <w:tc>
          <w:tcPr>
            <w:tcW w:w="0" w:type="dxa"/>
            <w:vAlign w:val="bottom"/>
          </w:tcPr>
          <w:p>
            <w:pPr>
              <w:spacing w:after="0"/>
              <w:rPr>
                <w:sz w:val="1"/>
                <w:szCs w:val="1"/>
                <w:color w:val="auto"/>
              </w:rPr>
            </w:pPr>
          </w:p>
        </w:tc>
      </w:tr>
      <w:tr>
        <w:trPr>
          <w:trHeight w:val="223"/>
        </w:trPr>
        <w:tc>
          <w:tcPr>
            <w:tcW w:w="39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delinquencies and amount in repossession (2)</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446,341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374,440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518,402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Delinquencies as a percentage of gross servicing</w:t>
            </w:r>
          </w:p>
        </w:tc>
        <w:tc>
          <w:tcPr>
            <w:tcW w:w="10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portfolio</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9.98%</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Total delinquencies and amount in repossession as a</w:t>
            </w:r>
          </w:p>
        </w:tc>
        <w:tc>
          <w:tcPr>
            <w:tcW w:w="10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percentage of gross servicing portfolio</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12.35%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14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70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Experience</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 accruing</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616,697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33,481</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593,699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33,623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601,049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or more extensions, accruing</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47,578</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716,420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43,748</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601,574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47,227</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701,158</w:t>
            </w:r>
          </w:p>
        </w:tc>
        <w:tc>
          <w:tcPr>
            <w:tcW w:w="0" w:type="dxa"/>
            <w:vAlign w:val="bottom"/>
          </w:tcPr>
          <w:p>
            <w:pPr>
              <w:spacing w:after="0"/>
              <w:rPr>
                <w:sz w:val="1"/>
                <w:szCs w:val="1"/>
                <w:color w:val="auto"/>
              </w:rPr>
            </w:pPr>
          </w:p>
        </w:tc>
      </w:tr>
      <w:tr>
        <w:trPr>
          <w:trHeight w:val="209"/>
        </w:trPr>
        <w:tc>
          <w:tcPr>
            <w:tcW w:w="39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81,817</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1,333,117</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77,229</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1,195,273</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1,302,207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 non-accrual (4)</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48,729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42,315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53,018</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Contracts with two or more extensions, non-accrual</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4,122</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60,660</w:t>
            </w:r>
          </w:p>
        </w:tc>
        <w:tc>
          <w:tcPr>
            <w:tcW w:w="0" w:type="dxa"/>
            <w:vAlign w:val="bottom"/>
          </w:tcPr>
          <w:p>
            <w:pPr>
              <w:spacing w:after="0"/>
              <w:rPr>
                <w:sz w:val="1"/>
                <w:szCs w:val="1"/>
                <w:color w:val="auto"/>
              </w:rPr>
            </w:pPr>
          </w:p>
        </w:tc>
      </w:tr>
      <w:tr>
        <w:trPr>
          <w:trHeight w:val="210"/>
        </w:trPr>
        <w:tc>
          <w:tcPr>
            <w:tcW w:w="39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109,838</w:t>
            </w:r>
          </w:p>
        </w:tc>
        <w:tc>
          <w:tcPr>
            <w:tcW w:w="2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70,330</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89,142</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1,442,955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81,879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1,265,603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88,385</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1,415,885</w:t>
            </w:r>
          </w:p>
        </w:tc>
        <w:tc>
          <w:tcPr>
            <w:tcW w:w="0" w:type="dxa"/>
            <w:vAlign w:val="bottom"/>
          </w:tcPr>
          <w:p>
            <w:pPr>
              <w:spacing w:after="0"/>
              <w:rPr>
                <w:sz w:val="1"/>
                <w:szCs w:val="1"/>
                <w:color w:val="auto"/>
              </w:rPr>
            </w:pPr>
          </w:p>
        </w:tc>
      </w:tr>
      <w:tr>
        <w:trPr>
          <w:trHeight w:val="20"/>
        </w:trPr>
        <w:tc>
          <w:tcPr>
            <w:tcW w:w="394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8"/>
        <w:spacing w:after="0" w:line="268" w:lineRule="auto"/>
        <w:tabs>
          <w:tab w:leader="none" w:pos="237"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64" w:lineRule="auto"/>
        <w:tabs>
          <w:tab w:leader="none" w:pos="239"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ind w:left="240" w:hanging="232"/>
        <w:spacing w:after="0"/>
        <w:tabs>
          <w:tab w:leader="none" w:pos="2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 in repossession represents financed vehicles that have been repossessed but not yet liquidated.</w:t>
      </w:r>
    </w:p>
    <w:p>
      <w:pPr>
        <w:spacing w:after="0" w:line="18"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9"/>
                <w:szCs w:val="19"/>
                <w:color w:val="auto"/>
              </w:rPr>
            </w:pPr>
          </w:p>
        </w:tc>
        <w:tc>
          <w:tcPr>
            <w:tcW w:w="15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4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3,572,642</w:t>
            </w:r>
          </w:p>
        </w:tc>
        <w:tc>
          <w:tcPr>
            <w:tcW w:w="4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2,993,816</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3,209,988</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52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w:t>
      </w:r>
    </w:p>
    <w:p>
      <w:pPr>
        <w:spacing w:after="0" w:line="29" w:lineRule="exact"/>
        <w:rPr>
          <w:rFonts w:ascii="Times New Roman" w:cs="Times New Roman" w:eastAsia="Times New Roman" w:hAnsi="Times New Roman"/>
          <w:sz w:val="18"/>
          <w:szCs w:val="18"/>
          <w:i w:val="1"/>
          <w:iCs w:val="1"/>
          <w:color w:val="auto"/>
        </w:rPr>
      </w:pPr>
    </w:p>
    <w:p>
      <w:pPr>
        <w:jc w:val="both"/>
        <w:ind w:firstLine="8"/>
        <w:spacing w:after="0" w:line="253" w:lineRule="auto"/>
        <w:tabs>
          <w:tab w:leader="none" w:pos="25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2025, and March 31, 2024, percentages represent three months ended March 31, 2025, and March 31, 2024,, annualized. December 31, 2024, represents 12 months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eight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March 31, 2025, for accounts that received extensions from 2011 through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Active or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 Active or</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Paid Off at</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Off at</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 &gt; 6</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to Charge Off</w:t>
            </w:r>
          </w:p>
        </w:tc>
      </w:tr>
      <w:tr>
        <w:trPr>
          <w:trHeight w:val="216"/>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Period of</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Extensions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Months After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Extension</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10"/>
        </w:trPr>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18,786</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10,962</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6,883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18,783</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11,315</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60.2%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23,398</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11,130</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47.6%</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25,773</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10,418</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14,486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53,319</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21,934</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30,056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80,897</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34,963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43.2%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42,980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133,847</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54,877</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68,256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10,714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121,531</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56,141</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53,509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11,881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71,548</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41,364</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57.8%</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22,772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7,412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83,170</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55,266</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66.4%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23,869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47,010</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32,903</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12,871</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56,142</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38,265</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68.2%</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15,923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1,954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83,113</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61,814</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74.4%</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18,040</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90,484</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84,017</w:t>
            </w:r>
          </w:p>
        </w:tc>
        <w:tc>
          <w:tcPr>
            <w:tcW w:w="12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92.9%</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4,273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2019, 57.8% were either paid in full or active and performing as of March 31, 2025.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2018 that subsequently charged off, such charge offs occurred, on average, 20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80" w:type="dxa"/>
            <w:vAlign w:val="bottom"/>
          </w:tcPr>
          <w:p>
            <w:pPr>
              <w:spacing w:after="0"/>
              <w:rPr>
                <w:sz w:val="18"/>
                <w:szCs w:val="18"/>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0"/>
        </w:trPr>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280" w:type="dxa"/>
            <w:vAlign w:val="bottom"/>
          </w:tcPr>
          <w:p>
            <w:pPr>
              <w:spacing w:after="0"/>
              <w:rPr>
                <w:sz w:val="19"/>
                <w:szCs w:val="19"/>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7,390</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6,760</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7,540</w:t>
            </w:r>
          </w:p>
        </w:tc>
      </w:tr>
      <w:tr>
        <w:trPr>
          <w:trHeight w:val="216"/>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205,203</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5"/>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180,332</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189,460</w:t>
            </w:r>
          </w:p>
        </w:tc>
      </w:tr>
      <w:tr>
        <w:trPr>
          <w:trHeight w:val="216"/>
        </w:trPr>
        <w:tc>
          <w:tcPr>
            <w:tcW w:w="4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2"/>
        </w:trPr>
        <w:tc>
          <w:tcPr>
            <w:tcW w:w="3940" w:type="dxa"/>
            <w:vAlign w:val="bottom"/>
          </w:tcPr>
          <w:p>
            <w:pPr>
              <w:spacing w:after="0"/>
              <w:rPr>
                <w:sz w:val="24"/>
                <w:szCs w:val="24"/>
                <w:color w:val="auto"/>
              </w:rPr>
            </w:pPr>
          </w:p>
        </w:tc>
        <w:tc>
          <w:tcPr>
            <w:tcW w:w="23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228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394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auto"/>
            </w:tcBorders>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auto"/>
            </w:tcBorders>
            <w:gridSpan w:val="5"/>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2"/>
        </w:trPr>
        <w:tc>
          <w:tcPr>
            <w:tcW w:w="39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Borders>
              <w:top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37,442</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665,427</w:t>
            </w:r>
          </w:p>
        </w:tc>
        <w:tc>
          <w:tcPr>
            <w:tcW w:w="13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36,109</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636,014</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37,106</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654,067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22,345</w:t>
            </w: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377,895</w:t>
            </w: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20,228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345,488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22,452</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382,301</w:t>
            </w: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13,685</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221,613</w:t>
            </w:r>
          </w:p>
        </w:tc>
        <w:tc>
          <w:tcPr>
            <w:tcW w:w="13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10,758</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153,331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13,300</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214,194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7,785</w:t>
            </w: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108,780</w:t>
            </w: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6,648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7,462</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99,071</w:t>
            </w: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46,605</w:t>
            </w:r>
          </w:p>
        </w:tc>
        <w:tc>
          <w:tcPr>
            <w:tcW w:w="13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5,017</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40,981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4,645</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43,264</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3,299</w:t>
            </w:r>
          </w:p>
        </w:tc>
        <w:tc>
          <w:tcPr>
            <w:tcW w:w="1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22,635</w:t>
            </w: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22,988</w:t>
            </w:r>
          </w:p>
        </w:tc>
      </w:tr>
      <w:tr>
        <w:trPr>
          <w:trHeight w:val="223"/>
        </w:trPr>
        <w:tc>
          <w:tcPr>
            <w:tcW w:w="39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89,142</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1,442,955</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81,879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1,265,603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40" w:type="dxa"/>
            <w:vAlign w:val="bottom"/>
            <w:tcBorders>
              <w:top w:val="single" w:sz="8" w:color="auto"/>
              <w:bottom w:val="single" w:sz="8" w:color="auto"/>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88,385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1,415,885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 originated and owned</w:t>
            </w:r>
          </w:p>
        </w:tc>
        <w:tc>
          <w:tcPr>
            <w:tcW w:w="10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3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by 3rd parties)</w:t>
            </w:r>
          </w:p>
        </w:tc>
        <w:tc>
          <w:tcPr>
            <w:tcW w:w="12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207,123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3,614,555</w:t>
            </w:r>
          </w:p>
        </w:tc>
        <w:tc>
          <w:tcPr>
            <w:tcW w:w="138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181,650</w:t>
            </w:r>
          </w:p>
        </w:tc>
        <w:tc>
          <w:tcPr>
            <w:tcW w:w="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3,021,185</w:t>
            </w:r>
          </w:p>
        </w:tc>
        <w:tc>
          <w:tcPr>
            <w:tcW w:w="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201,441</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3,490,960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2025, was $73.9 million, an increase of $24.2 million, compared to net cash provided by operating activities for the three-month period ended March 31, 2024, of $52.7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$194.1 million for the three months ended March 31, 2025, compared to $108.6 million in the prior year period. Net cash used in investing activities generally relates to new purchases of automobile contracts net of principal payments and other proceeds received during the period. Purchases of finance receivables excluding acquisition fees were $449.6 million and $328.9 million during the first three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$166.3 million compared to $81.5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2025, we issued $442.4 million in new securitization trust debt compared to $280.9 million for the same period in 2024. We repaid $293.0 million in securitization trust debt in the three months ended March 31, 2025, compared to repayments of securitization trust debt of $268.7 million in the prior year period. In the three months ended March 31, 2025, we had net repayments on warehouse lines of credit of $45.8 million, compared to net advances from warehouse lines of credit of $17.2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2025, we had unrestricted cash of $29.8 million and $153.6 million aggregate available borrowings under our two warehouse credit facilities (assuming the availability of sufficient eligible collateral). As of March 31, 2025, we had approximately $23.5 million of such eligible collateral. Our plans to manage our liquidity include maintaining our rate of automobile contract purchases at a level that matches our available capital, and, as appropriate, minimizing our operating costs. During the three-month period ended March 31, 2025, we completed one securitization aggregating $442.4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2025, we were in compliance with all such financial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2025, we had approximately $3,300.0 million of debt outstanding. Such debt consisted primarily of $2,743.3 million of securitization trust debt and $365.7 million of debt from warehouse lines of credit. Our securitization trust debt has increased by $148.9 million while our warehouse lines of credit debt has decreased by $45.2 million since December 31, 2024 (each net of deferred financing costs). Since 2005, we have offered renewable subordinated notes to the public on a continuous basis, and such notes have maturities that range from six months to 10 years. We had $27.5 million and $26.5 million in subordinated renewable notes outstanding at March 31, 2025, and December 31, 2024, respectively. In June 2021, March 2024, and again on March 20, 2025, we completed a securitization of residual interests from other previously issued securitizations in the amount of $50 million, $50 million, and $65 million, respectively. As of March 31, 2025, all $165.0 million of the residual interest debt remains outstanding.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12, 2025.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2025, we had approximately $3,300.0 million of debt outstanding. Such debt consisted primarily of $2,743.3 million of securitization trust debt and $365.7 million of debt from warehouse lines of credit. Our securitization trust debt has increased by $148.9 million while our warehouse lines of credit debt has decreased by $45.2 million since December 31, 2024 (each net of deferred financing costs). Since 2005, we have offered renewable subordinated notes to the public on a continuous basis, and such notes have maturities that range from six months to 10 years. We had $27.5 million and $26.5 million in subordinated renewable notes outstanding at March 31, 2025, and December 31, 2024, respectively. In June 2021, we completed a $50.0 million securitization of residual interests from other previously issued securitizations. In March 2024, we completed another residual interest financing of our residual interests from previously issued securitizations in the amount of $50.0 million. On March 20, 2025, we completed a new residual interest financing of our residual interests from previously issued securitizations in the amount of $65.0 million. As of March 31, 2025, all $165.0 million of the residual interest debt remains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we did not repurchase any shares from existing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adopted or terminated any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4.14</w:t>
            </w: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 the</w:t>
            </w:r>
          </w:p>
        </w:tc>
      </w:tr>
      <w:tr>
        <w:trPr>
          <w:trHeight w:val="216"/>
        </w:trPr>
        <w:tc>
          <w:tcPr>
            <w:tcW w:w="10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16"/>
        </w:trPr>
        <w:tc>
          <w:tcPr>
            <w:tcW w:w="10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020" w:type="dxa"/>
            <w:vAlign w:val="bottom"/>
          </w:tcPr>
          <w:p>
            <w:pPr>
              <w:jc w:val="right"/>
              <w:ind w:right="61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102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Rule 13a-14(a) Certification of the Chief Executive Officer of the registrant</w:t>
            </w:r>
            <w:r>
              <w:rPr>
                <w:rFonts w:ascii="Times New Roman" w:cs="Times New Roman" w:eastAsia="Times New Roman" w:hAnsi="Times New Roman"/>
                <w:sz w:val="18"/>
                <w:szCs w:val="18"/>
                <w:color w:val="000000"/>
              </w:rPr>
              <w:t>.</w:t>
            </w:r>
          </w:p>
        </w:tc>
      </w:tr>
      <w:tr>
        <w:trPr>
          <w:trHeight w:val="196"/>
        </w:trPr>
        <w:tc>
          <w:tcPr>
            <w:tcW w:w="102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5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of the Chief Financial Officer of the registrant</w:t>
            </w:r>
            <w:r>
              <w:rPr>
                <w:rFonts w:ascii="Times New Roman" w:cs="Times New Roman" w:eastAsia="Times New Roman" w:hAnsi="Times New Roman"/>
                <w:sz w:val="18"/>
                <w:szCs w:val="18"/>
                <w:color w:val="000000"/>
                <w:w w:val="99"/>
              </w:rPr>
              <w:t>.</w:t>
            </w:r>
          </w:p>
        </w:tc>
        <w:tc>
          <w:tcPr>
            <w:tcW w:w="47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9" w:lineRule="exact"/>
        <w:rPr>
          <w:sz w:val="20"/>
          <w:szCs w:val="20"/>
          <w:color w:val="auto"/>
        </w:rPr>
      </w:pPr>
    </w:p>
    <w:p>
      <w:pPr>
        <w:ind w:left="1020" w:hanging="101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860" w:type="dxa"/>
            <w:vAlign w:val="bottom"/>
          </w:tcPr>
          <w:p>
            <w:pPr>
              <w:spacing w:after="0"/>
              <w:rPr>
                <w:sz w:val="18"/>
                <w:szCs w:val="18"/>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020" w:hanging="101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CONSUMER PORTFOLIO SERVICES, INC.</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E. BRADLEY, JR.</w:t>
            </w:r>
          </w:p>
        </w:tc>
      </w:tr>
      <w:tr>
        <w:trPr>
          <w:trHeight w:val="189"/>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Charles E. Bradley, Jr.</w:t>
            </w:r>
          </w:p>
        </w:tc>
      </w:tr>
      <w:tr>
        <w:trPr>
          <w:trHeight w:val="218"/>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DENESH BHARWANI</w:t>
            </w:r>
          </w:p>
        </w:tc>
      </w:tr>
      <w:tr>
        <w:trPr>
          <w:trHeight w:val="189"/>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Denesh Bharwani</w:t>
            </w:r>
          </w:p>
        </w:tc>
      </w:tr>
      <w:tr>
        <w:trPr>
          <w:trHeight w:val="218"/>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2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60" w:firstLine="8"/>
        <w:spacing w:after="0" w:line="282" w:lineRule="auto"/>
        <w:tabs>
          <w:tab w:leader="none" w:pos="6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3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firstLine="8"/>
        <w:spacing w:after="0" w:line="282" w:lineRule="auto"/>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right="20" w:firstLine="8"/>
        <w:spacing w:after="0" w:line="282" w:lineRule="auto"/>
        <w:tabs>
          <w:tab w:leader="none" w:pos="62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359600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96005" cy="215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2025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60" w:firstLine="8"/>
        <w:spacing w:after="0" w:line="282" w:lineRule="auto"/>
        <w:tabs>
          <w:tab w:leader="none" w:pos="6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8"/>
        <w:spacing w:after="0" w:line="266" w:lineRule="auto"/>
        <w:tabs>
          <w:tab w:leader="none" w:pos="63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firstLine="8"/>
        <w:spacing w:after="0" w:line="282" w:lineRule="auto"/>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right="20" w:firstLine="8"/>
        <w:spacing w:after="0" w:line="282" w:lineRule="auto"/>
        <w:tabs>
          <w:tab w:leader="none" w:pos="62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359600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96005" cy="215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 Chief Financial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2025,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680" w:hanging="34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20" w:firstLine="332"/>
        <w:spacing w:after="0" w:line="532"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359600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96005" cy="215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35960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96005" cy="209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Roman"/>
      <w:start w:val="3"/>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1"/>
      <w:numFmt w:val="decimal"/>
      <w:start w:val="104"/>
    </w:lvl>
    <w:lvl w:ilvl="1">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2025-05-12T16:10:24Z</dcterms:created>
  <dcterms:modified xsi:type="dcterms:W3CDTF">2025-05-12T16:10:24Z</dcterms:modified>
</cp:coreProperties>
</file>