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580" w:hanging="558"/>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4"/>
              </w:rPr>
              <w:t>California</w:t>
            </w:r>
          </w:p>
        </w:tc>
        <w:tc>
          <w:tcPr>
            <w:tcW w:w="364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0"/>
              </w:rPr>
              <w:t>3800 Howard Hughes Parkway, Suite 1400,</w:t>
            </w:r>
          </w:p>
        </w:tc>
        <w:tc>
          <w:tcPr>
            <w:tcW w:w="3640" w:type="dxa"/>
            <w:vAlign w:val="bottom"/>
          </w:tcPr>
          <w:p>
            <w:pPr>
              <w:spacing w:after="0"/>
              <w:rPr>
                <w:sz w:val="24"/>
                <w:szCs w:val="24"/>
                <w:color w:val="auto"/>
              </w:rPr>
            </w:pPr>
          </w:p>
        </w:tc>
      </w:t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7"/>
              </w:rPr>
              <w:t>Las Vegas, Nevada</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73"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Large Accelerated Filer [  ] Accelerated Filer [X]</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Non-Accelerated Filer [  ] Smaller Reporting Company [  ]</w:t>
      </w:r>
    </w:p>
    <w:p>
      <w:pPr>
        <w:spacing w:after="0" w:line="103" w:lineRule="exact"/>
        <w:rPr>
          <w:sz w:val="24"/>
          <w:szCs w:val="24"/>
          <w:color w:val="auto"/>
        </w:rPr>
      </w:pPr>
    </w:p>
    <w:p>
      <w:pPr>
        <w:ind w:right="206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 As of July 23, 2014 the registrant had 25,287,048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580" w:type="dxa"/>
            <w:vAlign w:val="bottom"/>
          </w:tcPr>
          <w:p>
            <w:pPr>
              <w:spacing w:after="0"/>
              <w:rPr>
                <w:sz w:val="17"/>
                <w:szCs w:val="17"/>
                <w:color w:val="auto"/>
              </w:rPr>
            </w:pPr>
          </w:p>
        </w:tc>
        <w:tc>
          <w:tcPr>
            <w:tcW w:w="940" w:type="dxa"/>
            <w:vAlign w:val="bottom"/>
            <w:gridSpan w:val="3"/>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580" w:type="dxa"/>
            <w:vAlign w:val="bottom"/>
          </w:tcPr>
          <w:p>
            <w:pPr>
              <w:jc w:val="center"/>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Financial Statements</w:t>
            </w:r>
          </w:p>
        </w:tc>
        <w:tc>
          <w:tcPr>
            <w:tcW w:w="56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w w:val="99"/>
              </w:rPr>
              <w:t>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Unaudited Condensed Consolidated Balance Sheets as of June 30, 2014 and December 31, 2013</w:t>
            </w:r>
          </w:p>
        </w:tc>
        <w:tc>
          <w:tcPr>
            <w:tcW w:w="56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w w:val="99"/>
              </w:rPr>
              <w:t>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9580" w:type="dxa"/>
            <w:vAlign w:val="bottom"/>
            <w:shd w:val="clear" w:color="auto" w:fill="EEEEEE"/>
          </w:tcPr>
          <w:p>
            <w:pPr>
              <w:ind w:left="260"/>
              <w:spacing w:after="0" w:line="201" w:lineRule="exact"/>
              <w:rPr>
                <w:sz w:val="20"/>
                <w:szCs w:val="20"/>
                <w:color w:val="auto"/>
              </w:rPr>
            </w:pPr>
            <w:r>
              <w:rPr>
                <w:rFonts w:ascii="Arial" w:cs="Arial" w:eastAsia="Arial" w:hAnsi="Arial"/>
                <w:sz w:val="18"/>
                <w:szCs w:val="18"/>
                <w:color w:val="auto"/>
                <w:w w:val="91"/>
              </w:rPr>
              <w:t>Unaudited Condensed Consolidated Statements of Operations for the three-month and six-month periods ended June 30, 2014</w:t>
            </w:r>
          </w:p>
        </w:tc>
        <w:tc>
          <w:tcPr>
            <w:tcW w:w="1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9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and 2013</w:t>
            </w:r>
          </w:p>
        </w:tc>
        <w:tc>
          <w:tcPr>
            <w:tcW w:w="56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w w:val="99"/>
              </w:rPr>
              <w:t>4</w:t>
            </w: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9580" w:type="dxa"/>
            <w:vAlign w:val="bottom"/>
            <w:shd w:val="clear" w:color="auto" w:fill="EEEEEE"/>
          </w:tcPr>
          <w:p>
            <w:pPr>
              <w:ind w:left="260"/>
              <w:spacing w:after="0" w:line="201" w:lineRule="exact"/>
              <w:rPr>
                <w:sz w:val="20"/>
                <w:szCs w:val="20"/>
                <w:color w:val="auto"/>
              </w:rPr>
            </w:pPr>
            <w:r>
              <w:rPr>
                <w:rFonts w:ascii="Arial" w:cs="Arial" w:eastAsia="Arial" w:hAnsi="Arial"/>
                <w:sz w:val="18"/>
                <w:szCs w:val="18"/>
                <w:color w:val="auto"/>
                <w:w w:val="93"/>
              </w:rPr>
              <w:t>Unaudited Condensed Consolidated Statements of Comprehensive Income for the three-month and six-month periods ended</w:t>
            </w:r>
          </w:p>
        </w:tc>
        <w:tc>
          <w:tcPr>
            <w:tcW w:w="1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9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June 30, 2014 and 2013</w:t>
            </w:r>
          </w:p>
        </w:tc>
        <w:tc>
          <w:tcPr>
            <w:tcW w:w="56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w w:val="99"/>
              </w:rPr>
              <w:t>5</w:t>
            </w: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58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6"/>
              </w:rPr>
              <w:t>Unaudited Condensed Consolidated Statements of Cash Flows for the six-month periods ended June 30, 2014 and 2013</w:t>
            </w:r>
          </w:p>
        </w:tc>
        <w:tc>
          <w:tcPr>
            <w:tcW w:w="56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w w:val="99"/>
              </w:rPr>
              <w:t>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Notes to Unaudited Condensed Consolidated Financial Statements</w:t>
            </w:r>
          </w:p>
        </w:tc>
        <w:tc>
          <w:tcPr>
            <w:tcW w:w="56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w w:val="99"/>
              </w:rPr>
              <w:t>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w w:val="89"/>
              </w:rPr>
              <w:t>22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Controls and Procedures</w:t>
            </w:r>
          </w:p>
        </w:tc>
        <w:tc>
          <w:tcPr>
            <w:tcW w:w="56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w w:val="89"/>
              </w:rPr>
              <w:t>45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580" w:type="dxa"/>
            <w:vAlign w:val="bottom"/>
          </w:tcPr>
          <w:p>
            <w:pPr>
              <w:jc w:val="center"/>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Legal Proceedings</w:t>
            </w:r>
          </w:p>
        </w:tc>
        <w:tc>
          <w:tcPr>
            <w:tcW w:w="56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w w:val="89"/>
              </w:rPr>
              <w:t>46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1A.</w:t>
            </w:r>
          </w:p>
        </w:tc>
        <w:tc>
          <w:tcPr>
            <w:tcW w:w="9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Risk Factors</w:t>
            </w:r>
          </w:p>
        </w:tc>
        <w:tc>
          <w:tcPr>
            <w:tcW w:w="56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w w:val="89"/>
              </w:rPr>
              <w:t>46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w w:val="89"/>
              </w:rPr>
              <w:t>49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9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Exhibits</w:t>
            </w:r>
          </w:p>
        </w:tc>
        <w:tc>
          <w:tcPr>
            <w:tcW w:w="56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w w:val="89"/>
              </w:rPr>
              <w:t>49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Signatures</w:t>
            </w:r>
          </w:p>
        </w:tc>
        <w:tc>
          <w:tcPr>
            <w:tcW w:w="56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w w:val="89"/>
              </w:rPr>
              <w:t>50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14,426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154,902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1,312,745</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1,155,063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(53,326)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(39,626)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8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1,259,419</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1,115,437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5,686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in securitizations</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1,006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10,923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51,550</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19,500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18,670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23,402</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21,481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1,541,074</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1,396,366</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24,252</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41,290</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14,079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5,392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1,326,319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1,177,559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38,559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2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18,038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1,429,370</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1,301,764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25,150,102 and 24,015,585 shares issued</w:t>
            </w:r>
          </w:p>
        </w:tc>
        <w:tc>
          <w:tcPr>
            <w:tcW w:w="28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and outstanding at June 30, 2014 and</w:t>
            </w:r>
          </w:p>
        </w:tc>
        <w:tc>
          <w:tcPr>
            <w:tcW w:w="28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December 31, 2013, respectively</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76,793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36,006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111,704</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94,602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1,541,074</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1,396,366</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8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68,221</w:t>
            </w:r>
          </w:p>
        </w:tc>
        <w:tc>
          <w:tcPr>
            <w:tcW w:w="5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55,797</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133,217</w:t>
            </w:r>
          </w:p>
        </w:tc>
        <w:tc>
          <w:tcPr>
            <w:tcW w:w="74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Servicing fees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876</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3,006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2,862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5,643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Gain on cancellation of debt</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10,947</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71,594</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70,482</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139,740</w:t>
            </w:r>
          </w:p>
        </w:tc>
        <w:tc>
          <w:tcPr>
            <w:tcW w:w="16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125,075</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11,774</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11,527</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22,664</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5,075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4,518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8,678</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11,942</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14,601</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25,323</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25,627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17,371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49,508</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contingent liabilities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9,650</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3,812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3,472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7,658</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908</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1,595</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59,265</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61,936</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115,647</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110,001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8,546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5,303</w:t>
            </w:r>
          </w:p>
        </w:tc>
        <w:tc>
          <w:tcPr>
            <w:tcW w:w="1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3,721</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10,362</w:t>
            </w:r>
          </w:p>
        </w:tc>
        <w:tc>
          <w:tcPr>
            <w:tcW w:w="18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13,731</w:t>
            </w:r>
          </w:p>
        </w:tc>
        <w:tc>
          <w:tcPr>
            <w:tcW w:w="16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8,610</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0.28</w:t>
            </w:r>
          </w:p>
        </w:tc>
        <w:tc>
          <w:tcPr>
            <w:tcW w:w="560" w:type="dxa"/>
            <w:vAlign w:val="bottom"/>
            <w:gridSpan w:val="2"/>
            <w:shd w:val="clear" w:color="auto" w:fill="EEEEEE"/>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0.23</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0.56</w:t>
            </w:r>
          </w:p>
        </w:tc>
        <w:tc>
          <w:tcPr>
            <w:tcW w:w="74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w w:val="96"/>
              </w:rPr>
              <w:t>Number of shares used in computing earnings per</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share: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25,029</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20,989</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24,694</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20,534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32,002</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31,788</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32,009</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31,709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040" w:type="dxa"/>
            <w:vAlign w:val="bottom"/>
            <w:gridSpan w:val="5"/>
          </w:tcPr>
          <w:p>
            <w:pPr>
              <w:jc w:val="right"/>
              <w:ind w:right="365"/>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865"/>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7,026</w:t>
            </w:r>
          </w:p>
        </w:tc>
        <w:tc>
          <w:tcPr>
            <w:tcW w:w="1260" w:type="dxa"/>
            <w:vAlign w:val="bottom"/>
            <w:gridSpan w:val="2"/>
            <w:shd w:val="clear" w:color="auto" w:fill="EEEEEE"/>
          </w:tcPr>
          <w:p>
            <w:pPr>
              <w:jc w:val="right"/>
              <w:ind w:right="9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4,825</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13,731</w:t>
            </w:r>
          </w:p>
        </w:tc>
        <w:tc>
          <w:tcPr>
            <w:tcW w:w="560" w:type="dxa"/>
            <w:vAlign w:val="bottom"/>
            <w:gridSpan w:val="2"/>
            <w:shd w:val="clear" w:color="auto" w:fill="EEEEEE"/>
          </w:tcPr>
          <w:p>
            <w:pPr>
              <w:jc w:val="right"/>
              <w:ind w:right="43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8,610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Other comprehensive income/(loss); change in</w:t>
            </w:r>
          </w:p>
        </w:tc>
        <w:tc>
          <w:tcPr>
            <w:tcW w:w="11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funded status of pension plan</w:t>
            </w:r>
          </w:p>
        </w:tc>
        <w:tc>
          <w:tcPr>
            <w:tcW w:w="1100" w:type="dxa"/>
            <w:vAlign w:val="bottom"/>
            <w:shd w:val="clear" w:color="auto" w:fill="EEEEEE"/>
          </w:tcPr>
          <w:p>
            <w:pPr>
              <w:spacing w:after="0"/>
              <w:rPr>
                <w:sz w:val="21"/>
                <w:szCs w:val="21"/>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340" w:type="dxa"/>
            <w:vAlign w:val="bottom"/>
            <w:shd w:val="clear" w:color="auto" w:fill="EEEEEE"/>
          </w:tcPr>
          <w:p>
            <w:pPr>
              <w:spacing w:after="0"/>
              <w:rPr>
                <w:sz w:val="21"/>
                <w:szCs w:val="21"/>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540" w:type="dxa"/>
            <w:vAlign w:val="bottom"/>
            <w:shd w:val="clear" w:color="auto" w:fill="EEEEEE"/>
          </w:tcPr>
          <w:p>
            <w:pPr>
              <w:spacing w:after="0"/>
              <w:rPr>
                <w:sz w:val="21"/>
                <w:szCs w:val="21"/>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13,731</w:t>
            </w:r>
          </w:p>
        </w:tc>
        <w:tc>
          <w:tcPr>
            <w:tcW w:w="7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Accretion of deferred acquisition fees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(8,922)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Accretion of purchase discount on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Amortization of discount on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623</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Accretion of premium on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Mark to fair value on debt secured by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Mark to fair value of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3,384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49,508</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Provision for contingent liabilities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1,459</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Interest income on residual assets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Gain on cancellation of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(830)</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7,665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67,284</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40,373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(401,266)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216,698</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166,625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Payments received on receivables portfolio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9,135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Proceeds received on residual interest in securitizations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830</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(2,629)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Decreases (increases) in restricted cash and cash equivalents,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(22,618)</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4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(200,311</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(204,051</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382,500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(1,364)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Net proceeds from (repayments of) warehouse lines of credit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31,838</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Proceeds from (repayments of) residual interest financing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(5,017)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(233,816)</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(188,165)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Repayment of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(8,554)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Repayment of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(39,182)</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Payment of financing costs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(3,236)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1,912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125,341</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169,296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(7,686)</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5,618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shd w:val="clear" w:color="auto" w:fill="EEEEEE"/>
          </w:tcPr>
          <w:p>
            <w:pPr>
              <w:spacing w:after="0"/>
              <w:rPr>
                <w:sz w:val="19"/>
                <w:szCs w:val="19"/>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22,112</w:t>
            </w: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14,426</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18,584</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23,289</w:t>
            </w:r>
          </w:p>
        </w:tc>
        <w:tc>
          <w:tcPr>
            <w:tcW w:w="7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2,514</w:t>
            </w:r>
          </w:p>
        </w:tc>
        <w:tc>
          <w:tcPr>
            <w:tcW w:w="72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Non-cash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Derivative warrants reclassified from accounts payable to common stock</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221"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low incomes or past credit problems (“sub-prime customers”). We serve as an alternative source of financing for dealers, allowing sales to customers who otherwise might not be able to obtain financing. In addition to purchasing installment purchase contracts directly from dealers, we have also</w:t>
      </w:r>
    </w:p>
    <w:p>
      <w:pPr>
        <w:spacing w:after="0" w:line="2" w:lineRule="exact"/>
        <w:rPr>
          <w:sz w:val="20"/>
          <w:szCs w:val="20"/>
          <w:color w:val="auto"/>
        </w:rPr>
      </w:pPr>
    </w:p>
    <w:p>
      <w:pPr>
        <w:jc w:val="both"/>
        <w:ind w:firstLine="8"/>
        <w:spacing w:after="0" w:line="255" w:lineRule="auto"/>
        <w:tabs>
          <w:tab w:leader="none" w:pos="228"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six-month period ended June 30, 2014 are not necessarily indicative of the operating results to be expected for the full year.</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Specifically, a number of estimates were made in connection with determining an appropriate allowance for finance credit losses, determining appropriate reserves for contingent liabilities, valuing finance receivables measured at fair value and the related debt, valuing residual interest in securitizations, accreting net acquisition fees, amortizing deferred costs, valuing stock options and warrants issued, and recording deferred tax assets and reserves for uncertain tax positions. These are material estimates that could be susceptible to changes in the near term and, accordingly,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primary components of Other Income for the three-month and six-month periods ending June 30, 2014 and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8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gridSpan w:val="4"/>
          </w:tcPr>
          <w:p>
            <w:pPr>
              <w:jc w:val="center"/>
              <w:ind w:left="650"/>
              <w:spacing w:after="0"/>
              <w:rPr>
                <w:sz w:val="20"/>
                <w:szCs w:val="20"/>
                <w:color w:val="auto"/>
              </w:rPr>
            </w:pPr>
            <w:r>
              <w:rPr>
                <w:rFonts w:ascii="Arial" w:cs="Arial" w:eastAsia="Arial" w:hAnsi="Arial"/>
                <w:sz w:val="18"/>
                <w:szCs w:val="18"/>
                <w:b w:val="1"/>
                <w:bCs w:val="1"/>
                <w:color w:val="auto"/>
                <w:w w:val="90"/>
              </w:rPr>
              <w:t>(In thousands)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2,171</w:t>
            </w:r>
          </w:p>
        </w:tc>
        <w:tc>
          <w:tcPr>
            <w:tcW w:w="740" w:type="dxa"/>
            <w:vAlign w:val="bottom"/>
            <w:gridSpan w:val="2"/>
            <w:shd w:val="clear" w:color="auto" w:fill="EEEEEE"/>
          </w:tcPr>
          <w:p>
            <w:pPr>
              <w:jc w:val="right"/>
              <w:ind w:right="3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1,963</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4,023</w:t>
            </w:r>
          </w:p>
        </w:tc>
        <w:tc>
          <w:tcPr>
            <w:tcW w:w="70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828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Sales tax refunds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six months ended June 30, 2014 and 2013, we recorded stock-based compensation costs in the amount of $1.5 million and $1.8 million, respectively. As of June 30, 2014, unrecognized stock-based compensation costs to be recognized over future periods equaled $10.9 million. This amount will be recognized as expense over a weighted-average period of 3.2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stock option activity for the six months ended June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9"/>
                <w:szCs w:val="19"/>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 Price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10,128</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3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ind w:left="7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tcPr>
          <w:p>
            <w:pPr>
              <w:ind w:left="7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19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(978)</w:t>
            </w:r>
          </w:p>
        </w:tc>
        <w:tc>
          <w:tcPr>
            <w:tcW w:w="18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2.22</w:t>
            </w:r>
          </w:p>
        </w:tc>
        <w:tc>
          <w:tcPr>
            <w:tcW w:w="1600" w:type="dxa"/>
            <w:vAlign w:val="bottom"/>
            <w:shd w:val="clear" w:color="auto" w:fill="EEEEEE"/>
          </w:tcPr>
          <w:p>
            <w:pPr>
              <w:ind w:left="7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4.58</w:t>
            </w:r>
          </w:p>
        </w:tc>
        <w:tc>
          <w:tcPr>
            <w:tcW w:w="1600" w:type="dxa"/>
            <w:vAlign w:val="bottom"/>
          </w:tcPr>
          <w:p>
            <w:pPr>
              <w:ind w:left="7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9,047</w:t>
            </w:r>
          </w:p>
        </w:tc>
        <w:tc>
          <w:tcPr>
            <w:tcW w:w="340" w:type="dxa"/>
            <w:vAlign w:val="bottom"/>
            <w:tcBorders>
              <w:top w:val="single" w:sz="8" w:color="EEEEEE"/>
            </w:tcBorders>
            <w:shd w:val="clear" w:color="auto" w:fill="EEEEEE"/>
          </w:tcPr>
          <w:p>
            <w:pPr>
              <w:spacing w:after="0"/>
              <w:rPr>
                <w:sz w:val="19"/>
                <w:szCs w:val="19"/>
                <w:color w:val="auto"/>
              </w:rPr>
            </w:pPr>
          </w:p>
        </w:tc>
        <w:tc>
          <w:tcPr>
            <w:tcW w:w="18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3.41</w:t>
            </w:r>
          </w:p>
        </w:tc>
        <w:tc>
          <w:tcPr>
            <w:tcW w:w="1600" w:type="dxa"/>
            <w:vAlign w:val="bottom"/>
            <w:tcBorders>
              <w:top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6.34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5,841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2.49</w:t>
            </w:r>
          </w:p>
        </w:tc>
        <w:tc>
          <w:tcPr>
            <w:tcW w:w="1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5.30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June 30, 2014, the aggregate intrinsic value of options outstanding and exercisable was $38.6 million and $30.1 million, respectively. There were 978,000 options exercised for the three months ended June 30, 2014 compared to 394,000 for the comparable period in 2013. There were 4.1 million shares available for future stock option grants under existing plans as of June 30,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six-month period ended June 30, 2014 and 2013, we re-purchased 73,788 and 118,544 shares, respectively, of our common stock, at average prices of $7.91 and $9.60, respectively. All purchases were related to net exercises of outstanding options and warrants. In transactions during the six-month period ended June 30, 2014, the holder of options and warrants to purchase 395,000 shares of our common stock paid the aggregate $583,000 exercise price by surrender to us of 73,788 of such 395,000 shares. There were no open market purchases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May 2014, the FASB issued an update (ASU No. 2014-09, Revenue from Contracts with Customers) creating FASB Topic 606, Revenue from Contracts with Customers. The guidance in this update affects any entity that either enters into contracts with customers to transfer goods or services or enters into contracts for the transfer of nonfinancial assets unless those contracts are within the scope of other standards (for example, insurance contracts or lease contracts). The core principle of the guidance is that an entity should recognize revenue to depict the transfer of promised goods or services to customers in an amount that reflects the consideration to which the entity expects to be entitled in exchange for those goods or services. The guidance provides steps to follow to achieve the core principle. An entity should disclose sufficient information to enable users of financial statements to understand the nature, amount, timing and uncertainty of revenue and cash flows arising from contracts with customers. Qualitative and quantitative information is required about contracts with customers, significant judgments and changes in judgments, and assets recognized from the costs to obtain or fulfill a contract. The amendments in this update become effective for annual periods and interim periods within those annual periods beginning after December 15, 2016. We are currently evaluating the impact of adopting the new guidance on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June 30, 2014, we were in compliance with all such covenants. In addition, certain securitization and non-securitization related debt agreements contain cross-default provisions that would allow certain creditors to declare a default if a default occurred under a different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and Related Debt Measured at Fair Value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September 2011 we purchased approximately $217.8 million of finance receivables from Fireside Bank. These receivables and the related acquisition debt are recorded on our balance sheet at fair value. There are no level 1 or level 2 inputs (as described by ASC 820) available to us for measurement of such receivables, or for the related debt. Our level 3, unobservable inputs reflect our own assumptions about the factors that market participants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Cancellation of Debt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April 2013, we repurchased the outstanding Class D notes issued by our first 2008 securitization trust, for a cash payment of $6.1 million and a new 5% note for $5.3 million due in June 2014. The Class D notes were held by the same related party that held our senior secured debt. On the date we repurchased the Class D notes, the Class D note holder owned 10.5% of our outstanding common stock. We subsequently exercised our “clean-up call” option and repurchased the remaining collateral from the related securitization trust. The aggregate value of our consideration given for the Class D notes was $10.9 million less than our carrying value of the Class D notes at the time of the repurchase. As a result of the repurchase of the Class D notes and the termination of the securitization trust, we realized a gain of $10.9 million for the three-month and six-month periods ended June 30,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June 2013, we recognized $9.7 million in contingent liability expenses to either record or increase the amounts we believed represented our best estimate of probable incurred losses related to various matters. The amount was allocated in part to a long running case we refer to as the Stanwich litigation, and also to more recent matters. The more recent matters included two California class action suits where we are the defendant, and a governmental inquiry, in which the United States Federal Trade Commission (“FTC”) had informally proposed that we refrain from certain allegedly unfair trade practices, and make restitutionary payments into a consumer relief fund. In May 2014, the FTC announced its agreement to settle the matter by filing a lawsuit against us, and requesting, with our consent, that the court enter an agreed judgment against us. The lawsuit arose out of the FTC’s inquiry into our business practices. Under the agreed settlement, we will make approximately $1.9 million of restitutionary payments and $1.6 million of account adjustments to and for our customers, pay a $2 million penalty to the federal government, and implement procedural changes, all pursuant to a consent decree which has since been entered by the court. The cost to us of the payments, adjustments and penalty is within the contingency reserve that we recorded in June 2013 with respect to this matter. The $2 million penalty was paid in June 2014.</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recorded a liability as of June 30, 2014, which represents our best estimate of probable incurred losses for legal contingencies. The amount of losses that may ultimately be incurred cannot be estimated with certainty.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60" w:type="dxa"/>
            <w:vAlign w:val="bottom"/>
          </w:tcPr>
          <w:p>
            <w:pPr>
              <w:ind w:left="640"/>
              <w:spacing w:after="0"/>
              <w:rPr>
                <w:sz w:val="20"/>
                <w:szCs w:val="20"/>
                <w:color w:val="auto"/>
              </w:rPr>
            </w:pPr>
            <w:r>
              <w:rPr>
                <w:rFonts w:ascii="Arial" w:cs="Arial" w:eastAsia="Arial" w:hAnsi="Arial"/>
                <w:sz w:val="18"/>
                <w:szCs w:val="18"/>
                <w:color w:val="auto"/>
                <w:w w:val="94"/>
              </w:rPr>
              <w:t>The following table presents the components of Finance Receivables, net of unearned interest:</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Finance Receivables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326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1,334,938</w:t>
            </w:r>
          </w:p>
        </w:tc>
        <w:tc>
          <w:tcPr>
            <w:tcW w:w="2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1,182,950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Less: Unearned acquisition fees and originations costs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(22,193)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(27,887)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Finance Receivables</w:t>
            </w: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1,312,745</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1,155,063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June 30, 2014 and December 31, 2013: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7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Deliquency Status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1,279,716</w:t>
            </w:r>
          </w:p>
        </w:tc>
        <w:tc>
          <w:tcPr>
            <w:tcW w:w="36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1,125,926</w:t>
            </w:r>
          </w:p>
        </w:tc>
        <w:tc>
          <w:tcPr>
            <w:tcW w:w="8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30,946</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21,421</w:t>
            </w:r>
          </w:p>
        </w:tc>
        <w:tc>
          <w:tcPr>
            <w:tcW w:w="80" w:type="dxa"/>
            <w:vAlign w:val="bottom"/>
            <w:shd w:val="clear" w:color="auto" w:fill="EEEEEE"/>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7560" w:type="dxa"/>
            <w:vAlign w:val="bottom"/>
          </w:tcPr>
          <w:p>
            <w:pPr>
              <w:ind w:left="20"/>
              <w:spacing w:after="0"/>
              <w:rPr>
                <w:sz w:val="20"/>
                <w:szCs w:val="20"/>
                <w:color w:val="auto"/>
              </w:rPr>
            </w:pPr>
            <w:r>
              <w:rPr>
                <w:rFonts w:ascii="Arial" w:cs="Arial" w:eastAsia="Arial" w:hAnsi="Arial"/>
                <w:sz w:val="18"/>
                <w:szCs w:val="18"/>
                <w:color w:val="auto"/>
              </w:rPr>
              <w:t>- 90 days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17,040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24,663</w:t>
            </w:r>
          </w:p>
        </w:tc>
        <w:tc>
          <w:tcPr>
            <w:tcW w:w="80" w:type="dxa"/>
            <w:vAlign w:val="bottom"/>
          </w:tcPr>
          <w:p>
            <w:pPr>
              <w:spacing w:after="0"/>
              <w:rPr>
                <w:sz w:val="18"/>
                <w:szCs w:val="18"/>
                <w:color w:val="auto"/>
              </w:rPr>
            </w:pP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7,236</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10,940</w:t>
            </w:r>
          </w:p>
        </w:tc>
        <w:tc>
          <w:tcPr>
            <w:tcW w:w="8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1,334,938</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1,182,950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receivables totaling $7.2 million and $10.9 million at June 30, 2014 and December 31, 2013,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losses is charged to our consolidated statement of operations. Net losses incurred on finance receivables are charged to the allowance. We establish the allowance for new receivables over the 12-month period following their acquisition.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three-month and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2980" w:type="dxa"/>
            <w:vAlign w:val="bottom"/>
            <w:gridSpan w:val="5"/>
          </w:tcPr>
          <w:p>
            <w:pPr>
              <w:jc w:val="center"/>
              <w:ind w:left="501"/>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365"/>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60" w:type="dxa"/>
            <w:vAlign w:val="bottom"/>
            <w:gridSpan w:val="4"/>
          </w:tcPr>
          <w:p>
            <w:pPr>
              <w:jc w:val="center"/>
              <w:ind w:right="365"/>
              <w:spacing w:after="0"/>
              <w:rPr>
                <w:sz w:val="20"/>
                <w:szCs w:val="20"/>
                <w:color w:val="auto"/>
              </w:rPr>
            </w:pPr>
            <w:r>
              <w:rPr>
                <w:rFonts w:ascii="Arial" w:cs="Arial" w:eastAsia="Arial" w:hAnsi="Arial"/>
                <w:sz w:val="18"/>
                <w:szCs w:val="18"/>
                <w:b w:val="1"/>
                <w:bCs w:val="1"/>
                <w:color w:val="auto"/>
                <w:w w:val="90"/>
              </w:rPr>
              <w:t>(In thousands)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020" w:type="dxa"/>
            <w:vAlign w:val="bottom"/>
            <w:shd w:val="clear" w:color="auto" w:fill="EEEEEE"/>
          </w:tcPr>
          <w:p>
            <w:pPr>
              <w:jc w:val="right"/>
              <w:ind w:right="86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44,652</w:t>
            </w:r>
          </w:p>
        </w:tc>
        <w:tc>
          <w:tcPr>
            <w:tcW w:w="1160" w:type="dxa"/>
            <w:vAlign w:val="bottom"/>
            <w:gridSpan w:val="2"/>
            <w:shd w:val="clear" w:color="auto" w:fill="EEEEEE"/>
          </w:tcPr>
          <w:p>
            <w:pPr>
              <w:jc w:val="right"/>
              <w:ind w:right="86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24,881</w:t>
            </w:r>
          </w:p>
        </w:tc>
        <w:tc>
          <w:tcPr>
            <w:tcW w:w="1160" w:type="dxa"/>
            <w:vAlign w:val="bottom"/>
            <w:gridSpan w:val="2"/>
            <w:shd w:val="clear" w:color="auto" w:fill="EEEEEE"/>
          </w:tcPr>
          <w:p>
            <w:pPr>
              <w:jc w:val="right"/>
              <w:ind w:right="83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39,626</w:t>
            </w:r>
          </w:p>
        </w:tc>
        <w:tc>
          <w:tcPr>
            <w:tcW w:w="70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19,594</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9"/>
              </w:rPr>
              <w:t>Provision for credit losses on finance receivables</w:t>
            </w:r>
          </w:p>
        </w:tc>
        <w:tc>
          <w:tcPr>
            <w:tcW w:w="1020" w:type="dxa"/>
            <w:vAlign w:val="bottom"/>
          </w:tcPr>
          <w:p>
            <w:pPr>
              <w:jc w:val="right"/>
              <w:ind w:right="86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25,627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17,371</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49,508</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32,519</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1020" w:type="dxa"/>
            <w:vAlign w:val="bottom"/>
            <w:shd w:val="clear" w:color="auto" w:fill="EEEEEE"/>
          </w:tcPr>
          <w:p>
            <w:pPr>
              <w:jc w:val="right"/>
              <w:ind w:right="86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2"/>
              </w:rPr>
              <w:t>(26,985)</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2"/>
              </w:rPr>
              <w:t>(13,361)</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2"/>
              </w:rPr>
              <w:t>(50,526)</w:t>
            </w: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(26,277)</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Recoveries</w:t>
            </w:r>
          </w:p>
        </w:tc>
        <w:tc>
          <w:tcPr>
            <w:tcW w:w="1020" w:type="dxa"/>
            <w:vAlign w:val="bottom"/>
          </w:tcPr>
          <w:p>
            <w:pPr>
              <w:jc w:val="right"/>
              <w:ind w:right="86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10,032</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3,210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14,718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6,265</w:t>
            </w: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20" w:type="dxa"/>
            <w:vAlign w:val="bottom"/>
            <w:tcBorders>
              <w:top w:val="single" w:sz="8" w:color="auto"/>
              <w:bottom w:val="single" w:sz="8" w:color="auto"/>
            </w:tcBorders>
            <w:shd w:val="clear" w:color="auto" w:fill="EEEEEE"/>
          </w:tcPr>
          <w:p>
            <w:pPr>
              <w:jc w:val="right"/>
              <w:ind w:right="86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53,326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32,101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53,326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32,101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28,884</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24,743</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(16,291)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(14,779)</w:t>
            </w: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12,593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9,964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b w:val="1"/>
          <w:bCs w:val="1"/>
          <w:i w:val="1"/>
          <w:iCs w:val="1"/>
          <w:color w:val="auto"/>
        </w:rPr>
        <w:t>Finance Receivables Measured at Fair Value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September 2011 we purchased approximately $217.8 million of finance receivables from Fireside Bank. These receivables are recorded on our balance sheet at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60" w:type="dxa"/>
            <w:vAlign w:val="bottom"/>
          </w:tcPr>
          <w:p>
            <w:pPr>
              <w:ind w:left="640"/>
              <w:spacing w:after="0"/>
              <w:rPr>
                <w:sz w:val="20"/>
                <w:szCs w:val="20"/>
                <w:color w:val="auto"/>
              </w:rPr>
            </w:pPr>
            <w:r>
              <w:rPr>
                <w:rFonts w:ascii="Arial" w:cs="Arial" w:eastAsia="Arial" w:hAnsi="Arial"/>
                <w:sz w:val="18"/>
                <w:szCs w:val="18"/>
                <w:color w:val="auto"/>
                <w:w w:val="96"/>
              </w:rPr>
              <w:t>The following table presents the components of Finance Receivables measured at fair value:</w:t>
            </w: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Finance Receivables Measured at Fair Value</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8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238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w w:val="91"/>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and accrued interest, net of unearned interest</w:t>
            </w:r>
          </w:p>
        </w:tc>
        <w:tc>
          <w:tcPr>
            <w:tcW w:w="1160" w:type="dxa"/>
            <w:vAlign w:val="bottom"/>
            <w:shd w:val="clear" w:color="auto" w:fill="EEEEEE"/>
          </w:tcPr>
          <w:p>
            <w:pPr>
              <w:jc w:val="right"/>
              <w:ind w:right="999"/>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3"/>
              </w:rPr>
              <w:t>5,651</w:t>
            </w:r>
          </w:p>
        </w:tc>
        <w:tc>
          <w:tcPr>
            <w:tcW w:w="34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Less: Fair value adjustment</w:t>
            </w:r>
          </w:p>
        </w:tc>
        <w:tc>
          <w:tcPr>
            <w:tcW w:w="1160" w:type="dxa"/>
            <w:vAlign w:val="bottom"/>
          </w:tcPr>
          <w:p>
            <w:pPr>
              <w:jc w:val="right"/>
              <w:ind w:right="999"/>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Finance receivables measured at fair value</w:t>
            </w:r>
          </w:p>
        </w:tc>
        <w:tc>
          <w:tcPr>
            <w:tcW w:w="1160" w:type="dxa"/>
            <w:vAlign w:val="bottom"/>
            <w:tcBorders>
              <w:top w:val="single" w:sz="8" w:color="auto"/>
              <w:bottom w:val="single" w:sz="8" w:color="auto"/>
            </w:tcBorders>
            <w:shd w:val="clear" w:color="auto" w:fill="EEEEEE"/>
          </w:tcPr>
          <w:p>
            <w:pPr>
              <w:jc w:val="right"/>
              <w:ind w:right="99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3"/>
              </w:rPr>
              <w:t>5,686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14,476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delinquency status of finance receivables measured at fair value as of June 30, 2014 and 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460" w:type="dxa"/>
            <w:vAlign w:val="bottom"/>
            <w:gridSpan w:val="2"/>
          </w:tcPr>
          <w:p>
            <w:pPr>
              <w:jc w:val="right"/>
              <w:ind w:right="97"/>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5"/>
          </w:tcPr>
          <w:p>
            <w:pPr>
              <w:jc w:val="right"/>
              <w:ind w:right="1130"/>
              <w:spacing w:after="0"/>
              <w:rPr>
                <w:sz w:val="20"/>
                <w:szCs w:val="20"/>
                <w:color w:val="auto"/>
              </w:rPr>
            </w:pPr>
            <w:r>
              <w:rPr>
                <w:rFonts w:ascii="Arial" w:cs="Arial" w:eastAsia="Arial" w:hAnsi="Arial"/>
                <w:sz w:val="18"/>
                <w:szCs w:val="18"/>
                <w:b w:val="1"/>
                <w:bCs w:val="1"/>
                <w:color w:val="auto"/>
                <w:w w:val="91"/>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Deliquency Status</w:t>
            </w:r>
          </w:p>
        </w:tc>
        <w:tc>
          <w:tcPr>
            <w:tcW w:w="43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5460" w:type="dxa"/>
            <w:vAlign w:val="bottom"/>
            <w:gridSpan w:val="2"/>
          </w:tcPr>
          <w:p>
            <w:pPr>
              <w:jc w:val="right"/>
              <w:ind w:right="99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4,999</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13,421</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32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5460" w:type="dxa"/>
            <w:vAlign w:val="bottom"/>
            <w:gridSpan w:val="2"/>
            <w:shd w:val="clear" w:color="auto" w:fill="EEEEEE"/>
          </w:tcPr>
          <w:p>
            <w:pPr>
              <w:jc w:val="right"/>
              <w:ind w:right="99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3260" w:type="dxa"/>
            <w:vAlign w:val="bottom"/>
          </w:tcPr>
          <w:p>
            <w:pPr>
              <w:ind w:left="20"/>
              <w:spacing w:after="0"/>
              <w:rPr>
                <w:sz w:val="20"/>
                <w:szCs w:val="20"/>
                <w:color w:val="auto"/>
              </w:rPr>
            </w:pPr>
            <w:r>
              <w:rPr>
                <w:rFonts w:ascii="Arial" w:cs="Arial" w:eastAsia="Arial" w:hAnsi="Arial"/>
                <w:sz w:val="18"/>
                <w:szCs w:val="18"/>
                <w:color w:val="auto"/>
              </w:rPr>
              <w:t>- 90 days</w:t>
            </w:r>
          </w:p>
        </w:tc>
        <w:tc>
          <w:tcPr>
            <w:tcW w:w="5460" w:type="dxa"/>
            <w:vAlign w:val="bottom"/>
            <w:gridSpan w:val="2"/>
          </w:tcPr>
          <w:p>
            <w:pPr>
              <w:jc w:val="right"/>
              <w:ind w:right="99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32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5460" w:type="dxa"/>
            <w:vAlign w:val="bottom"/>
            <w:gridSpan w:val="2"/>
            <w:shd w:val="clear" w:color="auto" w:fill="EEEEEE"/>
          </w:tcPr>
          <w:p>
            <w:pPr>
              <w:jc w:val="right"/>
              <w:ind w:right="997"/>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9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5,651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300" w:type="dxa"/>
            <w:vAlign w:val="bottom"/>
            <w:vMerge w:val="restart"/>
          </w:tcPr>
          <w:p>
            <w:pPr>
              <w:jc w:val="right"/>
              <w:ind w:right="1890"/>
              <w:spacing w:after="0"/>
              <w:rPr>
                <w:sz w:val="20"/>
                <w:szCs w:val="20"/>
                <w:color w:val="auto"/>
              </w:rPr>
            </w:pPr>
            <w:r>
              <w:rPr>
                <w:rFonts w:ascii="Arial" w:cs="Arial" w:eastAsia="Arial" w:hAnsi="Arial"/>
                <w:sz w:val="18"/>
                <w:szCs w:val="18"/>
                <w:color w:val="auto"/>
              </w:rPr>
              <w:t>11</w:t>
            </w: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Contractual</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Final</w:t>
            </w:r>
          </w:p>
        </w:tc>
        <w:tc>
          <w:tcPr>
            <w:tcW w:w="18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Receivables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Scheduled</w:t>
            </w:r>
          </w:p>
        </w:tc>
        <w:tc>
          <w:tcPr>
            <w:tcW w:w="18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Pledged at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Principal at</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Rate at</w:t>
            </w:r>
          </w:p>
        </w:tc>
      </w:tr>
      <w:tr>
        <w:trPr>
          <w:trHeight w:val="230"/>
        </w:trPr>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Payment</w:t>
            </w:r>
          </w:p>
        </w:tc>
        <w:tc>
          <w:tcPr>
            <w:tcW w:w="18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Initial</w:t>
            </w:r>
          </w:p>
        </w:tc>
        <w:tc>
          <w:tcPr>
            <w:tcW w:w="180" w:type="dxa"/>
            <w:vAlign w:val="bottom"/>
          </w:tcPr>
          <w:p>
            <w:pPr>
              <w:spacing w:after="0"/>
              <w:rPr>
                <w:sz w:val="19"/>
                <w:szCs w:val="19"/>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1700" w:type="dxa"/>
            <w:vAlign w:val="bottom"/>
            <w:gridSpan w:val="2"/>
          </w:tcPr>
          <w:p>
            <w:pPr>
              <w:ind w:left="520"/>
              <w:spacing w:after="0"/>
              <w:rPr>
                <w:sz w:val="20"/>
                <w:szCs w:val="20"/>
                <w:color w:val="auto"/>
              </w:rPr>
            </w:pPr>
            <w:r>
              <w:rPr>
                <w:rFonts w:ascii="Arial" w:cs="Arial" w:eastAsia="Arial" w:hAnsi="Arial"/>
                <w:sz w:val="18"/>
                <w:szCs w:val="18"/>
                <w:b w:val="1"/>
                <w:bCs w:val="1"/>
                <w:color w:val="auto"/>
              </w:rPr>
              <w:t>Series</w:t>
            </w: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Date (1)</w:t>
            </w:r>
          </w:p>
        </w:tc>
        <w:tc>
          <w:tcPr>
            <w:tcW w:w="18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2014 (2)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Principal</w:t>
            </w:r>
          </w:p>
        </w:tc>
        <w:tc>
          <w:tcPr>
            <w:tcW w:w="1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60" w:type="dxa"/>
            <w:vAlign w:val="bottom"/>
          </w:tcPr>
          <w:p>
            <w:pPr>
              <w:spacing w:after="0"/>
              <w:rPr>
                <w:sz w:val="20"/>
                <w:szCs w:val="20"/>
                <w:color w:val="auto"/>
              </w:rPr>
            </w:pPr>
          </w:p>
        </w:tc>
      </w:tr>
      <w:tr>
        <w:trPr>
          <w:trHeight w:val="210"/>
        </w:trPr>
        <w:tc>
          <w:tcPr>
            <w:tcW w:w="1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w w:val="93"/>
              </w:rPr>
              <w:t>(Dollars in thousands)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Page Five Funding</w:t>
            </w:r>
          </w:p>
        </w:tc>
        <w:tc>
          <w:tcPr>
            <w:tcW w:w="174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January 2018</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7,304</w:t>
            </w:r>
          </w:p>
        </w:tc>
        <w:tc>
          <w:tcPr>
            <w:tcW w:w="4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46,058</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5,520</w:t>
            </w:r>
          </w:p>
        </w:tc>
        <w:tc>
          <w:tcPr>
            <w:tcW w:w="16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9,358</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9.28%</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2011-A</w:t>
            </w:r>
          </w:p>
        </w:tc>
        <w:tc>
          <w:tcPr>
            <w:tcW w:w="1740" w:type="dxa"/>
            <w:vAlign w:val="bottom"/>
          </w:tcPr>
          <w:p>
            <w:pPr>
              <w:jc w:val="right"/>
              <w:ind w:right="110"/>
              <w:spacing w:after="0"/>
              <w:rPr>
                <w:sz w:val="20"/>
                <w:szCs w:val="20"/>
                <w:color w:val="auto"/>
              </w:rPr>
            </w:pPr>
            <w:r>
              <w:rPr>
                <w:rFonts w:ascii="Arial" w:cs="Arial" w:eastAsia="Arial" w:hAnsi="Arial"/>
                <w:sz w:val="18"/>
                <w:szCs w:val="18"/>
                <w:color w:val="auto"/>
              </w:rPr>
              <w:t>April 2018</w:t>
            </w:r>
          </w:p>
        </w:tc>
        <w:tc>
          <w:tcPr>
            <w:tcW w:w="1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19,474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104,546</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15,614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24,526</w:t>
            </w:r>
          </w:p>
        </w:tc>
        <w:tc>
          <w:tcPr>
            <w:tcW w:w="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2011-B</w:t>
            </w:r>
          </w:p>
        </w:tc>
        <w:tc>
          <w:tcPr>
            <w:tcW w:w="174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September 2018</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32,820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111,046</w:t>
            </w:r>
          </w:p>
        </w:tc>
        <w:tc>
          <w:tcPr>
            <w:tcW w:w="1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32,334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44,433</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4.57%</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2011-C</w:t>
            </w:r>
          </w:p>
        </w:tc>
        <w:tc>
          <w:tcPr>
            <w:tcW w:w="1740" w:type="dxa"/>
            <w:vAlign w:val="bottom"/>
          </w:tcPr>
          <w:p>
            <w:pPr>
              <w:jc w:val="right"/>
              <w:ind w:right="110"/>
              <w:spacing w:after="0"/>
              <w:rPr>
                <w:sz w:val="20"/>
                <w:szCs w:val="20"/>
                <w:color w:val="auto"/>
              </w:rPr>
            </w:pPr>
            <w:r>
              <w:rPr>
                <w:rFonts w:ascii="Arial" w:cs="Arial" w:eastAsia="Arial" w:hAnsi="Arial"/>
                <w:sz w:val="18"/>
                <w:szCs w:val="18"/>
                <w:color w:val="auto"/>
              </w:rPr>
              <w:t>March 2019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119,400</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41,886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56,271</w:t>
            </w:r>
          </w:p>
        </w:tc>
        <w:tc>
          <w:tcPr>
            <w:tcW w:w="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4.95%</w:t>
            </w: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2012-A</w:t>
            </w:r>
          </w:p>
        </w:tc>
        <w:tc>
          <w:tcPr>
            <w:tcW w:w="174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June 2019</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49,549</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155,000</w:t>
            </w:r>
          </w:p>
        </w:tc>
        <w:tc>
          <w:tcPr>
            <w:tcW w:w="1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48,973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65,051</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3.48%</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2012-B</w:t>
            </w:r>
          </w:p>
        </w:tc>
        <w:tc>
          <w:tcPr>
            <w:tcW w:w="1740" w:type="dxa"/>
            <w:vAlign w:val="bottom"/>
          </w:tcPr>
          <w:p>
            <w:pPr>
              <w:jc w:val="right"/>
              <w:ind w:right="110"/>
              <w:spacing w:after="0"/>
              <w:rPr>
                <w:sz w:val="20"/>
                <w:szCs w:val="20"/>
                <w:color w:val="auto"/>
              </w:rPr>
            </w:pPr>
            <w:r>
              <w:rPr>
                <w:rFonts w:ascii="Arial" w:cs="Arial" w:eastAsia="Arial" w:hAnsi="Arial"/>
                <w:sz w:val="18"/>
                <w:szCs w:val="18"/>
                <w:color w:val="auto"/>
              </w:rPr>
              <w:t>September 2019</w:t>
            </w:r>
          </w:p>
        </w:tc>
        <w:tc>
          <w:tcPr>
            <w:tcW w:w="1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66,795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141,500</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66,597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86,254</w:t>
            </w:r>
          </w:p>
        </w:tc>
        <w:tc>
          <w:tcPr>
            <w:tcW w:w="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3.18%</w:t>
            </w: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2012-C</w:t>
            </w:r>
          </w:p>
        </w:tc>
        <w:tc>
          <w:tcPr>
            <w:tcW w:w="174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December 2019</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72,712</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147,000</w:t>
            </w:r>
          </w:p>
        </w:tc>
        <w:tc>
          <w:tcPr>
            <w:tcW w:w="1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72,357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93,006</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2.51%</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2012-D</w:t>
            </w:r>
          </w:p>
        </w:tc>
        <w:tc>
          <w:tcPr>
            <w:tcW w:w="1740" w:type="dxa"/>
            <w:vAlign w:val="bottom"/>
          </w:tcPr>
          <w:p>
            <w:pPr>
              <w:jc w:val="right"/>
              <w:ind w:right="110"/>
              <w:spacing w:after="0"/>
              <w:rPr>
                <w:sz w:val="20"/>
                <w:szCs w:val="20"/>
                <w:color w:val="auto"/>
              </w:rPr>
            </w:pPr>
            <w:r>
              <w:rPr>
                <w:rFonts w:ascii="Arial" w:cs="Arial" w:eastAsia="Arial" w:hAnsi="Arial"/>
                <w:sz w:val="18"/>
                <w:szCs w:val="18"/>
                <w:color w:val="auto"/>
              </w:rPr>
              <w:t>March 2020</w:t>
            </w:r>
          </w:p>
        </w:tc>
        <w:tc>
          <w:tcPr>
            <w:tcW w:w="1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87,755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160,000</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87,321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108,815</w:t>
            </w:r>
          </w:p>
        </w:tc>
        <w:tc>
          <w:tcPr>
            <w:tcW w:w="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2013-A</w:t>
            </w:r>
          </w:p>
        </w:tc>
        <w:tc>
          <w:tcPr>
            <w:tcW w:w="174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June 2020</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123,386</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185,000</w:t>
            </w:r>
          </w:p>
        </w:tc>
        <w:tc>
          <w:tcPr>
            <w:tcW w:w="1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121,607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142,842</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1.99%</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2013-B</w:t>
            </w:r>
          </w:p>
        </w:tc>
        <w:tc>
          <w:tcPr>
            <w:tcW w:w="1740" w:type="dxa"/>
            <w:vAlign w:val="bottom"/>
          </w:tcPr>
          <w:p>
            <w:pPr>
              <w:jc w:val="right"/>
              <w:ind w:right="110"/>
              <w:spacing w:after="0"/>
              <w:rPr>
                <w:sz w:val="20"/>
                <w:szCs w:val="20"/>
                <w:color w:val="auto"/>
              </w:rPr>
            </w:pPr>
            <w:r>
              <w:rPr>
                <w:rFonts w:ascii="Arial" w:cs="Arial" w:eastAsia="Arial" w:hAnsi="Arial"/>
                <w:sz w:val="18"/>
                <w:szCs w:val="18"/>
                <w:color w:val="auto"/>
              </w:rPr>
              <w:t>September 2020</w:t>
            </w:r>
          </w:p>
        </w:tc>
        <w:tc>
          <w:tcPr>
            <w:tcW w:w="1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147,989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205,000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143,120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172,499</w:t>
            </w:r>
          </w:p>
        </w:tc>
        <w:tc>
          <w:tcPr>
            <w:tcW w:w="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2013-C</w:t>
            </w:r>
          </w:p>
        </w:tc>
        <w:tc>
          <w:tcPr>
            <w:tcW w:w="174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December 2020</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166,129</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205,000</w:t>
            </w:r>
          </w:p>
        </w:tc>
        <w:tc>
          <w:tcPr>
            <w:tcW w:w="1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162,872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191,504</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2.55%</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2013-D</w:t>
            </w:r>
          </w:p>
        </w:tc>
        <w:tc>
          <w:tcPr>
            <w:tcW w:w="1740" w:type="dxa"/>
            <w:vAlign w:val="bottom"/>
          </w:tcPr>
          <w:p>
            <w:pPr>
              <w:jc w:val="right"/>
              <w:ind w:right="110"/>
              <w:spacing w:after="0"/>
              <w:rPr>
                <w:sz w:val="20"/>
                <w:szCs w:val="20"/>
                <w:color w:val="auto"/>
              </w:rPr>
            </w:pPr>
            <w:r>
              <w:rPr>
                <w:rFonts w:ascii="Arial" w:cs="Arial" w:eastAsia="Arial" w:hAnsi="Arial"/>
                <w:sz w:val="18"/>
                <w:szCs w:val="18"/>
                <w:color w:val="auto"/>
              </w:rPr>
              <w:t>March 2021</w:t>
            </w:r>
          </w:p>
        </w:tc>
        <w:tc>
          <w:tcPr>
            <w:tcW w:w="1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161,439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183,000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157,707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183,000</w:t>
            </w:r>
          </w:p>
        </w:tc>
        <w:tc>
          <w:tcPr>
            <w:tcW w:w="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2014-A</w:t>
            </w:r>
          </w:p>
        </w:tc>
        <w:tc>
          <w:tcPr>
            <w:tcW w:w="174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June 2021</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170,667</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180,000</w:t>
            </w:r>
          </w:p>
        </w:tc>
        <w:tc>
          <w:tcPr>
            <w:tcW w:w="1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167,911</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1.92%</w:t>
            </w: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CPS 2014-B (3)</w:t>
            </w:r>
          </w:p>
        </w:tc>
        <w:tc>
          <w:tcPr>
            <w:tcW w:w="1740" w:type="dxa"/>
            <w:vAlign w:val="bottom"/>
          </w:tcPr>
          <w:p>
            <w:pPr>
              <w:jc w:val="right"/>
              <w:ind w:right="110"/>
              <w:spacing w:after="0"/>
              <w:rPr>
                <w:sz w:val="20"/>
                <w:szCs w:val="20"/>
                <w:color w:val="auto"/>
              </w:rPr>
            </w:pPr>
            <w:r>
              <w:rPr>
                <w:rFonts w:ascii="Arial" w:cs="Arial" w:eastAsia="Arial" w:hAnsi="Arial"/>
                <w:sz w:val="18"/>
                <w:szCs w:val="18"/>
                <w:color w:val="auto"/>
              </w:rPr>
              <w:t>September 2021</w:t>
            </w:r>
          </w:p>
        </w:tc>
        <w:tc>
          <w:tcPr>
            <w:tcW w:w="1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129,681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202,500</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202,500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r>
      <w:tr>
        <w:trPr>
          <w:trHeight w:val="223"/>
        </w:trPr>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7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1,277,812</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2,145,050</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1,326,319</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1,177,559</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92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-154940</wp:posOffset>
            </wp:positionV>
            <wp:extent cx="4364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jc w:val="both"/>
        <w:ind w:left="520" w:hanging="512"/>
        <w:spacing w:after="0" w:line="250" w:lineRule="auto"/>
        <w:tabs>
          <w:tab w:leader="none" w:pos="5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$268.7 million in 2014, $470.3 million in 2015, $313.0 million in 2016, $177.4 million in 2017, $78.8 million in 2018 and $18.1 million in 2019.</w:t>
      </w:r>
    </w:p>
    <w:p>
      <w:pPr>
        <w:ind w:left="520" w:hanging="512"/>
        <w:spacing w:after="0"/>
        <w:tabs>
          <w:tab w:leader="none" w:pos="5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9" w:lineRule="exact"/>
        <w:rPr>
          <w:rFonts w:ascii="Arial" w:cs="Arial" w:eastAsia="Arial" w:hAnsi="Arial"/>
          <w:sz w:val="18"/>
          <w:szCs w:val="18"/>
          <w:i w:val="1"/>
          <w:iCs w:val="1"/>
          <w:color w:val="auto"/>
        </w:rPr>
      </w:pPr>
    </w:p>
    <w:p>
      <w:pPr>
        <w:ind w:left="520" w:hanging="512"/>
        <w:spacing w:after="0"/>
        <w:tabs>
          <w:tab w:leader="none" w:pos="5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An additional $71.1 million of receivables were pledged to CPS 2014-B in July 2014.</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In addition, certain securitization and non-securitization related debt contain cross-default provisions, which would allow certain creditors to declare a default if a default were declared under a different facility. As of June 30, 2014, we were in compliance with all such covenants.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June 30, 2014, restricted cash under the various agreements totaled approximately $154.9 million, of which $71.1 million represented pre-funding proceeds.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amounts of our other debt outstanding at June 30, 2014 and December 31, 2013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gridSpan w:val="6"/>
          </w:tcPr>
          <w:p>
            <w:pPr>
              <w:ind w:left="56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gridSpan w:val="3"/>
            <w:vMerge w:val="restart"/>
          </w:tcPr>
          <w:p>
            <w:pPr>
              <w:ind w:left="1000"/>
              <w:spacing w:after="0"/>
              <w:rPr>
                <w:sz w:val="20"/>
                <w:szCs w:val="20"/>
                <w:color w:val="auto"/>
              </w:rPr>
            </w:pPr>
            <w:r>
              <w:rPr>
                <w:rFonts w:ascii="Arial" w:cs="Arial" w:eastAsia="Arial" w:hAnsi="Arial"/>
                <w:sz w:val="18"/>
                <w:szCs w:val="18"/>
                <w:color w:val="auto"/>
              </w:rPr>
              <w:t>Description</w:t>
            </w:r>
          </w:p>
        </w:tc>
        <w:tc>
          <w:tcPr>
            <w:tcW w:w="24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Interest Rate</w:t>
            </w:r>
          </w:p>
        </w:tc>
        <w:tc>
          <w:tcPr>
            <w:tcW w:w="840" w:type="dxa"/>
            <w:vAlign w:val="bottom"/>
          </w:tcPr>
          <w:p>
            <w:pPr>
              <w:spacing w:after="0"/>
              <w:rPr>
                <w:sz w:val="19"/>
                <w:szCs w:val="19"/>
                <w:color w:val="auto"/>
              </w:rPr>
            </w:pPr>
          </w:p>
        </w:tc>
        <w:tc>
          <w:tcPr>
            <w:tcW w:w="1580" w:type="dxa"/>
            <w:vAlign w:val="bottom"/>
            <w:gridSpan w:val="2"/>
            <w:vMerge w:val="restart"/>
          </w:tcPr>
          <w:p>
            <w:pPr>
              <w:jc w:val="center"/>
              <w:ind w:right="940"/>
              <w:spacing w:after="0"/>
              <w:rPr>
                <w:sz w:val="20"/>
                <w:szCs w:val="20"/>
                <w:color w:val="auto"/>
              </w:rPr>
            </w:pPr>
            <w:r>
              <w:rPr>
                <w:rFonts w:ascii="Arial" w:cs="Arial" w:eastAsia="Arial" w:hAnsi="Arial"/>
                <w:sz w:val="18"/>
                <w:szCs w:val="18"/>
                <w:color w:val="auto"/>
                <w:w w:val="99"/>
              </w:rPr>
              <w:t>Maturity</w:t>
            </w:r>
          </w:p>
        </w:tc>
        <w:tc>
          <w:tcPr>
            <w:tcW w:w="280" w:type="dxa"/>
            <w:vAlign w:val="bottom"/>
          </w:tcPr>
          <w:p>
            <w:pPr>
              <w:spacing w:after="0"/>
              <w:rPr>
                <w:sz w:val="19"/>
                <w:szCs w:val="19"/>
                <w:color w:val="auto"/>
              </w:rPr>
            </w:pPr>
          </w:p>
        </w:tc>
        <w:tc>
          <w:tcPr>
            <w:tcW w:w="3240" w:type="dxa"/>
            <w:vAlign w:val="bottom"/>
            <w:gridSpan w:val="5"/>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20" w:type="dxa"/>
            <w:vAlign w:val="bottom"/>
            <w:gridSpan w:val="3"/>
            <w:vMerge w:val="continue"/>
          </w:tcPr>
          <w:p>
            <w:pPr>
              <w:spacing w:after="0"/>
              <w:rPr>
                <w:sz w:val="13"/>
                <w:szCs w:val="13"/>
                <w:color w:val="auto"/>
              </w:rPr>
            </w:pPr>
          </w:p>
        </w:tc>
        <w:tc>
          <w:tcPr>
            <w:tcW w:w="244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rPr>
              <w:t>Warehouse lines of credit</w:t>
            </w:r>
          </w:p>
        </w:tc>
        <w:tc>
          <w:tcPr>
            <w:tcW w:w="244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5.73% over one month Libor</w:t>
            </w:r>
          </w:p>
        </w:tc>
        <w:tc>
          <w:tcPr>
            <w:tcW w:w="2420" w:type="dxa"/>
            <w:vAlign w:val="bottom"/>
            <w:gridSpan w:val="3"/>
            <w:shd w:val="clear" w:color="auto" w:fill="EEEEEE"/>
          </w:tcPr>
          <w:p>
            <w:pPr>
              <w:jc w:val="center"/>
              <w:ind w:right="100"/>
              <w:spacing w:after="0" w:line="201" w:lineRule="exact"/>
              <w:rPr>
                <w:sz w:val="20"/>
                <w:szCs w:val="20"/>
                <w:color w:val="auto"/>
              </w:rPr>
            </w:pPr>
            <w:r>
              <w:rPr>
                <w:rFonts w:ascii="Arial" w:cs="Arial" w:eastAsia="Arial" w:hAnsi="Arial"/>
                <w:sz w:val="18"/>
                <w:szCs w:val="18"/>
                <w:color w:val="auto"/>
                <w:w w:val="92"/>
              </w:rPr>
              <w:t>March 2017</w:t>
            </w:r>
          </w:p>
        </w:tc>
        <w:tc>
          <w:tcPr>
            <w:tcW w:w="280" w:type="dxa"/>
            <w:vAlign w:val="bottom"/>
            <w:shd w:val="clear" w:color="auto" w:fill="EEEEEE"/>
          </w:tcPr>
          <w:p>
            <w:pPr>
              <w:jc w:val="right"/>
              <w:ind w:right="90"/>
              <w:spacing w:after="0" w:line="201"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EEEEE"/>
          </w:tcPr>
          <w:p>
            <w:pPr>
              <w:jc w:val="right"/>
              <w:ind w:right="160"/>
              <w:spacing w:after="0" w:line="201" w:lineRule="exact"/>
              <w:rPr>
                <w:sz w:val="20"/>
                <w:szCs w:val="20"/>
                <w:color w:val="auto"/>
              </w:rPr>
            </w:pPr>
            <w:r>
              <w:rPr>
                <w:rFonts w:ascii="Arial" w:cs="Arial" w:eastAsia="Arial" w:hAnsi="Arial"/>
                <w:sz w:val="18"/>
                <w:szCs w:val="18"/>
                <w:color w:val="auto"/>
              </w:rPr>
              <w:t>23,172</w:t>
            </w:r>
          </w:p>
        </w:tc>
        <w:tc>
          <w:tcPr>
            <w:tcW w:w="340" w:type="dxa"/>
            <w:vAlign w:val="bottom"/>
            <w:gridSpan w:val="2"/>
            <w:shd w:val="clear" w:color="auto" w:fill="EEEEEE"/>
          </w:tcPr>
          <w:p>
            <w:pPr>
              <w:jc w:val="right"/>
              <w:ind w:right="5"/>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44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4"/>
              </w:rPr>
              <w:t>(Minimum 6.73%)</w:t>
            </w:r>
          </w:p>
        </w:tc>
        <w:tc>
          <w:tcPr>
            <w:tcW w:w="840" w:type="dxa"/>
            <w:vAlign w:val="bottom"/>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44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6.00% over one month Libor</w:t>
            </w:r>
          </w:p>
        </w:tc>
        <w:tc>
          <w:tcPr>
            <w:tcW w:w="2420" w:type="dxa"/>
            <w:vAlign w:val="bottom"/>
            <w:gridSpan w:val="3"/>
            <w:shd w:val="clear" w:color="auto" w:fill="EEEEEE"/>
          </w:tcPr>
          <w:p>
            <w:pPr>
              <w:jc w:val="center"/>
              <w:ind w:right="100"/>
              <w:spacing w:after="0" w:line="201" w:lineRule="exact"/>
              <w:rPr>
                <w:sz w:val="20"/>
                <w:szCs w:val="20"/>
                <w:color w:val="auto"/>
              </w:rPr>
            </w:pPr>
            <w:r>
              <w:rPr>
                <w:rFonts w:ascii="Arial" w:cs="Arial" w:eastAsia="Arial" w:hAnsi="Arial"/>
                <w:sz w:val="18"/>
                <w:szCs w:val="18"/>
                <w:color w:val="auto"/>
                <w:w w:val="85"/>
              </w:rPr>
              <w:t>June 2016</w:t>
            </w:r>
          </w:p>
        </w:tc>
        <w:tc>
          <w:tcPr>
            <w:tcW w:w="280" w:type="dxa"/>
            <w:vAlign w:val="bottom"/>
            <w:shd w:val="clear" w:color="auto" w:fill="EEEEEE"/>
          </w:tcPr>
          <w:p>
            <w:pPr>
              <w:spacing w:after="0"/>
              <w:rPr>
                <w:sz w:val="17"/>
                <w:szCs w:val="17"/>
                <w:color w:val="auto"/>
              </w:rPr>
            </w:pPr>
          </w:p>
        </w:tc>
        <w:tc>
          <w:tcPr>
            <w:tcW w:w="1480" w:type="dxa"/>
            <w:vAlign w:val="bottom"/>
            <w:gridSpan w:val="2"/>
            <w:shd w:val="clear" w:color="auto" w:fill="EEEEEE"/>
          </w:tcPr>
          <w:p>
            <w:pPr>
              <w:jc w:val="right"/>
              <w:ind w:right="160"/>
              <w:spacing w:after="0" w:line="201" w:lineRule="exact"/>
              <w:rPr>
                <w:sz w:val="20"/>
                <w:szCs w:val="20"/>
                <w:color w:val="auto"/>
              </w:rPr>
            </w:pPr>
            <w:r>
              <w:rPr>
                <w:rFonts w:ascii="Arial" w:cs="Arial" w:eastAsia="Arial" w:hAnsi="Arial"/>
                <w:sz w:val="18"/>
                <w:szCs w:val="18"/>
                <w:color w:val="auto"/>
              </w:rPr>
              <w:t>18,118</w:t>
            </w: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2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44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4"/>
              </w:rPr>
              <w:t>(Minimum 6.75%)</w:t>
            </w:r>
          </w:p>
        </w:tc>
        <w:tc>
          <w:tcPr>
            <w:tcW w:w="840" w:type="dxa"/>
            <w:vAlign w:val="bottom"/>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4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2"/>
              </w:rPr>
              <w:t>11.75% over one month Libor</w:t>
            </w:r>
          </w:p>
        </w:tc>
        <w:tc>
          <w:tcPr>
            <w:tcW w:w="242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98"/>
              </w:rPr>
              <w:t>April 2018</w:t>
            </w:r>
          </w:p>
        </w:tc>
        <w:tc>
          <w:tcPr>
            <w:tcW w:w="2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14,079</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2"/>
              </w:rPr>
              <w:t>Debt secured by receivables measured</w:t>
            </w:r>
          </w:p>
        </w:tc>
        <w:tc>
          <w:tcPr>
            <w:tcW w:w="800" w:type="dxa"/>
            <w:vAlign w:val="bottom"/>
            <w:shd w:val="clear" w:color="auto" w:fill="EEEEEE"/>
          </w:tcPr>
          <w:p>
            <w:pPr>
              <w:spacing w:after="0"/>
              <w:rPr>
                <w:sz w:val="17"/>
                <w:szCs w:val="17"/>
                <w:color w:val="auto"/>
              </w:rPr>
            </w:pPr>
          </w:p>
        </w:tc>
        <w:tc>
          <w:tcPr>
            <w:tcW w:w="1640" w:type="dxa"/>
            <w:vAlign w:val="bottom"/>
            <w:gridSpan w:val="2"/>
            <w:shd w:val="clear" w:color="auto" w:fill="EEEEEE"/>
          </w:tcPr>
          <w:p>
            <w:pPr>
              <w:jc w:val="center"/>
              <w:ind w:right="740"/>
              <w:spacing w:after="0" w:line="201" w:lineRule="exact"/>
              <w:rPr>
                <w:sz w:val="20"/>
                <w:szCs w:val="20"/>
                <w:color w:val="auto"/>
              </w:rPr>
            </w:pPr>
            <w:r>
              <w:rPr>
                <w:rFonts w:ascii="Arial" w:cs="Arial" w:eastAsia="Arial" w:hAnsi="Arial"/>
                <w:sz w:val="18"/>
                <w:szCs w:val="18"/>
                <w:color w:val="auto"/>
                <w:w w:val="87"/>
              </w:rPr>
              <w:t>n/a</w:t>
            </w:r>
          </w:p>
        </w:tc>
        <w:tc>
          <w:tcPr>
            <w:tcW w:w="2420" w:type="dxa"/>
            <w:vAlign w:val="bottom"/>
            <w:gridSpan w:val="3"/>
            <w:shd w:val="clear" w:color="auto" w:fill="EEEEEE"/>
          </w:tcPr>
          <w:p>
            <w:pPr>
              <w:jc w:val="center"/>
              <w:ind w:right="100"/>
              <w:spacing w:after="0" w:line="201" w:lineRule="exact"/>
              <w:rPr>
                <w:sz w:val="20"/>
                <w:szCs w:val="20"/>
                <w:color w:val="auto"/>
              </w:rPr>
            </w:pPr>
            <w:r>
              <w:rPr>
                <w:rFonts w:ascii="Arial" w:cs="Arial" w:eastAsia="Arial" w:hAnsi="Arial"/>
                <w:sz w:val="18"/>
                <w:szCs w:val="18"/>
                <w:color w:val="auto"/>
                <w:w w:val="88"/>
              </w:rPr>
              <w:t>Repayment is based on</w:t>
            </w:r>
          </w:p>
        </w:tc>
        <w:tc>
          <w:tcPr>
            <w:tcW w:w="280" w:type="dxa"/>
            <w:vAlign w:val="bottom"/>
            <w:shd w:val="clear" w:color="auto" w:fill="EEEEEE"/>
          </w:tcPr>
          <w:p>
            <w:pPr>
              <w:spacing w:after="0"/>
              <w:rPr>
                <w:sz w:val="17"/>
                <w:szCs w:val="17"/>
                <w:color w:val="auto"/>
              </w:rPr>
            </w:pPr>
          </w:p>
        </w:tc>
        <w:tc>
          <w:tcPr>
            <w:tcW w:w="1480" w:type="dxa"/>
            <w:vAlign w:val="bottom"/>
            <w:gridSpan w:val="2"/>
            <w:shd w:val="clear" w:color="auto" w:fill="EEEEEE"/>
          </w:tcPr>
          <w:p>
            <w:pPr>
              <w:jc w:val="right"/>
              <w:ind w:right="160"/>
              <w:spacing w:after="0" w:line="201" w:lineRule="exact"/>
              <w:rPr>
                <w:sz w:val="20"/>
                <w:szCs w:val="20"/>
                <w:color w:val="auto"/>
              </w:rPr>
            </w:pPr>
            <w:r>
              <w:rPr>
                <w:rFonts w:ascii="Arial" w:cs="Arial" w:eastAsia="Arial" w:hAnsi="Arial"/>
                <w:sz w:val="18"/>
                <w:szCs w:val="18"/>
                <w:color w:val="auto"/>
              </w:rPr>
              <w:t>5,392</w:t>
            </w: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2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at fair value</w:t>
            </w: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2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92"/>
              </w:rPr>
              <w:t>payments from underlying</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2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89"/>
              </w:rPr>
              <w:t>receivables. Final payment</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2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89"/>
              </w:rPr>
              <w:t>of the 8.00% loan was made</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2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90"/>
              </w:rPr>
              <w:t>in September 2013, with</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20" w:type="dxa"/>
            <w:vAlign w:val="bottom"/>
            <w:gridSpan w:val="3"/>
            <w:shd w:val="clear" w:color="auto" w:fill="EEEEEE"/>
          </w:tcPr>
          <w:p>
            <w:pPr>
              <w:jc w:val="center"/>
              <w:ind w:right="120"/>
              <w:spacing w:after="0"/>
              <w:rPr>
                <w:sz w:val="20"/>
                <w:szCs w:val="20"/>
                <w:color w:val="auto"/>
              </w:rPr>
            </w:pPr>
            <w:r>
              <w:rPr>
                <w:rFonts w:ascii="Arial" w:cs="Arial" w:eastAsia="Arial" w:hAnsi="Arial"/>
                <w:sz w:val="18"/>
                <w:szCs w:val="18"/>
                <w:color w:val="auto"/>
                <w:w w:val="89"/>
              </w:rPr>
              <w:t>residual payments extending</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242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90"/>
              </w:rPr>
              <w:t>through 2016</w:t>
            </w:r>
          </w:p>
        </w:tc>
        <w:tc>
          <w:tcPr>
            <w:tcW w:w="28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70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13.00%</w:t>
            </w:r>
          </w:p>
        </w:tc>
        <w:tc>
          <w:tcPr>
            <w:tcW w:w="7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center"/>
              <w:ind w:right="960"/>
              <w:spacing w:after="0"/>
              <w:rPr>
                <w:sz w:val="20"/>
                <w:szCs w:val="20"/>
                <w:color w:val="auto"/>
              </w:rPr>
            </w:pPr>
            <w:r>
              <w:rPr>
                <w:rFonts w:ascii="Arial" w:cs="Arial" w:eastAsia="Arial" w:hAnsi="Arial"/>
                <w:sz w:val="18"/>
                <w:szCs w:val="18"/>
                <w:color w:val="auto"/>
                <w:w w:val="87"/>
              </w:rPr>
              <w:t>n/a</w:t>
            </w:r>
          </w:p>
        </w:tc>
        <w:tc>
          <w:tcPr>
            <w:tcW w:w="2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5.00%</w:t>
            </w:r>
          </w:p>
        </w:tc>
        <w:tc>
          <w:tcPr>
            <w:tcW w:w="7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center"/>
              <w:ind w:right="960"/>
              <w:spacing w:after="0"/>
              <w:rPr>
                <w:sz w:val="20"/>
                <w:szCs w:val="20"/>
                <w:color w:val="auto"/>
              </w:rPr>
            </w:pPr>
            <w:r>
              <w:rPr>
                <w:rFonts w:ascii="Arial" w:cs="Arial" w:eastAsia="Arial" w:hAnsi="Arial"/>
                <w:sz w:val="18"/>
                <w:szCs w:val="18"/>
                <w:color w:val="auto"/>
                <w:w w:val="87"/>
              </w:rPr>
              <w:t>n/a</w:t>
            </w:r>
          </w:p>
        </w:tc>
        <w:tc>
          <w:tcPr>
            <w:tcW w:w="2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rPr>
              <w:t>Subordinated renewable notes</w:t>
            </w:r>
          </w:p>
        </w:tc>
        <w:tc>
          <w:tcPr>
            <w:tcW w:w="244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Weighted average rate of</w:t>
            </w:r>
          </w:p>
        </w:tc>
        <w:tc>
          <w:tcPr>
            <w:tcW w:w="2420" w:type="dxa"/>
            <w:vAlign w:val="bottom"/>
            <w:gridSpan w:val="3"/>
            <w:shd w:val="clear" w:color="auto" w:fill="EEEEEE"/>
          </w:tcPr>
          <w:p>
            <w:pPr>
              <w:jc w:val="center"/>
              <w:ind w:right="100"/>
              <w:spacing w:after="0" w:line="201" w:lineRule="exact"/>
              <w:rPr>
                <w:sz w:val="20"/>
                <w:szCs w:val="20"/>
                <w:color w:val="auto"/>
              </w:rPr>
            </w:pPr>
            <w:r>
              <w:rPr>
                <w:rFonts w:ascii="Arial" w:cs="Arial" w:eastAsia="Arial" w:hAnsi="Arial"/>
                <w:sz w:val="18"/>
                <w:szCs w:val="18"/>
                <w:color w:val="auto"/>
                <w:w w:val="91"/>
              </w:rPr>
              <w:t>Weighted average maturity</w:t>
            </w:r>
          </w:p>
        </w:tc>
        <w:tc>
          <w:tcPr>
            <w:tcW w:w="280" w:type="dxa"/>
            <w:vAlign w:val="bottom"/>
            <w:shd w:val="clear" w:color="auto" w:fill="EEEEEE"/>
          </w:tcPr>
          <w:p>
            <w:pPr>
              <w:spacing w:after="0"/>
              <w:rPr>
                <w:sz w:val="17"/>
                <w:szCs w:val="17"/>
                <w:color w:val="auto"/>
              </w:rPr>
            </w:pPr>
          </w:p>
        </w:tc>
        <w:tc>
          <w:tcPr>
            <w:tcW w:w="1480" w:type="dxa"/>
            <w:vAlign w:val="bottom"/>
            <w:gridSpan w:val="2"/>
            <w:shd w:val="clear" w:color="auto" w:fill="EEEEEE"/>
          </w:tcPr>
          <w:p>
            <w:pPr>
              <w:jc w:val="right"/>
              <w:ind w:right="160"/>
              <w:spacing w:after="0" w:line="201" w:lineRule="exact"/>
              <w:rPr>
                <w:sz w:val="20"/>
                <w:szCs w:val="20"/>
                <w:color w:val="auto"/>
              </w:rPr>
            </w:pPr>
            <w:r>
              <w:rPr>
                <w:rFonts w:ascii="Arial" w:cs="Arial" w:eastAsia="Arial" w:hAnsi="Arial"/>
                <w:sz w:val="18"/>
                <w:szCs w:val="18"/>
                <w:color w:val="auto"/>
              </w:rPr>
              <w:t>18,038</w:t>
            </w: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2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19,142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44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88"/>
              </w:rPr>
              <w:t>12.1% and 12.5% at June 30,</w:t>
            </w:r>
          </w:p>
        </w:tc>
        <w:tc>
          <w:tcPr>
            <w:tcW w:w="242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90"/>
              </w:rPr>
              <w:t>of December 2015 and July</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44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89"/>
              </w:rPr>
              <w:t>2014 and December 31, 2013</w:t>
            </w:r>
          </w:p>
        </w:tc>
        <w:tc>
          <w:tcPr>
            <w:tcW w:w="242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87"/>
              </w:rPr>
              <w:t>2015 at June 30, 2014 and</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44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1"/>
              </w:rPr>
              <w:t>, respectively</w:t>
            </w:r>
          </w:p>
        </w:tc>
        <w:tc>
          <w:tcPr>
            <w:tcW w:w="2420" w:type="dxa"/>
            <w:vAlign w:val="bottom"/>
            <w:gridSpan w:val="3"/>
            <w:shd w:val="clear" w:color="auto" w:fill="EEEEEE"/>
          </w:tcPr>
          <w:p>
            <w:pPr>
              <w:jc w:val="center"/>
              <w:ind w:right="120"/>
              <w:spacing w:after="0"/>
              <w:rPr>
                <w:sz w:val="20"/>
                <w:szCs w:val="20"/>
                <w:color w:val="auto"/>
              </w:rPr>
            </w:pPr>
            <w:r>
              <w:rPr>
                <w:rFonts w:ascii="Arial" w:cs="Arial" w:eastAsia="Arial" w:hAnsi="Arial"/>
                <w:sz w:val="18"/>
                <w:szCs w:val="18"/>
                <w:color w:val="auto"/>
                <w:w w:val="89"/>
              </w:rPr>
              <w:t>December 31, 2013,</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2420" w:type="dxa"/>
            <w:vAlign w:val="bottom"/>
            <w:gridSpan w:val="3"/>
            <w:shd w:val="clear" w:color="auto" w:fill="EEEEEE"/>
          </w:tcPr>
          <w:p>
            <w:pPr>
              <w:jc w:val="center"/>
              <w:ind w:right="100"/>
              <w:spacing w:after="0"/>
              <w:rPr>
                <w:sz w:val="20"/>
                <w:szCs w:val="20"/>
                <w:color w:val="auto"/>
              </w:rPr>
            </w:pPr>
            <w:r>
              <w:rPr>
                <w:rFonts w:ascii="Arial" w:cs="Arial" w:eastAsia="Arial" w:hAnsi="Arial"/>
                <w:sz w:val="18"/>
                <w:szCs w:val="18"/>
                <w:color w:val="auto"/>
                <w:w w:val="92"/>
              </w:rPr>
              <w:t>respectively</w:t>
            </w:r>
          </w:p>
        </w:tc>
        <w:tc>
          <w:tcPr>
            <w:tcW w:w="28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840" w:type="dxa"/>
            <w:vAlign w:val="bottom"/>
            <w:tcBorders>
              <w:bottom w:val="single" w:sz="8" w:color="EEEEEE"/>
            </w:tcBorders>
          </w:tcPr>
          <w:p>
            <w:pPr>
              <w:spacing w:after="0"/>
              <w:rPr>
                <w:sz w:val="19"/>
                <w:szCs w:val="19"/>
                <w:color w:val="auto"/>
              </w:rPr>
            </w:pPr>
          </w:p>
        </w:tc>
        <w:tc>
          <w:tcPr>
            <w:tcW w:w="1080" w:type="dxa"/>
            <w:vAlign w:val="bottom"/>
            <w:tcBorders>
              <w:bottom w:val="single" w:sz="8" w:color="EEEEEE"/>
            </w:tcBorders>
          </w:tcPr>
          <w:p>
            <w:pPr>
              <w:spacing w:after="0"/>
              <w:rPr>
                <w:sz w:val="19"/>
                <w:szCs w:val="19"/>
                <w:color w:val="auto"/>
              </w:rPr>
            </w:pPr>
          </w:p>
        </w:tc>
        <w:tc>
          <w:tcPr>
            <w:tcW w:w="800" w:type="dxa"/>
            <w:vAlign w:val="bottom"/>
            <w:tcBorders>
              <w:bottom w:val="single" w:sz="8" w:color="EEEEEE"/>
            </w:tcBorders>
          </w:tcPr>
          <w:p>
            <w:pPr>
              <w:spacing w:after="0"/>
              <w:rPr>
                <w:sz w:val="19"/>
                <w:szCs w:val="19"/>
                <w:color w:val="auto"/>
              </w:rPr>
            </w:pPr>
          </w:p>
        </w:tc>
        <w:tc>
          <w:tcPr>
            <w:tcW w:w="900" w:type="dxa"/>
            <w:vAlign w:val="bottom"/>
            <w:tcBorders>
              <w:bottom w:val="single" w:sz="8" w:color="EEEEEE"/>
            </w:tcBorders>
          </w:tcPr>
          <w:p>
            <w:pPr>
              <w:spacing w:after="0"/>
              <w:rPr>
                <w:sz w:val="19"/>
                <w:szCs w:val="19"/>
                <w:color w:val="auto"/>
              </w:rPr>
            </w:pPr>
          </w:p>
        </w:tc>
        <w:tc>
          <w:tcPr>
            <w:tcW w:w="740" w:type="dxa"/>
            <w:vAlign w:val="bottom"/>
            <w:tcBorders>
              <w:bottom w:val="single" w:sz="8" w:color="EEEEEE"/>
            </w:tcBorders>
          </w:tcPr>
          <w:p>
            <w:pPr>
              <w:spacing w:after="0"/>
              <w:rPr>
                <w:sz w:val="19"/>
                <w:szCs w:val="19"/>
                <w:color w:val="auto"/>
              </w:rPr>
            </w:pPr>
          </w:p>
        </w:tc>
        <w:tc>
          <w:tcPr>
            <w:tcW w:w="840" w:type="dxa"/>
            <w:vAlign w:val="bottom"/>
            <w:tcBorders>
              <w:bottom w:val="single" w:sz="8" w:color="EEEEEE"/>
            </w:tcBorders>
          </w:tcPr>
          <w:p>
            <w:pPr>
              <w:spacing w:after="0"/>
              <w:rPr>
                <w:sz w:val="19"/>
                <w:szCs w:val="19"/>
                <w:color w:val="auto"/>
              </w:rPr>
            </w:pPr>
          </w:p>
        </w:tc>
        <w:tc>
          <w:tcPr>
            <w:tcW w:w="640" w:type="dxa"/>
            <w:vAlign w:val="bottom"/>
            <w:tcBorders>
              <w:bottom w:val="single" w:sz="8" w:color="EEEEEE"/>
            </w:tcBorders>
          </w:tcPr>
          <w:p>
            <w:pPr>
              <w:spacing w:after="0"/>
              <w:rPr>
                <w:sz w:val="19"/>
                <w:szCs w:val="19"/>
                <w:color w:val="auto"/>
              </w:rPr>
            </w:pPr>
          </w:p>
        </w:tc>
        <w:tc>
          <w:tcPr>
            <w:tcW w:w="94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840" w:type="dxa"/>
            <w:vAlign w:val="bottom"/>
            <w:tcBorders>
              <w:bottom w:val="single" w:sz="8" w:color="EEEEEE"/>
            </w:tcBorders>
            <w:shd w:val="clear" w:color="auto" w:fill="EEEEEE"/>
          </w:tcPr>
          <w:p>
            <w:pPr>
              <w:spacing w:after="0"/>
              <w:rPr>
                <w:sz w:val="19"/>
                <w:szCs w:val="19"/>
                <w:color w:val="auto"/>
              </w:rPr>
            </w:pPr>
          </w:p>
        </w:tc>
        <w:tc>
          <w:tcPr>
            <w:tcW w:w="1080" w:type="dxa"/>
            <w:vAlign w:val="bottom"/>
            <w:tcBorders>
              <w:bottom w:val="single" w:sz="8" w:color="EEEEEE"/>
            </w:tcBorders>
            <w:shd w:val="clear" w:color="auto" w:fill="EEEEEE"/>
          </w:tcPr>
          <w:p>
            <w:pPr>
              <w:spacing w:after="0"/>
              <w:rPr>
                <w:sz w:val="19"/>
                <w:szCs w:val="19"/>
                <w:color w:val="auto"/>
              </w:rPr>
            </w:pPr>
          </w:p>
        </w:tc>
        <w:tc>
          <w:tcPr>
            <w:tcW w:w="800" w:type="dxa"/>
            <w:vAlign w:val="bottom"/>
            <w:tcBorders>
              <w:bottom w:val="single" w:sz="8" w:color="EEEEEE"/>
            </w:tcBorders>
            <w:shd w:val="clear" w:color="auto" w:fill="EEEEEE"/>
          </w:tcPr>
          <w:p>
            <w:pPr>
              <w:spacing w:after="0"/>
              <w:rPr>
                <w:sz w:val="19"/>
                <w:szCs w:val="19"/>
                <w:color w:val="auto"/>
              </w:rPr>
            </w:pPr>
          </w:p>
        </w:tc>
        <w:tc>
          <w:tcPr>
            <w:tcW w:w="900" w:type="dxa"/>
            <w:vAlign w:val="bottom"/>
            <w:tcBorders>
              <w:bottom w:val="single" w:sz="8" w:color="EEEEEE"/>
            </w:tcBorders>
            <w:shd w:val="clear" w:color="auto" w:fill="EEEEEE"/>
          </w:tcPr>
          <w:p>
            <w:pPr>
              <w:spacing w:after="0"/>
              <w:rPr>
                <w:sz w:val="19"/>
                <w:szCs w:val="19"/>
                <w:color w:val="auto"/>
              </w:rPr>
            </w:pPr>
          </w:p>
        </w:tc>
        <w:tc>
          <w:tcPr>
            <w:tcW w:w="740" w:type="dxa"/>
            <w:vAlign w:val="bottom"/>
            <w:tcBorders>
              <w:bottom w:val="single" w:sz="8" w:color="EEEEEE"/>
            </w:tcBorders>
            <w:shd w:val="clear" w:color="auto" w:fill="EEEEEE"/>
          </w:tcPr>
          <w:p>
            <w:pPr>
              <w:spacing w:after="0"/>
              <w:rPr>
                <w:sz w:val="19"/>
                <w:szCs w:val="19"/>
                <w:color w:val="auto"/>
              </w:rPr>
            </w:pPr>
          </w:p>
        </w:tc>
        <w:tc>
          <w:tcPr>
            <w:tcW w:w="840" w:type="dxa"/>
            <w:vAlign w:val="bottom"/>
            <w:tcBorders>
              <w:bottom w:val="single" w:sz="8" w:color="EEEEEE"/>
            </w:tcBorders>
            <w:shd w:val="clear" w:color="auto" w:fill="EEEEEE"/>
          </w:tcPr>
          <w:p>
            <w:pPr>
              <w:spacing w:after="0"/>
              <w:rPr>
                <w:sz w:val="19"/>
                <w:szCs w:val="19"/>
                <w:color w:val="auto"/>
              </w:rPr>
            </w:pPr>
          </w:p>
        </w:tc>
        <w:tc>
          <w:tcPr>
            <w:tcW w:w="640" w:type="dxa"/>
            <w:vAlign w:val="bottom"/>
            <w:tcBorders>
              <w:bottom w:val="single" w:sz="8" w:color="EEEEEE"/>
            </w:tcBorders>
            <w:shd w:val="clear" w:color="auto" w:fill="EEEEEE"/>
          </w:tcPr>
          <w:p>
            <w:pPr>
              <w:spacing w:after="0"/>
              <w:rPr>
                <w:sz w:val="19"/>
                <w:szCs w:val="19"/>
                <w:color w:val="auto"/>
              </w:rPr>
            </w:pPr>
          </w:p>
        </w:tc>
        <w:tc>
          <w:tcPr>
            <w:tcW w:w="94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78,799</w:t>
            </w:r>
          </w:p>
        </w:tc>
        <w:tc>
          <w:tcPr>
            <w:tcW w:w="16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99,366</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January and March 2014 we prepaid, without penalty, $10 million and $28.4 million, respectively, of senior secured debt, related party. The debt was scheduled to mature in June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000" w:type="dxa"/>
            <w:vAlign w:val="bottom"/>
            <w:gridSpan w:val="5"/>
          </w:tcPr>
          <w:p>
            <w:pPr>
              <w:jc w:val="center"/>
              <w:ind w:left="48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60" w:type="dxa"/>
            <w:vAlign w:val="bottom"/>
            <w:gridSpan w:val="4"/>
          </w:tcPr>
          <w:p>
            <w:pPr>
              <w:jc w:val="center"/>
              <w:ind w:right="405"/>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1040" w:type="dxa"/>
            <w:vAlign w:val="bottom"/>
            <w:shd w:val="clear" w:color="auto" w:fill="EEEEEE"/>
          </w:tcPr>
          <w:p>
            <w:pPr>
              <w:jc w:val="right"/>
              <w:ind w:right="8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68,098</w:t>
            </w:r>
          </w:p>
        </w:tc>
        <w:tc>
          <w:tcPr>
            <w:tcW w:w="1220" w:type="dxa"/>
            <w:vAlign w:val="bottom"/>
            <w:gridSpan w:val="2"/>
            <w:shd w:val="clear" w:color="auto" w:fill="EEEEEE"/>
          </w:tcPr>
          <w:p>
            <w:pPr>
              <w:jc w:val="right"/>
              <w:ind w:right="8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55,796</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132,980</w:t>
            </w:r>
          </w:p>
        </w:tc>
        <w:tc>
          <w:tcPr>
            <w:tcW w:w="560" w:type="dxa"/>
            <w:vAlign w:val="bottom"/>
            <w:gridSpan w:val="2"/>
            <w:shd w:val="clear" w:color="auto" w:fill="EEEEEE"/>
          </w:tcPr>
          <w:p>
            <w:pPr>
              <w:jc w:val="right"/>
              <w:ind w:right="43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106,954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Residual interest income</w:t>
            </w:r>
          </w:p>
        </w:tc>
        <w:tc>
          <w:tcPr>
            <w:tcW w:w="1040" w:type="dxa"/>
            <w:vAlign w:val="bottom"/>
          </w:tcPr>
          <w:p>
            <w:pPr>
              <w:jc w:val="right"/>
              <w:ind w:right="88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1040" w:type="dxa"/>
            <w:vAlign w:val="bottom"/>
            <w:shd w:val="clear" w:color="auto" w:fill="EEEEEE"/>
          </w:tcPr>
          <w:p>
            <w:pPr>
              <w:jc w:val="right"/>
              <w:ind w:right="8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w:t>
            </w:r>
          </w:p>
        </w:tc>
        <w:tc>
          <w:tcPr>
            <w:tcW w:w="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income</w:t>
            </w:r>
          </w:p>
        </w:tc>
        <w:tc>
          <w:tcPr>
            <w:tcW w:w="1040" w:type="dxa"/>
            <w:vAlign w:val="bottom"/>
            <w:tcBorders>
              <w:top w:val="single" w:sz="8" w:color="auto"/>
              <w:bottom w:val="single" w:sz="8" w:color="auto"/>
            </w:tcBorders>
          </w:tcPr>
          <w:p>
            <w:pPr>
              <w:jc w:val="right"/>
              <w:ind w:right="88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68,221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55,797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133,217</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000" w:type="dxa"/>
            <w:vAlign w:val="bottom"/>
            <w:gridSpan w:val="5"/>
          </w:tcPr>
          <w:p>
            <w:pPr>
              <w:jc w:val="center"/>
              <w:ind w:left="482"/>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60" w:type="dxa"/>
            <w:vAlign w:val="bottom"/>
            <w:gridSpan w:val="4"/>
          </w:tcPr>
          <w:p>
            <w:pPr>
              <w:jc w:val="center"/>
              <w:ind w:right="405"/>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40" w:type="dxa"/>
            <w:vAlign w:val="bottom"/>
            <w:shd w:val="clear" w:color="auto" w:fill="EEEEEE"/>
          </w:tcPr>
          <w:p>
            <w:pPr>
              <w:jc w:val="right"/>
              <w:ind w:right="882"/>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9,381</w:t>
            </w:r>
          </w:p>
        </w:tc>
        <w:tc>
          <w:tcPr>
            <w:tcW w:w="1220" w:type="dxa"/>
            <w:vAlign w:val="bottom"/>
            <w:gridSpan w:val="2"/>
            <w:shd w:val="clear" w:color="auto" w:fill="EEEEEE"/>
          </w:tcPr>
          <w:p>
            <w:pPr>
              <w:jc w:val="right"/>
              <w:ind w:right="8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8,230</w:t>
            </w:r>
          </w:p>
        </w:tc>
        <w:tc>
          <w:tcPr>
            <w:tcW w:w="1180" w:type="dxa"/>
            <w:vAlign w:val="bottom"/>
            <w:gridSpan w:val="2"/>
            <w:shd w:val="clear" w:color="auto" w:fill="EEEEEE"/>
          </w:tcPr>
          <w:p>
            <w:pPr>
              <w:jc w:val="right"/>
              <w:ind w:right="83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18,697</w:t>
            </w:r>
          </w:p>
        </w:tc>
        <w:tc>
          <w:tcPr>
            <w:tcW w:w="74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040" w:type="dxa"/>
            <w:vAlign w:val="bottom"/>
          </w:tcPr>
          <w:p>
            <w:pPr>
              <w:jc w:val="right"/>
              <w:ind w:right="882"/>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1,238</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1,297</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2,115</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040" w:type="dxa"/>
            <w:vAlign w:val="bottom"/>
            <w:shd w:val="clear" w:color="auto" w:fill="EEEEEE"/>
          </w:tcPr>
          <w:p>
            <w:pPr>
              <w:jc w:val="right"/>
              <w:ind w:right="882"/>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2,112</w:t>
            </w:r>
          </w:p>
        </w:tc>
        <w:tc>
          <w:tcPr>
            <w:tcW w:w="1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1,651</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Debt secured by receivables at fair value</w:t>
            </w:r>
          </w:p>
        </w:tc>
        <w:tc>
          <w:tcPr>
            <w:tcW w:w="1040" w:type="dxa"/>
            <w:vAlign w:val="bottom"/>
          </w:tcPr>
          <w:p>
            <w:pPr>
              <w:jc w:val="right"/>
              <w:ind w:right="882"/>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040" w:type="dxa"/>
            <w:vAlign w:val="bottom"/>
            <w:shd w:val="clear" w:color="auto" w:fill="EEEEEE"/>
          </w:tcPr>
          <w:p>
            <w:pPr>
              <w:jc w:val="right"/>
              <w:ind w:right="882"/>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1,094</w:t>
            </w:r>
          </w:p>
        </w:tc>
        <w:tc>
          <w:tcPr>
            <w:tcW w:w="1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1,083</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040" w:type="dxa"/>
            <w:vAlign w:val="bottom"/>
          </w:tcPr>
          <w:p>
            <w:pPr>
              <w:jc w:val="right"/>
              <w:ind w:right="882"/>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841</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1,244</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Borders>
              <w:top w:val="single" w:sz="8" w:color="auto"/>
              <w:bottom w:val="single" w:sz="8" w:color="auto"/>
            </w:tcBorders>
            <w:shd w:val="clear" w:color="auto" w:fill="EEEEEE"/>
          </w:tcPr>
          <w:p>
            <w:pPr>
              <w:jc w:val="right"/>
              <w:ind w:right="88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11,942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14,601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25,323</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30,947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i w:val="1"/>
          <w:iCs w:val="1"/>
          <w:color w:val="auto"/>
        </w:rPr>
        <w:t>Earnings Per Share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Earnings per share for the three-month and six-month periods ended June 30, 2014 and 2013 were calculated using the weighted average number of shares outstanding for the related period. The following table reconciles the number of shares used in the computations of basic and diluted earnings per share for the three-month and six-month periods ended June 30, 2014 and 2013:</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0" w:right="100" w:hanging="179"/>
        <w:spacing w:after="0" w:line="264" w:lineRule="auto"/>
        <w:rPr>
          <w:sz w:val="20"/>
          <w:szCs w:val="20"/>
          <w:color w:val="auto"/>
        </w:rPr>
      </w:pPr>
      <w:r>
        <w:rPr>
          <w:rFonts w:ascii="Arial" w:cs="Arial" w:eastAsia="Arial" w:hAnsi="Arial"/>
          <w:sz w:val="18"/>
          <w:szCs w:val="18"/>
          <w:color w:val="auto"/>
        </w:rPr>
        <w:t>Weighted average number of common shares outstanding during the period used to compute basic earnings per share</w:t>
      </w:r>
    </w:p>
    <w:p>
      <w:pPr>
        <w:spacing w:after="0" w:line="181" w:lineRule="exact"/>
        <w:rPr>
          <w:sz w:val="20"/>
          <w:szCs w:val="20"/>
          <w:color w:val="auto"/>
        </w:rPr>
      </w:pPr>
    </w:p>
    <w:p>
      <w:pPr>
        <w:ind w:left="180" w:right="240" w:hanging="179"/>
        <w:spacing w:after="0" w:line="342" w:lineRule="auto"/>
        <w:rPr>
          <w:sz w:val="20"/>
          <w:szCs w:val="20"/>
          <w:color w:val="auto"/>
        </w:rPr>
      </w:pPr>
      <w:r>
        <w:rPr>
          <w:rFonts w:ascii="Arial" w:cs="Arial" w:eastAsia="Arial" w:hAnsi="Arial"/>
          <w:sz w:val="16"/>
          <w:szCs w:val="16"/>
          <w:color w:val="auto"/>
        </w:rPr>
        <w:t>Incremental common shares attributable to exercise of outstanding options and warrants</w:t>
      </w:r>
    </w:p>
    <w:p>
      <w:pPr>
        <w:spacing w:after="0" w:line="151" w:lineRule="exact"/>
        <w:rPr>
          <w:sz w:val="20"/>
          <w:szCs w:val="20"/>
          <w:color w:val="auto"/>
        </w:rPr>
      </w:pPr>
    </w:p>
    <w:p>
      <w:pPr>
        <w:ind w:left="180" w:hanging="179"/>
        <w:spacing w:after="0" w:line="308" w:lineRule="auto"/>
        <w:rPr>
          <w:sz w:val="20"/>
          <w:szCs w:val="20"/>
          <w:color w:val="auto"/>
        </w:rPr>
      </w:pPr>
      <w:r>
        <w:rPr>
          <w:rFonts w:ascii="Arial" w:cs="Arial" w:eastAsia="Arial" w:hAnsi="Arial"/>
          <w:sz w:val="17"/>
          <w:szCs w:val="17"/>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8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r>
      <w:tr>
        <w:trPr>
          <w:trHeight w:val="234"/>
        </w:trPr>
        <w:tc>
          <w:tcPr>
            <w:tcW w:w="246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r>
      <w:tr>
        <w:trPr>
          <w:trHeight w:val="223"/>
        </w:trPr>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2013</w:t>
            </w:r>
          </w:p>
        </w:tc>
      </w:tr>
      <w:tr>
        <w:trPr>
          <w:trHeight w:val="228"/>
        </w:trPr>
        <w:tc>
          <w:tcPr>
            <w:tcW w:w="246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0"/>
              </w:rPr>
              <w:t>(In thousands)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8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9"/>
                <w:szCs w:val="19"/>
                <w:color w:val="auto"/>
              </w:rPr>
            </w:pPr>
          </w:p>
        </w:tc>
      </w:tr>
      <w:tr>
        <w:trPr>
          <w:trHeight w:val="846"/>
        </w:trPr>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25,029</w:t>
            </w:r>
          </w:p>
        </w:tc>
        <w:tc>
          <w:tcPr>
            <w:tcW w:w="50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20,989</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24,694</w:t>
            </w: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20,534</w:t>
            </w:r>
          </w:p>
        </w:tc>
      </w:tr>
      <w:tr>
        <w:trPr>
          <w:trHeight w:val="662"/>
        </w:trPr>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6,973</w:t>
            </w:r>
          </w:p>
        </w:tc>
        <w:tc>
          <w:tcPr>
            <w:tcW w:w="50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10,799</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7,315</w:t>
            </w: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11,175</w:t>
            </w:r>
          </w:p>
        </w:tc>
      </w:tr>
      <w:tr>
        <w:trPr>
          <w:trHeight w:val="20"/>
        </w:trPr>
        <w:tc>
          <w:tcPr>
            <w:tcW w:w="1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669"/>
        </w:trPr>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32,002</w:t>
            </w:r>
          </w:p>
        </w:tc>
        <w:tc>
          <w:tcPr>
            <w:tcW w:w="50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31,788</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32,009</w:t>
            </w: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31,709</w:t>
            </w:r>
          </w:p>
        </w:tc>
      </w:tr>
      <w:tr>
        <w:trPr>
          <w:trHeight w:val="20"/>
        </w:trPr>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-1294130</wp:posOffset>
            </wp:positionV>
            <wp:extent cx="724662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-745490</wp:posOffset>
            </wp:positionV>
            <wp:extent cx="7246620"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-316865</wp:posOffset>
            </wp:positionV>
            <wp:extent cx="724662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260"/>
            <w:col w:w="7520"/>
          </w:cols>
          <w:pgMar w:left="240" w:top="877" w:right="239" w:bottom="1440" w:gutter="0" w:footer="0" w:header="0"/>
          <w:type w:val="continuous"/>
        </w:sectPr>
      </w:pPr>
    </w:p>
    <w:p>
      <w:pPr>
        <w:spacing w:after="0" w:line="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the anti-dilutive effects of common stock equivalents were considered, shares included in the diluted earnings per share calculation for the three-month and six-month periods ended June 30, 2014 would have included an additional 2.6 million shares attributable to the exercise of outstanding options and warrants. For the three-month and six-month periods ended June 30, 2013, the anti-dilutive shares were 2.2 million and 1.5 million, respectively.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2010.</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June 30, 2014 and December 31, 2013,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$51.6 million as of June 30, 2014 is more likely than not based on forecasted future net earnings. Our net deferred tax asset of $51.6 million consists of approximately $40.2 million of net U.S. federal deferred tax assets and $11.4 million of net state deferred tax assets. We estimate that we would need to generate approximately $120 million of taxable income during the applicable carryforward periods to realize fully our federal and state net deferred tax assets.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was $5.3 million and $10.4 million for the three months and six months ended June 30, 2014 and represents an effective income tax rate of 43%, compared to income tax expense of $3.7 million and $6.5 million for the three months and six months ended June 30, 2013, representing effective income tax rates of 44% and 43%, respectively.</w:t>
      </w:r>
    </w:p>
    <w:p>
      <w:pPr>
        <w:spacing w:after="0" w:line="18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Stanwich Litigation. </w:t>
      </w:r>
      <w:r>
        <w:rPr>
          <w:rFonts w:ascii="Arial" w:cs="Arial" w:eastAsia="Arial" w:hAnsi="Arial"/>
          <w:sz w:val="18"/>
          <w:szCs w:val="18"/>
          <w:color w:val="auto"/>
        </w:rPr>
        <w:t>We were for several years a defendant in a class action (the “Stanwich Case”) brought in the California Superior Court, Los</w:t>
      </w:r>
      <w:r>
        <w:rPr>
          <w:rFonts w:ascii="Arial" w:cs="Arial" w:eastAsia="Arial" w:hAnsi="Arial"/>
          <w:sz w:val="18"/>
          <w:szCs w:val="18"/>
          <w:i w:val="1"/>
          <w:iCs w:val="1"/>
          <w:color w:val="auto"/>
        </w:rPr>
        <w:t xml:space="preserve"> </w:t>
      </w:r>
      <w:r>
        <w:rPr>
          <w:rFonts w:ascii="Arial" w:cs="Arial" w:eastAsia="Arial" w:hAnsi="Arial"/>
          <w:sz w:val="18"/>
          <w:szCs w:val="18"/>
          <w:color w:val="auto"/>
        </w:rPr>
        <w:t>Angeles County. The original plaintiffs in that case were persons entitled to receive regular payments (the “Settlement Payments”) pursuant to earlier settlements of claims, generally personal injury claims, against unrelated defendants. Stanwich Financial Services Corp. (“Stanwich”), an affiliate of the former chairman of our board of directors, is the entity that was obligated to pay the Settlement Payments. Stanwich defaulted on its payment obligations to the plaintiffs and in June 2001 filed for reorganization under the Bankruptcy Code, in the federal bankruptcy court in Connecticut. By February 2005, we had settled all claims brought against us in the Stanwich Case.</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November 2001, one of the defendants in the Stanwich Case, Jonathan Pardee, asserted claims for indemnity against us in a separate action, which is now pending in federal district court in Rhode Island. We have filed counterclaims in the Rhode Island federal court against Mr. Pardee, and have filed a separate action against Mr. Pardee's Rhode Island attorneys, in the same court. The litigation between Mr. Pardee and us was stayed for several years through September 2011, awaiting resolution of an adversary action brought against Mr. Pardee in the bankruptcy court, which is hearing the bankruptcy of Stanwich.</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an agreement with the representative of creditors in the Stanwich bankruptcy, that adversary action has been dismissed. Under that agreement, we paid the bankruptcy estate $800,000 and abandoned our claims against the estate, while the estate has abandoned its adversary action against Mr. Pardee. With the dismissal of the adversary action, all known claims asserted against Mr. Pardee have been resolved without his incurring any liability. Accordingly, we believe that this resolution of the adversary action will result in limitation of our exposure to Mr. Pardee to no more than some portion of his attorneys fees incurred. The stay in the action against us in Rhode Island has been lifted, and both we and Mr. Pardee filed motions for summary judgment. The court ruled on those motions in February 2013, denying our motion, and granting Mr. Pardee’s motion as to liability. The matter has been set for trial, to commence September 9, 2014. The issues remaining for trial are the extent of our obligation to indemnify Mr. Pardee.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Consumer Litigation. </w:t>
      </w:r>
      <w:r>
        <w:rPr>
          <w:rFonts w:ascii="Arial" w:cs="Arial" w:eastAsia="Arial" w:hAnsi="Arial"/>
          <w:sz w:val="17"/>
          <w:szCs w:val="17"/>
          <w:color w:val="auto"/>
        </w:rPr>
        <w:t>We are routinely involved in various legal proceedings resulting from our consumer finance activities and practices, both</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and discontinued. Consumers can and do initiate lawsuits against us alleging violations of law applicable to collection of receivables, and such lawsuits sometimes allege that resolution as a class action is appropriate. We are currently defending two such purported class actions, one of which has been settled by agreement with the plaintiffs (such settlement remains subject to approval by the court). For the most part, we have legal and factual defenses to such claims, which we routinely contest or settle (for immaterial amounts) depending on the particular circumstances of each case. We have recorded a liability as of June 30, 2014 with respect to such matters, in the aggregate.</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FTC Action</w:t>
      </w:r>
      <w:r>
        <w:rPr>
          <w:rFonts w:ascii="Arial" w:cs="Arial" w:eastAsia="Arial" w:hAnsi="Arial"/>
          <w:sz w:val="18"/>
          <w:szCs w:val="18"/>
          <w:color w:val="auto"/>
        </w:rPr>
        <w:t>. In July 2013, the staff of the U.S. Federal Trade Commission (“FTC”) advised us that they were prepared to recommend that the FTC</w:t>
      </w:r>
      <w:r>
        <w:rPr>
          <w:rFonts w:ascii="Arial" w:cs="Arial" w:eastAsia="Arial" w:hAnsi="Arial"/>
          <w:sz w:val="18"/>
          <w:szCs w:val="18"/>
          <w:i w:val="1"/>
          <w:iCs w:val="1"/>
          <w:color w:val="auto"/>
        </w:rPr>
        <w:t xml:space="preserve"> </w:t>
      </w:r>
      <w:r>
        <w:rPr>
          <w:rFonts w:ascii="Arial" w:cs="Arial" w:eastAsia="Arial" w:hAnsi="Arial"/>
          <w:sz w:val="18"/>
          <w:szCs w:val="18"/>
          <w:color w:val="auto"/>
        </w:rPr>
        <w:t>initiate a lawsuit against us relating to allegedly unfair trade practices, and simultaneously advised that settlement of such issues by consent decree might be achieved. On May 29, 2014, the FTC announced its agreement to settle the matter by filing a lawsuit against us, and requesting, with our consent, that the court enter an agreed judgment against us. The lawsuit arose out of the FTC’s inquiry into our business practices. Under the agreed settlement, we will make approximately $1.9 million of restitutionary payments and $1.6 million of account adjustments to and for our customers, pay a $2 million penalty to the federal government, and implement procedural changes, all pursuant to a consent decree which has since been entered by the court. The cost to us of the payments, adjustments and penalty is within the contingency reserve that we previously recorded with respect to this matter. The $2 million penalty was paid in June 2014.</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the matters referenced above. We have recorded a liability as of June 30, 2014,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June 30, 2014, and in excess of the liability we have recorded, is from $0 to $1.2 million.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and six-month periods ended June 30, 2014 and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3080" w:type="dxa"/>
            <w:vAlign w:val="bottom"/>
            <w:gridSpan w:val="5"/>
          </w:tcPr>
          <w:p>
            <w:pPr>
              <w:jc w:val="center"/>
              <w:ind w:left="401"/>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545"/>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80" w:type="dxa"/>
            <w:vAlign w:val="bottom"/>
            <w:gridSpan w:val="4"/>
          </w:tcPr>
          <w:p>
            <w:pPr>
              <w:jc w:val="center"/>
              <w:ind w:right="545"/>
              <w:spacing w:after="0"/>
              <w:rPr>
                <w:sz w:val="20"/>
                <w:szCs w:val="20"/>
                <w:color w:val="auto"/>
              </w:rPr>
            </w:pPr>
            <w:r>
              <w:rPr>
                <w:rFonts w:ascii="Arial" w:cs="Arial" w:eastAsia="Arial" w:hAnsi="Arial"/>
                <w:sz w:val="18"/>
                <w:szCs w:val="18"/>
                <w:b w:val="1"/>
                <w:bCs w:val="1"/>
                <w:color w:val="auto"/>
                <w:w w:val="90"/>
              </w:rPr>
              <w:t>(In thousands)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Service cost</w:t>
            </w:r>
          </w:p>
        </w:tc>
        <w:tc>
          <w:tcPr>
            <w:tcW w:w="1100" w:type="dxa"/>
            <w:vAlign w:val="bottom"/>
          </w:tcPr>
          <w:p>
            <w:pPr>
              <w:jc w:val="right"/>
              <w:ind w:right="941"/>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6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Interest cost</w:t>
            </w:r>
          </w:p>
        </w:tc>
        <w:tc>
          <w:tcPr>
            <w:tcW w:w="1100" w:type="dxa"/>
            <w:vAlign w:val="bottom"/>
            <w:shd w:val="clear" w:color="auto" w:fill="EEEEEE"/>
          </w:tcPr>
          <w:p>
            <w:pPr>
              <w:jc w:val="right"/>
              <w:ind w:right="94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210</w:t>
            </w:r>
          </w:p>
        </w:tc>
        <w:tc>
          <w:tcPr>
            <w:tcW w:w="50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420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100" w:type="dxa"/>
            <w:vAlign w:val="bottom"/>
          </w:tcPr>
          <w:p>
            <w:pPr>
              <w:jc w:val="right"/>
              <w:ind w:right="941"/>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(864)</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(670)</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transition (asset)/obligation</w:t>
            </w:r>
          </w:p>
        </w:tc>
        <w:tc>
          <w:tcPr>
            <w:tcW w:w="1100" w:type="dxa"/>
            <w:vAlign w:val="bottom"/>
            <w:shd w:val="clear" w:color="auto" w:fill="EEEEEE"/>
          </w:tcPr>
          <w:p>
            <w:pPr>
              <w:jc w:val="right"/>
              <w:ind w:right="94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Amortization of net (gain)/loss</w:t>
            </w:r>
          </w:p>
        </w:tc>
        <w:tc>
          <w:tcPr>
            <w:tcW w:w="1100" w:type="dxa"/>
            <w:vAlign w:val="bottom"/>
          </w:tcPr>
          <w:p>
            <w:pPr>
              <w:jc w:val="right"/>
              <w:ind w:right="941"/>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r>
      <w:tr>
        <w:trPr>
          <w:trHeight w:val="223"/>
        </w:trPr>
        <w:tc>
          <w:tcPr>
            <w:tcW w:w="3900" w:type="dxa"/>
            <w:vAlign w:val="bottom"/>
            <w:tcBorders>
              <w:top w:val="single" w:sz="8" w:color="EEEEEE"/>
              <w:bottom w:val="single" w:sz="8" w:color="EEEEEE"/>
            </w:tcBorders>
            <w:shd w:val="clear" w:color="auto" w:fill="EEEEEE"/>
          </w:tcPr>
          <w:p>
            <w:pPr>
              <w:ind w:left="140"/>
              <w:spacing w:after="0"/>
              <w:rPr>
                <w:sz w:val="20"/>
                <w:szCs w:val="20"/>
                <w:color w:val="auto"/>
              </w:rPr>
            </w:pPr>
            <w:r>
              <w:rPr>
                <w:rFonts w:ascii="Arial" w:cs="Arial" w:eastAsia="Arial" w:hAnsi="Arial"/>
                <w:sz w:val="18"/>
                <w:szCs w:val="18"/>
                <w:color w:val="auto"/>
              </w:rPr>
              <w:t>Net periodic cost (benefit)</w:t>
            </w:r>
          </w:p>
        </w:tc>
        <w:tc>
          <w:tcPr>
            <w:tcW w:w="1100" w:type="dxa"/>
            <w:vAlign w:val="bottom"/>
            <w:tcBorders>
              <w:top w:val="single" w:sz="8" w:color="auto"/>
              <w:bottom w:val="single" w:sz="8" w:color="auto"/>
            </w:tcBorders>
            <w:shd w:val="clear" w:color="auto" w:fill="EEEEEE"/>
          </w:tcPr>
          <w:p>
            <w:pPr>
              <w:jc w:val="right"/>
              <w:ind w:right="94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top w:val="single" w:sz="8" w:color="EEEEEE"/>
              <w:bottom w:val="single" w:sz="8" w:color="EEEEEE"/>
            </w:tcBorders>
            <w:shd w:val="clear" w:color="auto" w:fill="EEEEEE"/>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ind w:right="96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contributed $112,000 to the Plan during the six-month period ended June 30, 2014 and we do not anticipate making any further contributions for the remainder of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September 2008 we sold automobile contracts in a securitization that was structured as a sale for financial accounting purposes. In that sale, we retained both securities and a residual interest in the transaction that are measured at fair value. In September 2010 we took advantage of improvement in the market for asset-backed securities by re-securitizing the underlying receivables from our unrated September 2008 securitization. We also sold the securities retained from the September 2008 transaction. No gain or loss was recorded as a result of the re-securitization transaction described above. We describe below the valuation methodologies we use for the securities retained and the residual interest in the cash flows of the transaction, as well as the general classification of such instruments pursuant to the valuation hierarchy. The residual interest in such securitization is $260,000 as of June 30, 2014 and $854,000 as of December 31, 2013 and is classified as level 3 in the three-level valuation hierarchy. We determine the value of that residual interest using a discounted cash flow model that includes estimates for prepayments and losses. We used a discount rate of 20% per annum and a cumulative net loss rate of 15% at June 30, 2014 and December 31, 2013. The assumptions we used are based on historical performance of automobile contracts we have originated and serviced in the past, adjusted for current market conditions.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September 2011, we acquired $217.8 million of finance receivables from Fireside Bank for a purchase price of $199.6 million. The receivables were acquired by our wholly-owned special purpose subsidiary, CPS Fender Receivables, LLC, which issued a note for $197.3 million, with a fair value of $196.5 million.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Interest income from the receivables and interest expense on the note are included in interest income and interest expense, respectively. Changes to the fair value of the receivables and debt are included in other income. Our level 3, unobservable inputs reflect our own assumptions about the factors that market participants use in pricing similar receivables and debt, and are based on the best information available in the circumstances. They include such inputs as estimated net charge-offs and timing of the amortization of the portfolio of finance receivables. Our estimate of the fair value of the Fireside receivables is performed on a pool basis, rather than separately on each individual receivable. The table below presents a reconciliation of the acquired finance receivables and related debt measured at fair value on a recurring basis using significant unobservable inputs: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980" w:type="dxa"/>
            <w:vAlign w:val="bottom"/>
            <w:gridSpan w:val="5"/>
          </w:tcPr>
          <w:p>
            <w:pPr>
              <w:jc w:val="center"/>
              <w:ind w:left="502"/>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2014</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20" w:type="dxa"/>
            <w:vAlign w:val="bottom"/>
            <w:gridSpan w:val="4"/>
          </w:tcPr>
          <w:p>
            <w:pPr>
              <w:jc w:val="center"/>
              <w:ind w:right="405"/>
              <w:spacing w:after="0"/>
              <w:rPr>
                <w:sz w:val="20"/>
                <w:szCs w:val="20"/>
                <w:color w:val="auto"/>
              </w:rPr>
            </w:pPr>
            <w:r>
              <w:rPr>
                <w:rFonts w:ascii="Arial" w:cs="Arial" w:eastAsia="Arial" w:hAnsi="Arial"/>
                <w:sz w:val="18"/>
                <w:szCs w:val="18"/>
                <w:b w:val="1"/>
                <w:bCs w:val="1"/>
                <w:color w:val="auto"/>
                <w:w w:val="87"/>
              </w:rPr>
              <w:t>(in thousands)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4"/>
          </w:tcPr>
          <w:p>
            <w:pPr>
              <w:ind w:left="86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Finance Receivables Measured at Fair Value:</w:t>
            </w: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60" w:type="dxa"/>
            <w:vAlign w:val="bottom"/>
          </w:tcPr>
          <w:p>
            <w:pPr>
              <w:jc w:val="right"/>
              <w:ind w:right="902"/>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9,058</w:t>
            </w:r>
          </w:p>
        </w:tc>
        <w:tc>
          <w:tcPr>
            <w:tcW w:w="116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43,021</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14,476</w:t>
            </w:r>
          </w:p>
        </w:tc>
        <w:tc>
          <w:tcPr>
            <w:tcW w:w="56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59,668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Payments on finance receivables at fair value</w:t>
            </w:r>
          </w:p>
        </w:tc>
        <w:tc>
          <w:tcPr>
            <w:tcW w:w="10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(3,766)</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2"/>
              </w:rPr>
              <w:t>(11,461)</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(7,873)</w:t>
            </w: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Charge-offs on finance receivables at fair value</w:t>
            </w:r>
          </w:p>
        </w:tc>
        <w:tc>
          <w:tcPr>
            <w:tcW w:w="10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(556)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Discount accretion</w:t>
            </w:r>
          </w:p>
        </w:tc>
        <w:tc>
          <w:tcPr>
            <w:tcW w:w="10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(353)</w:t>
            </w: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984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Mark to fair value</w:t>
            </w:r>
          </w:p>
        </w:tc>
        <w:tc>
          <w:tcPr>
            <w:tcW w:w="1060" w:type="dxa"/>
            <w:vAlign w:val="bottom"/>
          </w:tcPr>
          <w:p>
            <w:pPr>
              <w:jc w:val="right"/>
              <w:ind w:right="902"/>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60" w:type="dxa"/>
            <w:vAlign w:val="bottom"/>
            <w:tcBorders>
              <w:top w:val="single" w:sz="8" w:color="auto"/>
              <w:bottom w:val="single" w:sz="8" w:color="auto"/>
            </w:tcBorders>
            <w:shd w:val="clear" w:color="auto" w:fill="EEEEEE"/>
          </w:tcPr>
          <w:p>
            <w:pPr>
              <w:jc w:val="right"/>
              <w:ind w:right="90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5,686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30,319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ind w:left="840"/>
              <w:spacing w:after="0"/>
              <w:rPr>
                <w:sz w:val="20"/>
                <w:szCs w:val="20"/>
                <w:color w:val="auto"/>
              </w:rPr>
            </w:pPr>
            <w:r>
              <w:rPr>
                <w:rFonts w:ascii="Arial" w:cs="Arial" w:eastAsia="Arial" w:hAnsi="Arial"/>
                <w:sz w:val="18"/>
                <w:szCs w:val="18"/>
                <w:color w:val="auto"/>
                <w:w w:val="84"/>
              </w:rPr>
              <w:t>5,686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30,319</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88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rPr>
              <w:t>Debt Secured by Finance Receivables</w:t>
            </w:r>
          </w:p>
        </w:tc>
        <w:tc>
          <w:tcPr>
            <w:tcW w:w="10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b w:val="1"/>
                <w:bCs w:val="1"/>
                <w:color w:val="auto"/>
              </w:rPr>
              <w:t>Measured at Fair Value:</w:t>
            </w:r>
          </w:p>
        </w:tc>
        <w:tc>
          <w:tcPr>
            <w:tcW w:w="10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60" w:type="dxa"/>
            <w:vAlign w:val="bottom"/>
          </w:tcPr>
          <w:p>
            <w:pPr>
              <w:jc w:val="right"/>
              <w:ind w:right="902"/>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8,576</w:t>
            </w:r>
          </w:p>
        </w:tc>
        <w:tc>
          <w:tcPr>
            <w:tcW w:w="116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40,387</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13,117</w:t>
            </w:r>
          </w:p>
        </w:tc>
        <w:tc>
          <w:tcPr>
            <w:tcW w:w="56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57,107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Principal payments on debt at fair value</w:t>
            </w:r>
          </w:p>
        </w:tc>
        <w:tc>
          <w:tcPr>
            <w:tcW w:w="1060" w:type="dxa"/>
            <w:vAlign w:val="bottom"/>
            <w:shd w:val="clear" w:color="auto" w:fill="EEEEEE"/>
          </w:tcPr>
          <w:p>
            <w:pPr>
              <w:jc w:val="right"/>
              <w:ind w:right="902"/>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(3,515)</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2"/>
              </w:rPr>
              <w:t>(14,614)</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(8,554)</w:t>
            </w: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Premium accretion</w:t>
            </w:r>
          </w:p>
        </w:tc>
        <w:tc>
          <w:tcPr>
            <w:tcW w:w="1060" w:type="dxa"/>
            <w:vAlign w:val="bottom"/>
          </w:tcPr>
          <w:p>
            <w:pPr>
              <w:jc w:val="right"/>
              <w:ind w:right="902"/>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1060" w:type="dxa"/>
            <w:vAlign w:val="bottom"/>
            <w:shd w:val="clear" w:color="auto" w:fill="EEEEEE"/>
          </w:tcPr>
          <w:p>
            <w:pPr>
              <w:jc w:val="right"/>
              <w:ind w:right="902"/>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339</w:t>
            </w:r>
          </w:p>
        </w:tc>
        <w:tc>
          <w:tcPr>
            <w:tcW w:w="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060" w:type="dxa"/>
            <w:vAlign w:val="bottom"/>
            <w:tcBorders>
              <w:top w:val="single" w:sz="8" w:color="auto"/>
            </w:tcBorders>
          </w:tcPr>
          <w:p>
            <w:pPr>
              <w:jc w:val="right"/>
              <w:ind w:right="90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w w:val="84"/>
              </w:rPr>
              <w:t>5,392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Reduction for payments collected and payable</w:t>
            </w:r>
          </w:p>
        </w:tc>
        <w:tc>
          <w:tcPr>
            <w:tcW w:w="106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(3,715)</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(878)</w:t>
            </w:r>
          </w:p>
        </w:tc>
        <w:tc>
          <w:tcPr>
            <w:tcW w:w="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Adjusted balance at end of period</w:t>
            </w:r>
          </w:p>
        </w:tc>
        <w:tc>
          <w:tcPr>
            <w:tcW w:w="106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4"/>
              </w:rPr>
              <w:t>4,514</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compares the fair values of the Fireside receivables and the related secured debt to their contractual balances for the periods shown: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June 30, 2014</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2013</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ind w:right="430"/>
              <w:spacing w:after="0" w:line="205" w:lineRule="exact"/>
              <w:rPr>
                <w:sz w:val="20"/>
                <w:szCs w:val="20"/>
                <w:color w:val="auto"/>
              </w:rPr>
            </w:pPr>
            <w:r>
              <w:rPr>
                <w:rFonts w:ascii="Arial" w:cs="Arial" w:eastAsia="Arial" w:hAnsi="Arial"/>
                <w:sz w:val="18"/>
                <w:szCs w:val="18"/>
                <w:b w:val="1"/>
                <w:bCs w:val="1"/>
                <w:color w:val="auto"/>
              </w:rPr>
              <w:t>Contractual</w:t>
            </w:r>
          </w:p>
        </w:tc>
        <w:tc>
          <w:tcPr>
            <w:tcW w:w="640" w:type="dxa"/>
            <w:vAlign w:val="bottom"/>
          </w:tcPr>
          <w:p>
            <w:pPr>
              <w:spacing w:after="0"/>
              <w:rPr>
                <w:sz w:val="17"/>
                <w:szCs w:val="17"/>
                <w:color w:val="auto"/>
              </w:rPr>
            </w:pPr>
          </w:p>
        </w:tc>
        <w:tc>
          <w:tcPr>
            <w:tcW w:w="1140" w:type="dxa"/>
            <w:vAlign w:val="bottom"/>
          </w:tcPr>
          <w:p>
            <w:pPr>
              <w:jc w:val="center"/>
              <w:ind w:right="370"/>
              <w:spacing w:after="0" w:line="205" w:lineRule="exact"/>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90"/>
              <w:spacing w:after="0" w:line="205" w:lineRule="exact"/>
              <w:rPr>
                <w:sz w:val="20"/>
                <w:szCs w:val="20"/>
                <w:color w:val="auto"/>
              </w:rPr>
            </w:pPr>
            <w:r>
              <w:rPr>
                <w:rFonts w:ascii="Arial" w:cs="Arial" w:eastAsia="Arial" w:hAnsi="Arial"/>
                <w:sz w:val="18"/>
                <w:szCs w:val="18"/>
                <w:b w:val="1"/>
                <w:bCs w:val="1"/>
                <w:color w:val="auto"/>
              </w:rPr>
              <w:t>Contractual</w:t>
            </w:r>
          </w:p>
        </w:tc>
        <w:tc>
          <w:tcPr>
            <w:tcW w:w="740" w:type="dxa"/>
            <w:vAlign w:val="bottom"/>
          </w:tcPr>
          <w:p>
            <w:pPr>
              <w:spacing w:after="0"/>
              <w:rPr>
                <w:sz w:val="17"/>
                <w:szCs w:val="17"/>
                <w:color w:val="auto"/>
              </w:rPr>
            </w:pPr>
          </w:p>
        </w:tc>
        <w:tc>
          <w:tcPr>
            <w:tcW w:w="1020" w:type="dxa"/>
            <w:vAlign w:val="bottom"/>
          </w:tcPr>
          <w:p>
            <w:pPr>
              <w:jc w:val="center"/>
              <w:ind w:right="4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Balance</w:t>
            </w:r>
          </w:p>
        </w:tc>
        <w:tc>
          <w:tcPr>
            <w:tcW w:w="640" w:type="dxa"/>
            <w:vAlign w:val="bottom"/>
          </w:tcPr>
          <w:p>
            <w:pPr>
              <w:spacing w:after="0"/>
              <w:rPr>
                <w:sz w:val="20"/>
                <w:szCs w:val="20"/>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Balance</w:t>
            </w:r>
          </w:p>
        </w:tc>
        <w:tc>
          <w:tcPr>
            <w:tcW w:w="740" w:type="dxa"/>
            <w:vAlign w:val="bottom"/>
          </w:tcPr>
          <w:p>
            <w:pPr>
              <w:spacing w:after="0"/>
              <w:rPr>
                <w:sz w:val="20"/>
                <w:szCs w:val="20"/>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Fireside receivables portfolio</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5,651</w:t>
            </w:r>
          </w:p>
        </w:tc>
        <w:tc>
          <w:tcPr>
            <w:tcW w:w="64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ind w:left="740"/>
              <w:spacing w:after="0"/>
              <w:rPr>
                <w:sz w:val="20"/>
                <w:szCs w:val="20"/>
                <w:color w:val="auto"/>
              </w:rPr>
            </w:pPr>
            <w:r>
              <w:rPr>
                <w:rFonts w:ascii="Arial" w:cs="Arial" w:eastAsia="Arial" w:hAnsi="Arial"/>
                <w:sz w:val="18"/>
                <w:szCs w:val="18"/>
                <w:color w:val="auto"/>
              </w:rPr>
              <w:t>5,686</w:t>
            </w:r>
          </w:p>
        </w:tc>
        <w:tc>
          <w:tcPr>
            <w:tcW w:w="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14,786</w:t>
            </w:r>
          </w:p>
        </w:tc>
        <w:tc>
          <w:tcPr>
            <w:tcW w:w="74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Fireside receivables portfolio</w:t>
            </w:r>
          </w:p>
        </w:tc>
        <w:tc>
          <w:tcPr>
            <w:tcW w:w="22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ind w:left="740"/>
              <w:spacing w:after="0"/>
              <w:rPr>
                <w:sz w:val="20"/>
                <w:szCs w:val="20"/>
                <w:color w:val="auto"/>
              </w:rPr>
            </w:pPr>
            <w:r>
              <w:rPr>
                <w:rFonts w:ascii="Arial" w:cs="Arial" w:eastAsia="Arial" w:hAnsi="Arial"/>
                <w:sz w:val="18"/>
                <w:szCs w:val="18"/>
                <w:color w:val="auto"/>
              </w:rPr>
              <w:t>5,392</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 debt secured by the Fireside receivables portfolio represents the discounted value of future cash flows that we estimate will become due to the lender in accordance with the terms of our financing for the Fireside portfolio. The terms of the debt provide for the lenders to receive a share of residual cash flows from the underlying receivables after the contractual balance of the debt is repaid and the Company’s investment in the Fireside portfolio is returned.</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June 30, 2014, the finance receivables related to the repossessed vehicles in inventory totaled $28.9 million. We have applied a valuation adjustment, or loss allowance, of $16.3 million, which is based on a recovery rate of approximately 44%, resulting in an estimated fair value and carrying amount of $12.6 million. The fair value and carrying amount of the repossessed inventory at December 31, 2013 was $10.0 million after applying a valuation adjustment of $14.8 million.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transfers in or out of level 1 or level 2 assets and liabilities for the three months and six months ended June 30, 2014 and 2013. We have no level 3 assets that are measured at fair value on a non-recurring basis. The table below presents a reconciliation for level 3 assets measured at fair value on a recurring basis using significant unobservable inputs: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3020" w:type="dxa"/>
            <w:vAlign w:val="bottom"/>
            <w:gridSpan w:val="5"/>
          </w:tcPr>
          <w:p>
            <w:pPr>
              <w:jc w:val="center"/>
              <w:ind w:left="457"/>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right="485"/>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20" w:type="dxa"/>
            <w:vAlign w:val="bottom"/>
            <w:gridSpan w:val="4"/>
          </w:tcPr>
          <w:p>
            <w:pPr>
              <w:jc w:val="center"/>
              <w:ind w:right="485"/>
              <w:spacing w:after="0"/>
              <w:rPr>
                <w:sz w:val="20"/>
                <w:szCs w:val="20"/>
                <w:color w:val="auto"/>
              </w:rPr>
            </w:pPr>
            <w:r>
              <w:rPr>
                <w:rFonts w:ascii="Arial" w:cs="Arial" w:eastAsia="Arial" w:hAnsi="Arial"/>
                <w:sz w:val="18"/>
                <w:szCs w:val="18"/>
                <w:b w:val="1"/>
                <w:bCs w:val="1"/>
                <w:color w:val="auto"/>
                <w:w w:val="87"/>
              </w:rPr>
              <w:t>(in thousands)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in Securitizations:</w:t>
            </w: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100" w:type="dxa"/>
            <w:vAlign w:val="bottom"/>
          </w:tcPr>
          <w:p>
            <w:pPr>
              <w:jc w:val="right"/>
              <w:ind w:right="93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1200" w:type="dxa"/>
            <w:vAlign w:val="bottom"/>
            <w:gridSpan w:val="2"/>
          </w:tcPr>
          <w:p>
            <w:pPr>
              <w:jc w:val="right"/>
              <w:ind w:right="9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3,505</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854</w:t>
            </w:r>
          </w:p>
        </w:tc>
        <w:tc>
          <w:tcPr>
            <w:tcW w:w="70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4,824</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Cash paid (received) during period</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(1,259)</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(830)</w:t>
            </w: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(2,578)</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Included in earnings</w:t>
            </w:r>
          </w:p>
        </w:tc>
        <w:tc>
          <w:tcPr>
            <w:tcW w:w="1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100" w:type="dxa"/>
            <w:vAlign w:val="bottom"/>
            <w:tcBorders>
              <w:top w:val="single" w:sz="8" w:color="auto"/>
              <w:bottom w:val="single" w:sz="8" w:color="auto"/>
            </w:tcBorders>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9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2,246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certain qualitative information about our level 3 fair value measurements for assets and liabilities carried at fair value: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9"/>
              </w:rPr>
              <w:t>Fair Values as of</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1"/>
              </w:rPr>
              <w:t>Valuation</w:t>
            </w:r>
          </w:p>
        </w:tc>
        <w:tc>
          <w:tcPr>
            <w:tcW w:w="20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600" w:type="dxa"/>
            <w:vAlign w:val="bottom"/>
            <w:gridSpan w:val="4"/>
          </w:tcPr>
          <w:p>
            <w:pPr>
              <w:ind w:left="80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2040" w:type="dxa"/>
            <w:vAlign w:val="bottom"/>
            <w:gridSpan w:val="2"/>
            <w:vMerge w:val="continue"/>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w w:val="97"/>
              </w:rPr>
              <w:t>June 30,</w:t>
            </w:r>
          </w:p>
        </w:tc>
        <w:tc>
          <w:tcPr>
            <w:tcW w:w="13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December 31,</w:t>
            </w:r>
          </w:p>
        </w:tc>
        <w:tc>
          <w:tcPr>
            <w:tcW w:w="2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3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June 30,</w:t>
            </w:r>
          </w:p>
        </w:tc>
        <w:tc>
          <w:tcPr>
            <w:tcW w:w="11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3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Techniques</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left="310"/>
              <w:spacing w:after="0"/>
              <w:rPr>
                <w:sz w:val="20"/>
                <w:szCs w:val="20"/>
                <w:color w:val="auto"/>
              </w:rPr>
            </w:pPr>
            <w:r>
              <w:rPr>
                <w:rFonts w:ascii="Arial" w:cs="Arial" w:eastAsia="Arial" w:hAnsi="Arial"/>
                <w:sz w:val="18"/>
                <w:szCs w:val="18"/>
                <w:b w:val="1"/>
                <w:bCs w:val="1"/>
                <w:color w:val="auto"/>
                <w:w w:val="88"/>
              </w:rPr>
              <w:t>(In thousands)</w:t>
            </w: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3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5,686</w:t>
            </w:r>
          </w:p>
        </w:tc>
        <w:tc>
          <w:tcPr>
            <w:tcW w:w="72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14,476</w:t>
            </w:r>
          </w:p>
        </w:tc>
        <w:tc>
          <w:tcPr>
            <w:tcW w:w="158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1"/>
              </w:rPr>
              <w:t>Discounted</w:t>
            </w:r>
          </w:p>
        </w:tc>
        <w:tc>
          <w:tcPr>
            <w:tcW w:w="20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0"/>
              </w:rPr>
              <w:t>Discount rate</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measured at fair value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cash flows</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Cumulative net losses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40" w:type="dxa"/>
            <w:vAlign w:val="bottom"/>
            <w:gridSpan w:val="2"/>
            <w:shd w:val="clear" w:color="auto" w:fill="EEEEEE"/>
          </w:tcPr>
          <w:p>
            <w:pPr>
              <w:jc w:val="center"/>
              <w:ind w:right="200"/>
              <w:spacing w:after="0" w:line="201" w:lineRule="exact"/>
              <w:rPr>
                <w:sz w:val="20"/>
                <w:szCs w:val="20"/>
                <w:color w:val="auto"/>
              </w:rPr>
            </w:pPr>
            <w:r>
              <w:rPr>
                <w:rFonts w:ascii="Arial" w:cs="Arial" w:eastAsia="Arial" w:hAnsi="Arial"/>
                <w:sz w:val="18"/>
                <w:szCs w:val="18"/>
                <w:color w:val="auto"/>
                <w:w w:val="93"/>
              </w:rPr>
              <w:t>Monthly average</w:t>
            </w: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10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88"/>
              </w:rPr>
              <w:t>prepayments</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in</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260</w:t>
            </w:r>
          </w:p>
        </w:tc>
        <w:tc>
          <w:tcPr>
            <w:tcW w:w="7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854</w:t>
            </w:r>
          </w:p>
        </w:tc>
        <w:tc>
          <w:tcPr>
            <w:tcW w:w="158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1"/>
              </w:rPr>
              <w:t>Discounted</w:t>
            </w:r>
          </w:p>
        </w:tc>
        <w:tc>
          <w:tcPr>
            <w:tcW w:w="20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0"/>
              </w:rPr>
              <w:t>Discount rate</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securitizations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cash flows</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Cumulative net losses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40" w:type="dxa"/>
            <w:vAlign w:val="bottom"/>
            <w:gridSpan w:val="2"/>
            <w:shd w:val="clear" w:color="auto" w:fill="EEEEEE"/>
          </w:tcPr>
          <w:p>
            <w:pPr>
              <w:jc w:val="center"/>
              <w:ind w:right="200"/>
              <w:spacing w:after="0" w:line="201" w:lineRule="exact"/>
              <w:rPr>
                <w:sz w:val="20"/>
                <w:szCs w:val="20"/>
                <w:color w:val="auto"/>
              </w:rPr>
            </w:pPr>
            <w:r>
              <w:rPr>
                <w:rFonts w:ascii="Arial" w:cs="Arial" w:eastAsia="Arial" w:hAnsi="Arial"/>
                <w:sz w:val="18"/>
                <w:szCs w:val="18"/>
                <w:color w:val="auto"/>
                <w:w w:val="93"/>
              </w:rPr>
              <w:t>Monthly average</w:t>
            </w: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10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88"/>
              </w:rPr>
              <w:t>prepayments</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5"/>
              </w:rPr>
              <w:t>Debt secured by receivables</w:t>
            </w:r>
          </w:p>
        </w:tc>
        <w:tc>
          <w:tcPr>
            <w:tcW w:w="3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5,392</w:t>
            </w:r>
          </w:p>
        </w:tc>
        <w:tc>
          <w:tcPr>
            <w:tcW w:w="7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13,117</w:t>
            </w:r>
          </w:p>
        </w:tc>
        <w:tc>
          <w:tcPr>
            <w:tcW w:w="158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1"/>
              </w:rPr>
              <w:t>Discounted</w:t>
            </w:r>
          </w:p>
        </w:tc>
        <w:tc>
          <w:tcPr>
            <w:tcW w:w="20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0"/>
              </w:rPr>
              <w:t>Discount rate</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measured at fair value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cash flows</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80" w:type="dxa"/>
            <w:vAlign w:val="bottom"/>
            <w:gridSpan w:val="16"/>
          </w:tcPr>
          <w:p>
            <w:pPr>
              <w:jc w:val="right"/>
              <w:ind w:right="820"/>
              <w:spacing w:after="0"/>
              <w:rPr>
                <w:sz w:val="20"/>
                <w:szCs w:val="20"/>
                <w:color w:val="auto"/>
              </w:rPr>
            </w:pPr>
            <w:r>
              <w:rPr>
                <w:rFonts w:ascii="Arial" w:cs="Arial" w:eastAsia="Arial" w:hAnsi="Arial"/>
                <w:sz w:val="18"/>
                <w:szCs w:val="18"/>
                <w:color w:val="auto"/>
                <w:w w:val="96"/>
              </w:rPr>
              <w:t>The estimated fair values of financial assets and liabilities at June 30, 2014 and December 31, 2013, were as follows: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89"/>
              </w:rPr>
              <w:t>As of June 30, 2014</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2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auto"/>
              </w:rPr>
              <w:t>Fair Value Measurements Using:</w:t>
            </w:r>
          </w:p>
        </w:tc>
        <w:tc>
          <w:tcPr>
            <w:tcW w:w="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14,426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14,426</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154,902</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154,902</w:t>
            </w:r>
          </w:p>
        </w:tc>
        <w:tc>
          <w:tcPr>
            <w:tcW w:w="1400" w:type="dxa"/>
            <w:vAlign w:val="bottom"/>
            <w:gridSpan w:val="2"/>
            <w:shd w:val="clear" w:color="auto" w:fill="EEEEEE"/>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1,259,419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1,244,569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5,686</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5,686</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19,500</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19,500</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41,290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41,290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3,181</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3,181</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14,079</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14,079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20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w w:val="99"/>
              </w:rPr>
              <w:t>Debt secured by receivables measured at fair</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5,392</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5,392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1,326,319</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1,364,930</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1,364,930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18,038</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18,038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18,038</w:t>
            </w:r>
          </w:p>
        </w:tc>
        <w:tc>
          <w:tcPr>
            <w:tcW w:w="0" w:type="dxa"/>
            <w:vAlign w:val="bottom"/>
          </w:tcPr>
          <w:p>
            <w:pPr>
              <w:spacing w:after="0"/>
              <w:rPr>
                <w:sz w:val="1"/>
                <w:szCs w:val="1"/>
                <w:color w:val="auto"/>
              </w:rPr>
            </w:pPr>
          </w:p>
        </w:tc>
      </w:tr>
      <w:tr>
        <w:trPr>
          <w:trHeight w:val="431"/>
        </w:trPr>
        <w:tc>
          <w:tcPr>
            <w:tcW w:w="3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910"/>
              <w:spacing w:after="0"/>
              <w:rPr>
                <w:sz w:val="20"/>
                <w:szCs w:val="20"/>
                <w:color w:val="auto"/>
              </w:rPr>
            </w:pPr>
            <w:r>
              <w:rPr>
                <w:rFonts w:ascii="Arial" w:cs="Arial" w:eastAsia="Arial" w:hAnsi="Arial"/>
                <w:sz w:val="18"/>
                <w:szCs w:val="18"/>
                <w:b w:val="1"/>
                <w:bCs w:val="1"/>
                <w:color w:val="auto"/>
                <w:w w:val="89"/>
              </w:rPr>
              <w:t>As of December 31, 2013</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2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auto"/>
              </w:rPr>
              <w:t>Fair Value Measurements Using:</w:t>
            </w:r>
          </w:p>
        </w:tc>
        <w:tc>
          <w:tcPr>
            <w:tcW w:w="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22,112</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22,112</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132,284</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132,284</w:t>
            </w:r>
          </w:p>
        </w:tc>
        <w:tc>
          <w:tcPr>
            <w:tcW w:w="1400" w:type="dxa"/>
            <w:vAlign w:val="bottom"/>
            <w:gridSpan w:val="2"/>
            <w:shd w:val="clear" w:color="auto" w:fill="EEEEEE"/>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1,115,437</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1,100,153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1,100,153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14,476</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14,476</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854</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18,670</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18,670</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18,670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9,452</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9,452</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2,908</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2,908</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19,096</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19,096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9"/>
              </w:rPr>
              <w:t>Debt secured by receivables measured at fair</w:t>
            </w:r>
          </w:p>
        </w:tc>
        <w:tc>
          <w:tcPr>
            <w:tcW w:w="2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value</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13,117</w:t>
            </w:r>
          </w:p>
        </w:tc>
        <w:tc>
          <w:tcPr>
            <w:tcW w:w="3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13,117</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1,177,559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1,189,086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38,559</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38,559</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38,559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19,142</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19,142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19,142</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June 30, 2014 and December 31, 2013,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 and Debt Secured by Receivables Measured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Interest in Securitizations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is estimated by discounting future cash flows using credit and discount rates that we believe reflect the estimated credit, interest rate and prepayment risks associated with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Senior Secured Debt, Related Party and Subordinated Renewable Notes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specialty finance company focused on consumers who have limited credit histories, low incomes or past credit problems, whom we refer to as sub-prime customers.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sub-prime customers of dealers.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June 30, 2014, we have purchased a total of approximately $10.8 billion of automobile contracts from dealers. In addition, we obtained a total of approximately $822.3 million of automobile contracts in mergers and acquisitions in 2002, 2003, 2004 and 2011. In 2004 and 2009, we were appointed as a third-party servicer for certain portfolios of automobile receivables originated and owned by non-affiliated entities. Beginning in 2008 through the third quarter of 2011, our managed portfolio decreased each year due to our strategy of limiting contract purchases in 2008 and 2009 to conserve our liquidity, as discussed further below. However, since October 2009 we have gradually increased contract purchases, which, in turn has resulted in recent increases to our managed portfolio. Recent contract purchase volumes and managed portfolio levels are shown in the table below:</w:t>
      </w:r>
    </w:p>
    <w:p>
      <w:pPr>
        <w:spacing w:after="0" w:line="185"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6200" w:type="dxa"/>
            <w:vAlign w:val="bottom"/>
            <w:gridSpan w:val="5"/>
          </w:tcPr>
          <w:p>
            <w:pPr>
              <w:ind w:left="1500"/>
              <w:spacing w:after="0"/>
              <w:rPr>
                <w:sz w:val="20"/>
                <w:szCs w:val="20"/>
                <w:color w:val="auto"/>
              </w:rPr>
            </w:pPr>
            <w:r>
              <w:rPr>
                <w:rFonts w:ascii="Arial" w:cs="Arial" w:eastAsia="Arial" w:hAnsi="Arial"/>
                <w:sz w:val="18"/>
                <w:szCs w:val="18"/>
                <w:b w:val="1"/>
                <w:bCs w:val="1"/>
                <w:color w:val="auto"/>
                <w:w w:val="97"/>
              </w:rPr>
              <w:t>Contract Purchases and Outstanding Managed Portfolio</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5"/>
          </w:tcPr>
          <w:p>
            <w:pPr>
              <w:ind w:left="5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Contracts</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Managed</w:t>
            </w:r>
          </w:p>
        </w:tc>
        <w:tc>
          <w:tcPr>
            <w:tcW w:w="60" w:type="dxa"/>
            <w:vAlign w:val="bottom"/>
          </w:tcPr>
          <w:p>
            <w:pPr>
              <w:spacing w:after="0"/>
              <w:rPr>
                <w:sz w:val="16"/>
                <w:szCs w:val="16"/>
                <w:color w:val="auto"/>
              </w:rPr>
            </w:pPr>
          </w:p>
        </w:tc>
      </w:tr>
      <w:tr>
        <w:trPr>
          <w:trHeight w:val="216"/>
        </w:trPr>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Purchased in</w:t>
            </w:r>
          </w:p>
        </w:tc>
        <w:tc>
          <w:tcPr>
            <w:tcW w:w="10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Portfolio at</w:t>
            </w:r>
          </w:p>
        </w:tc>
      </w:tr>
      <w:tr>
        <w:trPr>
          <w:trHeight w:val="234"/>
        </w:trPr>
        <w:tc>
          <w:tcPr>
            <w:tcW w:w="4840" w:type="dxa"/>
            <w:vAlign w:val="bottom"/>
          </w:tcPr>
          <w:p>
            <w:pPr>
              <w:ind w:left="2160"/>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10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Period End</w:t>
            </w:r>
          </w:p>
        </w:tc>
      </w:tr>
      <w:tr>
        <w:trPr>
          <w:trHeight w:val="210"/>
        </w:trPr>
        <w:tc>
          <w:tcPr>
            <w:tcW w:w="4840" w:type="dxa"/>
            <w:vAlign w:val="bottom"/>
            <w:tcBorders>
              <w:top w:val="single" w:sz="8" w:color="auto"/>
            </w:tcBorders>
            <w:shd w:val="clear" w:color="auto" w:fill="EEEEEE"/>
          </w:tcPr>
          <w:p>
            <w:pPr>
              <w:jc w:val="center"/>
              <w:ind w:left="2550"/>
              <w:spacing w:after="0"/>
              <w:rPr>
                <w:sz w:val="20"/>
                <w:szCs w:val="20"/>
                <w:color w:val="auto"/>
              </w:rPr>
            </w:pPr>
            <w:r>
              <w:rPr>
                <w:rFonts w:ascii="Arial" w:cs="Arial" w:eastAsia="Arial" w:hAnsi="Arial"/>
                <w:sz w:val="18"/>
                <w:szCs w:val="18"/>
                <w:color w:val="333333"/>
                <w:w w:val="89"/>
              </w:rPr>
              <w:t>2008</w:t>
            </w: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   1,664,122</w:t>
            </w:r>
          </w:p>
        </w:tc>
        <w:tc>
          <w:tcPr>
            <w:tcW w:w="60" w:type="dxa"/>
            <w:vAlign w:val="bottom"/>
            <w:tcBorders>
              <w:top w:val="single" w:sz="8" w:color="EEEEEE"/>
            </w:tcBorders>
            <w:shd w:val="clear" w:color="auto" w:fill="EEEEEE"/>
          </w:tcPr>
          <w:p>
            <w:pPr>
              <w:spacing w:after="0"/>
              <w:rPr>
                <w:sz w:val="18"/>
                <w:szCs w:val="18"/>
                <w:color w:val="auto"/>
              </w:rPr>
            </w:pPr>
          </w:p>
        </w:tc>
      </w:tr>
      <w:tr>
        <w:trPr>
          <w:trHeight w:val="216"/>
        </w:trPr>
        <w:tc>
          <w:tcPr>
            <w:tcW w:w="4840" w:type="dxa"/>
            <w:vAlign w:val="bottom"/>
          </w:tcPr>
          <w:p>
            <w:pPr>
              <w:jc w:val="center"/>
              <w:ind w:left="2550"/>
              <w:spacing w:after="0"/>
              <w:rPr>
                <w:sz w:val="20"/>
                <w:szCs w:val="20"/>
                <w:color w:val="auto"/>
              </w:rPr>
            </w:pPr>
            <w:r>
              <w:rPr>
                <w:rFonts w:ascii="Arial" w:cs="Arial" w:eastAsia="Arial" w:hAnsi="Arial"/>
                <w:sz w:val="18"/>
                <w:szCs w:val="18"/>
                <w:color w:val="333333"/>
                <w:w w:val="89"/>
              </w:rPr>
              <w:t>2009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1,194,722</w:t>
            </w:r>
          </w:p>
        </w:tc>
        <w:tc>
          <w:tcPr>
            <w:tcW w:w="60" w:type="dxa"/>
            <w:vAlign w:val="bottom"/>
          </w:tcPr>
          <w:p>
            <w:pPr>
              <w:spacing w:after="0"/>
              <w:rPr>
                <w:sz w:val="18"/>
                <w:szCs w:val="18"/>
                <w:color w:val="auto"/>
              </w:rPr>
            </w:pPr>
          </w:p>
        </w:tc>
      </w:tr>
      <w:tr>
        <w:trPr>
          <w:trHeight w:val="216"/>
        </w:trPr>
        <w:tc>
          <w:tcPr>
            <w:tcW w:w="4840" w:type="dxa"/>
            <w:vAlign w:val="bottom"/>
            <w:shd w:val="clear" w:color="auto" w:fill="EEEEEE"/>
          </w:tcPr>
          <w:p>
            <w:pPr>
              <w:jc w:val="center"/>
              <w:ind w:left="2550"/>
              <w:spacing w:after="0"/>
              <w:rPr>
                <w:sz w:val="20"/>
                <w:szCs w:val="20"/>
                <w:color w:val="auto"/>
              </w:rPr>
            </w:pPr>
            <w:r>
              <w:rPr>
                <w:rFonts w:ascii="Arial" w:cs="Arial" w:eastAsia="Arial" w:hAnsi="Arial"/>
                <w:sz w:val="18"/>
                <w:szCs w:val="18"/>
                <w:color w:val="333333"/>
                <w:w w:val="89"/>
              </w:rPr>
              <w:t>2010</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113,023</w:t>
            </w:r>
          </w:p>
        </w:tc>
        <w:tc>
          <w:tcPr>
            <w:tcW w:w="122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756,203</w:t>
            </w:r>
          </w:p>
        </w:tc>
      </w:tr>
      <w:tr>
        <w:trPr>
          <w:trHeight w:val="216"/>
        </w:trPr>
        <w:tc>
          <w:tcPr>
            <w:tcW w:w="4840" w:type="dxa"/>
            <w:vAlign w:val="bottom"/>
          </w:tcPr>
          <w:p>
            <w:pPr>
              <w:jc w:val="center"/>
              <w:ind w:left="2550"/>
              <w:spacing w:after="0"/>
              <w:rPr>
                <w:sz w:val="20"/>
                <w:szCs w:val="20"/>
                <w:color w:val="auto"/>
              </w:rPr>
            </w:pPr>
            <w:r>
              <w:rPr>
                <w:rFonts w:ascii="Arial" w:cs="Arial" w:eastAsia="Arial" w:hAnsi="Arial"/>
                <w:sz w:val="18"/>
                <w:szCs w:val="18"/>
                <w:color w:val="333333"/>
                <w:w w:val="89"/>
              </w:rPr>
              <w:t>2011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284,236</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794,649</w:t>
            </w:r>
          </w:p>
        </w:tc>
      </w:tr>
      <w:tr>
        <w:trPr>
          <w:trHeight w:val="216"/>
        </w:trPr>
        <w:tc>
          <w:tcPr>
            <w:tcW w:w="4840" w:type="dxa"/>
            <w:vAlign w:val="bottom"/>
            <w:shd w:val="clear" w:color="auto" w:fill="EEEEEE"/>
          </w:tcPr>
          <w:p>
            <w:pPr>
              <w:jc w:val="center"/>
              <w:ind w:left="2550"/>
              <w:spacing w:after="0"/>
              <w:rPr>
                <w:sz w:val="20"/>
                <w:szCs w:val="20"/>
                <w:color w:val="auto"/>
              </w:rPr>
            </w:pPr>
            <w:r>
              <w:rPr>
                <w:rFonts w:ascii="Arial" w:cs="Arial" w:eastAsia="Arial" w:hAnsi="Arial"/>
                <w:sz w:val="18"/>
                <w:szCs w:val="18"/>
                <w:color w:val="333333"/>
                <w:w w:val="89"/>
              </w:rPr>
              <w:t>2012</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551,742</w:t>
            </w:r>
          </w:p>
        </w:tc>
        <w:tc>
          <w:tcPr>
            <w:tcW w:w="122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897,575</w:t>
            </w:r>
          </w:p>
        </w:tc>
      </w:tr>
      <w:tr>
        <w:trPr>
          <w:trHeight w:val="216"/>
        </w:trPr>
        <w:tc>
          <w:tcPr>
            <w:tcW w:w="4840" w:type="dxa"/>
            <w:vAlign w:val="bottom"/>
          </w:tcPr>
          <w:p>
            <w:pPr>
              <w:jc w:val="center"/>
              <w:ind w:left="2550"/>
              <w:spacing w:after="0"/>
              <w:rPr>
                <w:sz w:val="20"/>
                <w:szCs w:val="20"/>
                <w:color w:val="auto"/>
              </w:rPr>
            </w:pPr>
            <w:r>
              <w:rPr>
                <w:rFonts w:ascii="Arial" w:cs="Arial" w:eastAsia="Arial" w:hAnsi="Arial"/>
                <w:sz w:val="18"/>
                <w:szCs w:val="18"/>
                <w:color w:val="333333"/>
                <w:w w:val="89"/>
              </w:rPr>
              <w:t>2013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764,087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1,231,422</w:t>
            </w:r>
          </w:p>
        </w:tc>
        <w:tc>
          <w:tcPr>
            <w:tcW w:w="60" w:type="dxa"/>
            <w:vAlign w:val="bottom"/>
          </w:tcPr>
          <w:p>
            <w:pPr>
              <w:spacing w:after="0"/>
              <w:rPr>
                <w:sz w:val="18"/>
                <w:szCs w:val="18"/>
                <w:color w:val="auto"/>
              </w:rPr>
            </w:pPr>
          </w:p>
        </w:tc>
      </w:tr>
      <w:tr>
        <w:trPr>
          <w:trHeight w:val="202"/>
        </w:trPr>
        <w:tc>
          <w:tcPr>
            <w:tcW w:w="4840" w:type="dxa"/>
            <w:vAlign w:val="bottom"/>
            <w:shd w:val="clear" w:color="auto" w:fill="EEEEEE"/>
          </w:tcPr>
          <w:p>
            <w:pPr>
              <w:jc w:val="center"/>
              <w:ind w:left="2530"/>
              <w:spacing w:after="0" w:line="201" w:lineRule="exact"/>
              <w:rPr>
                <w:sz w:val="20"/>
                <w:szCs w:val="20"/>
                <w:color w:val="auto"/>
              </w:rPr>
            </w:pPr>
            <w:r>
              <w:rPr>
                <w:rFonts w:ascii="Arial" w:cs="Arial" w:eastAsia="Arial" w:hAnsi="Arial"/>
                <w:sz w:val="18"/>
                <w:szCs w:val="18"/>
                <w:color w:val="auto"/>
                <w:w w:val="88"/>
              </w:rPr>
              <w:t>Six months ended June 30,</w:t>
            </w: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r>
      <w:tr>
        <w:trPr>
          <w:trHeight w:val="230"/>
        </w:trPr>
        <w:tc>
          <w:tcPr>
            <w:tcW w:w="4840" w:type="dxa"/>
            <w:vAlign w:val="bottom"/>
            <w:shd w:val="clear" w:color="auto" w:fill="EEEEEE"/>
          </w:tcPr>
          <w:p>
            <w:pPr>
              <w:jc w:val="center"/>
              <w:ind w:left="2550"/>
              <w:spacing w:after="0"/>
              <w:rPr>
                <w:sz w:val="20"/>
                <w:szCs w:val="20"/>
                <w:color w:val="auto"/>
              </w:rPr>
            </w:pPr>
            <w:r>
              <w:rPr>
                <w:rFonts w:ascii="Arial" w:cs="Arial" w:eastAsia="Arial" w:hAnsi="Arial"/>
                <w:sz w:val="18"/>
                <w:szCs w:val="18"/>
                <w:color w:val="auto"/>
                <w:w w:val="89"/>
              </w:rPr>
              <w:t>2014</w:t>
            </w:r>
          </w:p>
        </w:tc>
        <w:tc>
          <w:tcPr>
            <w:tcW w:w="2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401,266</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1,373,582</w:t>
            </w:r>
          </w:p>
        </w:tc>
        <w:tc>
          <w:tcPr>
            <w:tcW w:w="60" w:type="dxa"/>
            <w:vAlign w:val="bottom"/>
            <w:shd w:val="clear" w:color="auto" w:fill="EEEEEE"/>
          </w:tcPr>
          <w:p>
            <w:pPr>
              <w:spacing w:after="0"/>
              <w:rPr>
                <w:sz w:val="20"/>
                <w:szCs w:val="20"/>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purchase contracts in our own name (“CPS”) and, until July 2008, also in the name of our wholly-owned subsidiary, TFC. Programs marketed under the CPS name are intended to serve a wide range of sub-prime customers, primarily through franchised new car dealers. Our TFC program served vehicle purchasers enlisted in the U.S. Armed Forces, primarily through independent used car dealers. In July 2008, we suspended contract purchases under our TFC program. We purchase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fund the transactions. Depending on the structure, these transactions may be accounted for under generally accepted accounting principles as sales of the automobile contracts or as secured financings.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unaudited condensed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1994 we have conducted 63 term securitizations (generally quarterly) of automobile contracts that we purchased from dealers under our regular programs. As of June 30, 2014, 15 of those securitizations are active and all but one are structured as secured financings. Our September 2010 transaction is our only active securitization that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From time to time we have also completed financings of our residual interests in other securitizations that we and our affiliates previously sponsored.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we have one such residual interest financing outstanding.</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Since December 2011, our securitizations have included a pre-funding feature in which a portion of the receivables to be sold to the trust were not delivered until after the initial closing. As a result, our restricted cash balance at June 30, 2014 included $71.1 million from the proceeds of the sale of the asset-backed notes that were held by the trustee pending delivery of the remaining receivables. In July 2014, the requisite additional receivables were delivered to the trust and we received the related restricted cash, most of which was used to repay amounts owed under our warehouse credit facilities.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Acquisitions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stated above, we have acquired approximately $822.3 million in finance receivables through four acquisitions. These transactions took place in 2002, 2003, 2004 and 2011. The 2011 acquisition consisted of approximately $217.8 million of finance receivables that we purchased from Fireside Bank of Pleasanton, California.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depend upon the availability of warehouse credit facilities and access to long-term financing through the issuance of asset-backed securities collateralized by our automobile contracts. Since 1994, we have completed 63 term securitizations of approximately $8.8 billion in contracts. From the fourth quarter of 2007 through the end of 2009, we observed unprecedented adverse changes in the market for securitized pools of automobile contracts. These changes included reduced liquidity, and reduced demand for asset-backed securities, particularly for securities carrying a financial guaranty and for securities backed by sub-prime automobile receivables. Moreover, during that period many of the firms that previously provided financial guarantees, which were an integral part of our securitizations, suspended offering such guarantees. These adverse changes caused us to conserve liquidity by significantly reducing our purchases of automobile contracts. However, since September 2009 we have established new funding facilities and gradually increased our contract purchases and the frequency and amount of our term securitizations. Our recent history of term securitizations is summarized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320" w:type="dxa"/>
            <w:vAlign w:val="bottom"/>
            <w:gridSpan w:val="4"/>
          </w:tcPr>
          <w:p>
            <w:pPr>
              <w:ind w:left="180"/>
              <w:spacing w:after="0"/>
              <w:rPr>
                <w:sz w:val="20"/>
                <w:szCs w:val="20"/>
                <w:color w:val="auto"/>
              </w:rPr>
            </w:pPr>
            <w:r>
              <w:rPr>
                <w:rFonts w:ascii="Arial" w:cs="Arial" w:eastAsia="Arial" w:hAnsi="Arial"/>
                <w:sz w:val="18"/>
                <w:szCs w:val="18"/>
                <w:b w:val="1"/>
                <w:bCs w:val="1"/>
                <w:color w:val="auto"/>
              </w:rPr>
              <w:t>Recent Asset-Backed Term Securitizations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30"/>
        </w:trPr>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tcBorders>
              <w:bottom w:val="single" w:sz="8" w:color="auto"/>
            </w:tcBorders>
            <w:gridSpan w:val="2"/>
          </w:tcPr>
          <w:p>
            <w:pPr>
              <w:ind w:left="1720"/>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0" w:type="dxa"/>
            <w:vAlign w:val="bottom"/>
          </w:tcPr>
          <w:p>
            <w:pPr>
              <w:spacing w:after="0"/>
              <w:rPr>
                <w:sz w:val="20"/>
                <w:szCs w:val="20"/>
                <w:color w:val="auto"/>
              </w:rPr>
            </w:pPr>
          </w:p>
        </w:tc>
      </w:tr>
      <w:tr>
        <w:trPr>
          <w:trHeight w:val="191"/>
        </w:trPr>
        <w:tc>
          <w:tcPr>
            <w:tcW w:w="2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3"/>
              </w:rPr>
              <w:t>Amount of</w:t>
            </w:r>
          </w:p>
        </w:tc>
        <w:tc>
          <w:tcPr>
            <w:tcW w:w="2000" w:type="dxa"/>
            <w:vAlign w:val="bottom"/>
          </w:tcPr>
          <w:p>
            <w:pPr>
              <w:spacing w:after="0"/>
              <w:rPr>
                <w:sz w:val="16"/>
                <w:szCs w:val="16"/>
                <w:color w:val="auto"/>
              </w:rPr>
            </w:pPr>
          </w:p>
        </w:tc>
      </w:tr>
      <w:tr>
        <w:trPr>
          <w:trHeight w:val="216"/>
        </w:trPr>
        <w:tc>
          <w:tcPr>
            <w:tcW w:w="2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Term</w:t>
            </w:r>
          </w:p>
        </w:tc>
        <w:tc>
          <w:tcPr>
            <w:tcW w:w="200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p>
        </w:tc>
        <w:tc>
          <w:tcPr>
            <w:tcW w:w="1880" w:type="dxa"/>
            <w:vAlign w:val="bottom"/>
          </w:tcPr>
          <w:p>
            <w:pPr>
              <w:ind w:left="1080"/>
              <w:spacing w:after="0"/>
              <w:rPr>
                <w:sz w:val="20"/>
                <w:szCs w:val="20"/>
                <w:color w:val="auto"/>
              </w:rPr>
            </w:pPr>
            <w:r>
              <w:rPr>
                <w:rFonts w:ascii="Arial" w:cs="Arial" w:eastAsia="Arial" w:hAnsi="Arial"/>
                <w:sz w:val="18"/>
                <w:szCs w:val="18"/>
                <w:b w:val="1"/>
                <w:bCs w:val="1"/>
                <w:color w:val="auto"/>
              </w:rPr>
              <w:t>Period</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gridSpan w:val="2"/>
          </w:tcPr>
          <w:p>
            <w:pPr>
              <w:ind w:left="340"/>
              <w:spacing w:after="0"/>
              <w:rPr>
                <w:sz w:val="20"/>
                <w:szCs w:val="20"/>
                <w:color w:val="auto"/>
              </w:rPr>
            </w:pPr>
            <w:r>
              <w:rPr>
                <w:rFonts w:ascii="Arial" w:cs="Arial" w:eastAsia="Arial" w:hAnsi="Arial"/>
                <w:sz w:val="18"/>
                <w:szCs w:val="18"/>
                <w:b w:val="1"/>
                <w:bCs w:val="1"/>
                <w:color w:val="auto"/>
              </w:rPr>
              <w:t>Number of Term Securitizations</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Securitizations</w:t>
            </w:r>
          </w:p>
        </w:tc>
        <w:tc>
          <w:tcPr>
            <w:tcW w:w="2000" w:type="dxa"/>
            <w:vAlign w:val="bottom"/>
          </w:tcPr>
          <w:p>
            <w:pPr>
              <w:spacing w:after="0"/>
              <w:rPr>
                <w:sz w:val="20"/>
                <w:szCs w:val="20"/>
                <w:color w:val="auto"/>
              </w:rPr>
            </w:pPr>
          </w:p>
        </w:tc>
      </w:tr>
      <w:tr>
        <w:trPr>
          <w:trHeight w:val="210"/>
        </w:trPr>
        <w:tc>
          <w:tcPr>
            <w:tcW w:w="2000" w:type="dxa"/>
            <w:vAlign w:val="bottom"/>
          </w:tcPr>
          <w:p>
            <w:pPr>
              <w:spacing w:after="0"/>
              <w:rPr>
                <w:sz w:val="18"/>
                <w:szCs w:val="18"/>
                <w:color w:val="auto"/>
              </w:rPr>
            </w:pPr>
          </w:p>
        </w:tc>
        <w:tc>
          <w:tcPr>
            <w:tcW w:w="1880" w:type="dxa"/>
            <w:vAlign w:val="bottom"/>
            <w:tcBorders>
              <w:top w:val="single" w:sz="8" w:color="auto"/>
            </w:tcBorders>
            <w:shd w:val="clear" w:color="auto" w:fill="EEEEEE"/>
          </w:tcPr>
          <w:p>
            <w:pPr>
              <w:jc w:val="center"/>
              <w:ind w:left="1070"/>
              <w:spacing w:after="0"/>
              <w:rPr>
                <w:sz w:val="20"/>
                <w:szCs w:val="20"/>
                <w:color w:val="auto"/>
              </w:rPr>
            </w:pPr>
            <w:r>
              <w:rPr>
                <w:rFonts w:ascii="Arial" w:cs="Arial" w:eastAsia="Arial" w:hAnsi="Arial"/>
                <w:sz w:val="18"/>
                <w:szCs w:val="18"/>
                <w:color w:val="auto"/>
                <w:w w:val="89"/>
              </w:rPr>
              <w:t>2006</w:t>
            </w:r>
          </w:p>
        </w:tc>
        <w:tc>
          <w:tcPr>
            <w:tcW w:w="78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3140" w:type="dxa"/>
            <w:vAlign w:val="bottom"/>
            <w:tcBorders>
              <w:top w:val="single" w:sz="8" w:color="auto"/>
            </w:tcBorders>
            <w:shd w:val="clear" w:color="auto" w:fill="EEEEEE"/>
          </w:tcPr>
          <w:p>
            <w:pPr>
              <w:jc w:val="right"/>
              <w:ind w:right="370"/>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957,681</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880" w:type="dxa"/>
            <w:vAlign w:val="bottom"/>
          </w:tcPr>
          <w:p>
            <w:pPr>
              <w:jc w:val="center"/>
              <w:ind w:left="1070"/>
              <w:spacing w:after="0"/>
              <w:rPr>
                <w:sz w:val="20"/>
                <w:szCs w:val="20"/>
                <w:color w:val="auto"/>
              </w:rPr>
            </w:pPr>
            <w:r>
              <w:rPr>
                <w:rFonts w:ascii="Arial" w:cs="Arial" w:eastAsia="Arial" w:hAnsi="Arial"/>
                <w:sz w:val="18"/>
                <w:szCs w:val="18"/>
                <w:color w:val="auto"/>
                <w:w w:val="89"/>
              </w:rPr>
              <w:t>2007</w:t>
            </w:r>
          </w:p>
        </w:tc>
        <w:tc>
          <w:tcPr>
            <w:tcW w:w="4120" w:type="dxa"/>
            <w:vAlign w:val="bottom"/>
            <w:gridSpan w:val="3"/>
          </w:tcPr>
          <w:p>
            <w:pPr>
              <w:jc w:val="right"/>
              <w:ind w:right="37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1,118,097</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880" w:type="dxa"/>
            <w:vAlign w:val="bottom"/>
            <w:shd w:val="clear" w:color="auto" w:fill="EEEEEE"/>
          </w:tcPr>
          <w:p>
            <w:pPr>
              <w:jc w:val="center"/>
              <w:ind w:left="1070"/>
              <w:spacing w:after="0"/>
              <w:rPr>
                <w:sz w:val="20"/>
                <w:szCs w:val="20"/>
                <w:color w:val="auto"/>
              </w:rPr>
            </w:pPr>
            <w:r>
              <w:rPr>
                <w:rFonts w:ascii="Arial" w:cs="Arial" w:eastAsia="Arial" w:hAnsi="Arial"/>
                <w:sz w:val="18"/>
                <w:szCs w:val="18"/>
                <w:color w:val="333333"/>
                <w:w w:val="89"/>
              </w:rPr>
              <w:t>2008</w:t>
            </w:r>
          </w:p>
        </w:tc>
        <w:tc>
          <w:tcPr>
            <w:tcW w:w="4120" w:type="dxa"/>
            <w:vAlign w:val="bottom"/>
            <w:gridSpan w:val="3"/>
            <w:shd w:val="clear" w:color="auto" w:fill="EEEEEE"/>
          </w:tcPr>
          <w:p>
            <w:pPr>
              <w:jc w:val="right"/>
              <w:ind w:right="370"/>
              <w:spacing w:after="0"/>
              <w:rPr>
                <w:sz w:val="20"/>
                <w:szCs w:val="20"/>
                <w:color w:val="auto"/>
              </w:rPr>
            </w:pPr>
            <w:r>
              <w:rPr>
                <w:rFonts w:ascii="Arial" w:cs="Arial" w:eastAsia="Arial" w:hAnsi="Arial"/>
                <w:sz w:val="18"/>
                <w:szCs w:val="18"/>
                <w:color w:val="auto"/>
              </w:rPr>
              <w:t>2</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509,022</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880" w:type="dxa"/>
            <w:vAlign w:val="bottom"/>
          </w:tcPr>
          <w:p>
            <w:pPr>
              <w:jc w:val="center"/>
              <w:ind w:left="1070"/>
              <w:spacing w:after="0"/>
              <w:rPr>
                <w:sz w:val="20"/>
                <w:szCs w:val="20"/>
                <w:color w:val="auto"/>
              </w:rPr>
            </w:pPr>
            <w:r>
              <w:rPr>
                <w:rFonts w:ascii="Arial" w:cs="Arial" w:eastAsia="Arial" w:hAnsi="Arial"/>
                <w:sz w:val="18"/>
                <w:szCs w:val="18"/>
                <w:color w:val="333333"/>
                <w:w w:val="89"/>
              </w:rPr>
              <w:t>2009</w:t>
            </w:r>
          </w:p>
        </w:tc>
        <w:tc>
          <w:tcPr>
            <w:tcW w:w="4120" w:type="dxa"/>
            <w:vAlign w:val="bottom"/>
            <w:gridSpan w:val="3"/>
          </w:tcPr>
          <w:p>
            <w:pPr>
              <w:jc w:val="right"/>
              <w:ind w:right="37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880" w:type="dxa"/>
            <w:vAlign w:val="bottom"/>
            <w:shd w:val="clear" w:color="auto" w:fill="EEEEEE"/>
          </w:tcPr>
          <w:p>
            <w:pPr>
              <w:jc w:val="center"/>
              <w:ind w:left="1070"/>
              <w:spacing w:after="0"/>
              <w:rPr>
                <w:sz w:val="20"/>
                <w:szCs w:val="20"/>
                <w:color w:val="auto"/>
              </w:rPr>
            </w:pPr>
            <w:r>
              <w:rPr>
                <w:rFonts w:ascii="Arial" w:cs="Arial" w:eastAsia="Arial" w:hAnsi="Arial"/>
                <w:sz w:val="18"/>
                <w:szCs w:val="18"/>
                <w:color w:val="333333"/>
                <w:w w:val="89"/>
              </w:rPr>
              <w:t>2010</w:t>
            </w:r>
          </w:p>
        </w:tc>
        <w:tc>
          <w:tcPr>
            <w:tcW w:w="4120" w:type="dxa"/>
            <w:vAlign w:val="bottom"/>
            <w:gridSpan w:val="3"/>
            <w:shd w:val="clear" w:color="auto" w:fill="EEEEEE"/>
          </w:tcPr>
          <w:p>
            <w:pPr>
              <w:jc w:val="right"/>
              <w:ind w:right="370"/>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103,772</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880" w:type="dxa"/>
            <w:vAlign w:val="bottom"/>
          </w:tcPr>
          <w:p>
            <w:pPr>
              <w:jc w:val="center"/>
              <w:ind w:left="1070"/>
              <w:spacing w:after="0"/>
              <w:rPr>
                <w:sz w:val="20"/>
                <w:szCs w:val="20"/>
                <w:color w:val="auto"/>
              </w:rPr>
            </w:pPr>
            <w:r>
              <w:rPr>
                <w:rFonts w:ascii="Arial" w:cs="Arial" w:eastAsia="Arial" w:hAnsi="Arial"/>
                <w:sz w:val="18"/>
                <w:szCs w:val="18"/>
                <w:color w:val="333333"/>
                <w:w w:val="89"/>
              </w:rPr>
              <w:t>2011</w:t>
            </w:r>
          </w:p>
        </w:tc>
        <w:tc>
          <w:tcPr>
            <w:tcW w:w="4120" w:type="dxa"/>
            <w:vAlign w:val="bottom"/>
            <w:gridSpan w:val="3"/>
          </w:tcPr>
          <w:p>
            <w:pPr>
              <w:jc w:val="right"/>
              <w:ind w:right="37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335,593</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880" w:type="dxa"/>
            <w:vAlign w:val="bottom"/>
            <w:shd w:val="clear" w:color="auto" w:fill="EEEEEE"/>
          </w:tcPr>
          <w:p>
            <w:pPr>
              <w:jc w:val="center"/>
              <w:ind w:left="1070"/>
              <w:spacing w:after="0"/>
              <w:rPr>
                <w:sz w:val="20"/>
                <w:szCs w:val="20"/>
                <w:color w:val="auto"/>
              </w:rPr>
            </w:pPr>
            <w:r>
              <w:rPr>
                <w:rFonts w:ascii="Arial" w:cs="Arial" w:eastAsia="Arial" w:hAnsi="Arial"/>
                <w:sz w:val="18"/>
                <w:szCs w:val="18"/>
                <w:color w:val="333333"/>
                <w:w w:val="89"/>
              </w:rPr>
              <w:t>2012</w:t>
            </w:r>
          </w:p>
        </w:tc>
        <w:tc>
          <w:tcPr>
            <w:tcW w:w="4120" w:type="dxa"/>
            <w:vAlign w:val="bottom"/>
            <w:gridSpan w:val="3"/>
            <w:shd w:val="clear" w:color="auto" w:fill="EEEEEE"/>
          </w:tcPr>
          <w:p>
            <w:pPr>
              <w:jc w:val="right"/>
              <w:ind w:right="370"/>
              <w:spacing w:after="0"/>
              <w:rPr>
                <w:sz w:val="20"/>
                <w:szCs w:val="20"/>
                <w:color w:val="auto"/>
              </w:rPr>
            </w:pPr>
            <w:r>
              <w:rPr>
                <w:rFonts w:ascii="Arial" w:cs="Arial" w:eastAsia="Arial" w:hAnsi="Arial"/>
                <w:sz w:val="18"/>
                <w:szCs w:val="18"/>
                <w:color w:val="auto"/>
              </w:rPr>
              <w:t>4</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603,500</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880" w:type="dxa"/>
            <w:vAlign w:val="bottom"/>
          </w:tcPr>
          <w:p>
            <w:pPr>
              <w:jc w:val="center"/>
              <w:ind w:left="1070"/>
              <w:spacing w:after="0"/>
              <w:rPr>
                <w:sz w:val="20"/>
                <w:szCs w:val="20"/>
                <w:color w:val="auto"/>
              </w:rPr>
            </w:pPr>
            <w:r>
              <w:rPr>
                <w:rFonts w:ascii="Arial" w:cs="Arial" w:eastAsia="Arial" w:hAnsi="Arial"/>
                <w:sz w:val="18"/>
                <w:szCs w:val="18"/>
                <w:color w:val="333333"/>
                <w:w w:val="89"/>
              </w:rPr>
              <w:t>2013</w:t>
            </w:r>
          </w:p>
        </w:tc>
        <w:tc>
          <w:tcPr>
            <w:tcW w:w="4120" w:type="dxa"/>
            <w:vAlign w:val="bottom"/>
            <w:gridSpan w:val="3"/>
          </w:tcPr>
          <w:p>
            <w:pPr>
              <w:jc w:val="right"/>
              <w:ind w:right="37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778,000</w:t>
            </w:r>
          </w:p>
        </w:tc>
        <w:tc>
          <w:tcPr>
            <w:tcW w:w="2000" w:type="dxa"/>
            <w:vAlign w:val="bottom"/>
          </w:tcPr>
          <w:p>
            <w:pPr>
              <w:spacing w:after="0"/>
              <w:rPr>
                <w:sz w:val="18"/>
                <w:szCs w:val="18"/>
                <w:color w:val="auto"/>
              </w:rPr>
            </w:pPr>
          </w:p>
        </w:tc>
      </w:tr>
      <w:tr>
        <w:trPr>
          <w:trHeight w:val="202"/>
        </w:trPr>
        <w:tc>
          <w:tcPr>
            <w:tcW w:w="2000" w:type="dxa"/>
            <w:vAlign w:val="bottom"/>
          </w:tcPr>
          <w:p>
            <w:pPr>
              <w:spacing w:after="0"/>
              <w:rPr>
                <w:sz w:val="17"/>
                <w:szCs w:val="17"/>
                <w:color w:val="auto"/>
              </w:rPr>
            </w:pPr>
          </w:p>
        </w:tc>
        <w:tc>
          <w:tcPr>
            <w:tcW w:w="6200" w:type="dxa"/>
            <w:vAlign w:val="bottom"/>
            <w:gridSpan w:val="5"/>
            <w:shd w:val="clear" w:color="auto" w:fill="EEEEEE"/>
          </w:tcPr>
          <w:p>
            <w:pPr>
              <w:jc w:val="center"/>
              <w:ind w:right="3160"/>
              <w:spacing w:after="0" w:line="201" w:lineRule="exact"/>
              <w:rPr>
                <w:sz w:val="20"/>
                <w:szCs w:val="20"/>
                <w:color w:val="auto"/>
              </w:rPr>
            </w:pPr>
            <w:r>
              <w:rPr>
                <w:rFonts w:ascii="Arial" w:cs="Arial" w:eastAsia="Arial" w:hAnsi="Arial"/>
                <w:sz w:val="18"/>
                <w:szCs w:val="18"/>
                <w:color w:val="auto"/>
                <w:w w:val="88"/>
              </w:rPr>
              <w:t>Six months ended June 30,</w:t>
            </w:r>
          </w:p>
        </w:tc>
        <w:tc>
          <w:tcPr>
            <w:tcW w:w="140" w:type="dxa"/>
            <w:vAlign w:val="bottom"/>
            <w:shd w:val="clear" w:color="auto" w:fill="EEEEEE"/>
          </w:tcPr>
          <w:p>
            <w:pPr>
              <w:spacing w:after="0"/>
              <w:rPr>
                <w:sz w:val="17"/>
                <w:szCs w:val="17"/>
                <w:color w:val="auto"/>
              </w:rPr>
            </w:pPr>
          </w:p>
        </w:tc>
        <w:tc>
          <w:tcPr>
            <w:tcW w:w="1080" w:type="dxa"/>
            <w:vAlign w:val="bottom"/>
            <w:tcBorders>
              <w:right w:val="single" w:sz="8" w:color="EEEEEE"/>
            </w:tcBorders>
            <w:shd w:val="clear" w:color="auto" w:fill="EEEEEE"/>
          </w:tcPr>
          <w:p>
            <w:pPr>
              <w:spacing w:after="0"/>
              <w:rPr>
                <w:sz w:val="17"/>
                <w:szCs w:val="17"/>
                <w:color w:val="auto"/>
              </w:rPr>
            </w:pPr>
          </w:p>
        </w:tc>
        <w:tc>
          <w:tcPr>
            <w:tcW w:w="2000" w:type="dxa"/>
            <w:vAlign w:val="bottom"/>
          </w:tcPr>
          <w:p>
            <w:pPr>
              <w:spacing w:after="0"/>
              <w:rPr>
                <w:sz w:val="17"/>
                <w:szCs w:val="17"/>
                <w:color w:val="auto"/>
              </w:rPr>
            </w:pPr>
          </w:p>
        </w:tc>
      </w:tr>
      <w:tr>
        <w:trPr>
          <w:trHeight w:val="230"/>
        </w:trPr>
        <w:tc>
          <w:tcPr>
            <w:tcW w:w="2000" w:type="dxa"/>
            <w:vAlign w:val="bottom"/>
          </w:tcPr>
          <w:p>
            <w:pPr>
              <w:spacing w:after="0"/>
              <w:rPr>
                <w:sz w:val="20"/>
                <w:szCs w:val="20"/>
                <w:color w:val="auto"/>
              </w:rPr>
            </w:pPr>
          </w:p>
        </w:tc>
        <w:tc>
          <w:tcPr>
            <w:tcW w:w="1880" w:type="dxa"/>
            <w:vAlign w:val="bottom"/>
            <w:shd w:val="clear" w:color="auto" w:fill="EEEEEE"/>
          </w:tcPr>
          <w:p>
            <w:pPr>
              <w:jc w:val="center"/>
              <w:ind w:left="1070"/>
              <w:spacing w:after="0"/>
              <w:rPr>
                <w:sz w:val="20"/>
                <w:szCs w:val="20"/>
                <w:color w:val="auto"/>
              </w:rPr>
            </w:pPr>
            <w:r>
              <w:rPr>
                <w:rFonts w:ascii="Arial" w:cs="Arial" w:eastAsia="Arial" w:hAnsi="Arial"/>
                <w:sz w:val="18"/>
                <w:szCs w:val="18"/>
                <w:color w:val="auto"/>
                <w:w w:val="89"/>
              </w:rPr>
              <w:t>2014</w:t>
            </w:r>
          </w:p>
        </w:tc>
        <w:tc>
          <w:tcPr>
            <w:tcW w:w="4120" w:type="dxa"/>
            <w:vAlign w:val="bottom"/>
            <w:gridSpan w:val="3"/>
            <w:shd w:val="clear" w:color="auto" w:fill="EEEEEE"/>
          </w:tcPr>
          <w:p>
            <w:pPr>
              <w:jc w:val="right"/>
              <w:ind w:right="370"/>
              <w:spacing w:after="0"/>
              <w:rPr>
                <w:sz w:val="20"/>
                <w:szCs w:val="20"/>
                <w:color w:val="auto"/>
              </w:rPr>
            </w:pPr>
            <w:r>
              <w:rPr>
                <w:rFonts w:ascii="Arial" w:cs="Arial" w:eastAsia="Arial" w:hAnsi="Arial"/>
                <w:sz w:val="18"/>
                <w:szCs w:val="18"/>
                <w:color w:val="auto"/>
              </w:rPr>
              <w:t>2</w:t>
            </w:r>
          </w:p>
        </w:tc>
        <w:tc>
          <w:tcPr>
            <w:tcW w:w="2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382,500</w:t>
            </w:r>
          </w:p>
        </w:tc>
        <w:tc>
          <w:tcPr>
            <w:tcW w:w="2000" w:type="dxa"/>
            <w:vAlign w:val="bottom"/>
          </w:tcPr>
          <w:p>
            <w:pPr>
              <w:spacing w:after="0"/>
              <w:rPr>
                <w:sz w:val="20"/>
                <w:szCs w:val="20"/>
                <w:color w:val="auto"/>
              </w:rPr>
            </w:pPr>
          </w:p>
        </w:tc>
      </w:tr>
      <w:tr>
        <w:trPr>
          <w:trHeight w:val="648"/>
        </w:trPr>
        <w:tc>
          <w:tcPr>
            <w:tcW w:w="20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3"/>
          </w:tcPr>
          <w:p>
            <w:pPr>
              <w:jc w:val="right"/>
              <w:ind w:right="2110"/>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3" w:name="page24"/>
    <w:bookmarkEnd w:id="23"/>
    <w:p>
      <w:pPr>
        <w:jc w:val="both"/>
        <w:ind w:right="20" w:firstLine="648"/>
        <w:spacing w:after="0" w:line="264" w:lineRule="auto"/>
        <w:rPr>
          <w:sz w:val="20"/>
          <w:szCs w:val="20"/>
          <w:color w:val="auto"/>
        </w:rPr>
      </w:pPr>
      <w:r>
        <w:rPr>
          <w:rFonts w:ascii="Arial" w:cs="Arial" w:eastAsia="Arial" w:hAnsi="Arial"/>
          <w:sz w:val="18"/>
          <w:szCs w:val="18"/>
          <w:color w:val="auto"/>
        </w:rPr>
        <w:t>Our 2012 securitizations included $58.2 million in contracts that were repurchased in 2012 from securitizations closed in 2006 and 2007. Our 2013 securitizations included $7.4 million in contracts that were repurchased from a securitization closed in 2008. Since 2011 all of our securitizations have been structured as secured financings and none have utilized financial guarantees.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current short-term funding capacity is $200 million, comprising two credit facilities. The first $100 million credit facility was established in December 2010. This facility was renewed in March 2013, extending the revolving period to March 2015, and adding an amortization period through March 2017. Our second $100 million credit facility was established in May 2012. This facility was renewed in June 2013, extending the revolving period to June 2015, and adding an amortization period through June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June 30, 2014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June 30, 2014 with the three months ended June 30, 2013</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In the prior year three-month period ended June 30, 2013, we repurchased the outstanding Class D notes from our first 2008 securitization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 cash payment and a new note. We subsequently exercised our “clean-up call” option and repurchased the remaining collateral from the related securitization trust. The aggregate value of our consideration for the Class D notes was $10.9 million less than our carrying value of the Class D notes at the time of the repurchase. As a result of the repurchase of the Class D notes and the termination of the securitization trust, we realized a gain of $10.9 million, or 15.5% of our total revenues of $70.5 million for the three months ended June 30, 2013. The discussion of revenues below excludes the gain on the cancellation of debt for comparative purposes.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three months ended June 30, 2014, our revenues were $71.6 million, an increase of $12.1 million, or 20.3%, from the prior year revenue of $59.5 million. The primary reason for the increase in revenues is an increase in interest income. Interest income for the three months ended June 30, 2014 increased $12.4 million, or 22.3%, to $68.2 million from $55.8 million in the prior year. The primary reason for the increase in interest income is the increase in finance receivables held by consolidated subsidiaries, which increased from $1,052.8 million at June 30, 2013 to $1,369.6 million at June 30, 2014. The table below shows the average balances of our portfolio held by consolidated subsidiaries for the three months ended June 30, 2014 and 2013: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Average Balances for the Three Months</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left="1150"/>
              <w:spacing w:after="0"/>
              <w:rPr>
                <w:sz w:val="20"/>
                <w:szCs w:val="20"/>
                <w:color w:val="auto"/>
              </w:rPr>
            </w:pPr>
            <w:r>
              <w:rPr>
                <w:rFonts w:ascii="Arial" w:cs="Arial" w:eastAsia="Arial" w:hAnsi="Arial"/>
                <w:sz w:val="18"/>
                <w:szCs w:val="18"/>
                <w:b w:val="1"/>
                <w:bCs w:val="1"/>
                <w:color w:val="auto"/>
                <w:w w:val="90"/>
              </w:rPr>
              <w:t>Ended</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 2014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June 30, 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vMerge w:val="restart"/>
          </w:tcPr>
          <w:p>
            <w:pPr>
              <w:jc w:val="center"/>
              <w:ind w:left="2150"/>
              <w:spacing w:after="0"/>
              <w:rPr>
                <w:sz w:val="20"/>
                <w:szCs w:val="20"/>
                <w:color w:val="auto"/>
              </w:rPr>
            </w:pPr>
            <w:r>
              <w:rPr>
                <w:rFonts w:ascii="Arial" w:cs="Arial" w:eastAsia="Arial" w:hAnsi="Arial"/>
                <w:sz w:val="18"/>
                <w:szCs w:val="18"/>
                <w:b w:val="1"/>
                <w:bCs w:val="1"/>
                <w:color w:val="auto"/>
                <w:w w:val="88"/>
              </w:rPr>
              <w:t>Finance Receivables Owned by</w:t>
            </w:r>
          </w:p>
        </w:tc>
        <w:tc>
          <w:tcPr>
            <w:tcW w:w="24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0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80" w:type="dxa"/>
            <w:vAlign w:val="bottom"/>
            <w:gridSpan w:val="5"/>
          </w:tcPr>
          <w:p>
            <w:pPr>
              <w:jc w:val="center"/>
              <w:ind w:right="70"/>
              <w:spacing w:after="0" w:line="191" w:lineRule="exact"/>
              <w:rPr>
                <w:sz w:val="20"/>
                <w:szCs w:val="20"/>
                <w:color w:val="auto"/>
              </w:rPr>
            </w:pPr>
            <w:r>
              <w:rPr>
                <w:rFonts w:ascii="Arial" w:cs="Arial" w:eastAsia="Arial" w:hAnsi="Arial"/>
                <w:sz w:val="18"/>
                <w:szCs w:val="18"/>
                <w:b w:val="1"/>
                <w:bCs w:val="1"/>
                <w:color w:val="auto"/>
                <w:w w:val="91"/>
              </w:rPr>
              <w:t>($ 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Consolidated Subsidiaries</w:t>
            </w: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CPS Originated Receivables</w:t>
            </w:r>
          </w:p>
        </w:tc>
        <w:tc>
          <w:tcPr>
            <w:tcW w:w="264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1,333.6</w:t>
            </w:r>
          </w:p>
        </w:tc>
        <w:tc>
          <w:tcPr>
            <w:tcW w:w="18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30"/>
        </w:trPr>
        <w:tc>
          <w:tcPr>
            <w:tcW w:w="5300" w:type="dxa"/>
            <w:vAlign w:val="bottom"/>
          </w:tcPr>
          <w:p>
            <w:pPr>
              <w:ind w:left="180"/>
              <w:spacing w:after="0"/>
              <w:rPr>
                <w:sz w:val="20"/>
                <w:szCs w:val="20"/>
                <w:color w:val="auto"/>
              </w:rPr>
            </w:pPr>
            <w:r>
              <w:rPr>
                <w:rFonts w:ascii="Arial" w:cs="Arial" w:eastAsia="Arial" w:hAnsi="Arial"/>
                <w:sz w:val="18"/>
                <w:szCs w:val="18"/>
                <w:color w:val="auto"/>
              </w:rPr>
              <w:t>Fireside</w:t>
            </w: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53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4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1,340.3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1,018.1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1890"/>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98" w:right="239" w:bottom="1440" w:gutter="0" w:footer="0" w:header="0"/>
        </w:sectPr>
      </w:pPr>
    </w:p>
    <w:bookmarkStart w:id="24" w:name="page25"/>
    <w:bookmarkEnd w:id="24"/>
    <w:p>
      <w:pPr>
        <w:jc w:val="both"/>
        <w:ind w:firstLine="648"/>
        <w:spacing w:after="0" w:line="279" w:lineRule="auto"/>
        <w:rPr>
          <w:sz w:val="20"/>
          <w:szCs w:val="20"/>
          <w:color w:val="auto"/>
        </w:rPr>
      </w:pPr>
      <w:r>
        <w:rPr>
          <w:rFonts w:ascii="Arial" w:cs="Arial" w:eastAsia="Arial" w:hAnsi="Arial"/>
          <w:sz w:val="17"/>
          <w:szCs w:val="17"/>
          <w:color w:val="auto"/>
        </w:rPr>
        <w:t>Servicing fees totaling $367,000 for the three months ended June 30, 2014 decreased $509,000, or 58.1%, from $876,000 in the prior year. We earn base servicing fees on three portfolios and incentive servicing fees on one of those three portfolios. All three of these portfolios are decreasing in size as we receive customer payments and, consequently, base servicing and incentive servicing fees are decreasing also. As of June 30, 2014 and 2013, our managed portfolio owned by consolidated vs. non-consolidated subsidiaries and other third parties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w w:val="97"/>
              </w:rPr>
              <w:t>June 30, 2014</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7"/>
              </w:rPr>
              <w:t>June 30, 2013</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Total Managed Portfolio</w:t>
            </w: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CPS Originated Receivables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1,363.9</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99.3%</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1,021.7</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Fireside</w:t>
            </w: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5.7</w:t>
            </w: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31.1</w:t>
            </w:r>
          </w:p>
        </w:tc>
        <w:tc>
          <w:tcPr>
            <w:tcW w:w="4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5.8</w:t>
            </w:r>
          </w:p>
        </w:tc>
        <w:tc>
          <w:tcPr>
            <w:tcW w:w="46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0.5%</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1,373.6</w:t>
            </w: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1,067.4</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June 30, 2014, we were generating income and fees on a managed portfolio with an outstanding principal balance of $1,373.6 million (this amount includes $1.4 million of automobile contracts on which we earn servicing fees and own a residual interest and also includes another $2.6 million of automobile contracts on which we earn base and incentive servicing fees), compared to a managed portfolio with an outstanding principal balance of $1,067.4 million as of June 30, 2013. At June 30, 2014 and 2013,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w w:val="97"/>
              </w:rPr>
              <w:t>June 30, 2014</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7"/>
              </w:rPr>
              <w:t>June 30, 2013</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1,365.3</w:t>
            </w: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99.4%</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1,030.5</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96.5%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Fireside</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 Party Portfolio</w:t>
            </w: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5.8</w:t>
            </w:r>
          </w:p>
        </w:tc>
        <w:tc>
          <w:tcPr>
            <w:tcW w:w="46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0.5%</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1,373.6</w:t>
            </w: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1,067.4</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income increased by $144,000, or 5.0%, to $3.0 million in the three months ended June 30, 2014 from $2.9 million during the prior year. The increase is comprised of an increase of $205,000 in fees associated with direct mail and other related products and services that we offer to our dealers and an increase of $129,000 in sales tax refunds. These increases were partially offset by decreases of $164,000 in the fair value of the receivables and debt associated with the Fireside portfolio and a decrease of $28,000 in payments from third-party providers of convenience fees paid by our customers for web based and other electronic payments.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prior year three-month period ended June 30, 2013, we recognized $9.7 million in contingent liability expenses to either record or increase the amounts we believe we may incur related to various pending litigation. The amount was allocated in part to a long running case we refer to as the Stanwich litigation, and also to more recent matters including two California class action suits where we are the defendant, and a governmental inquiry, in which the United States Federal Trade Commission (“FTC”) informally proposed that the we refrain from certain allegedly unfair trade practices, and make restitutionary payments into a consumer relief fund. The discussion of operating expenses below excludes the $9.7 million in contingent liability expense for comparative purposes.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operating expenses were $59.3 million for the three months ended June 30, 2014, compared to $52.3 million for the prior year, an increase of $7.0 million, or 13.3%. The increase is primarily due to costs associated with the increase in the amount of new contracts we purchased, the resulting increase in our consolidated portfolio and associated servicing costs, and the related increase in our provision for credit losses. Increases in core operating expenses and provision for credit losses were partially offset by decreases in interest expense.</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Employee costs increased by $247,000 or 2.1%, to $11.8 million during the three months ended June 30, 2014, representing 19.9% of total operating expenses, from $11.5 million for the prior year, or 22.0% of total operating expenses. Since 2010, we have added employees in our Originations and Marketing departments in conjunction with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three-month periods ended, June 30, 2014 and 2013: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June 30, 2014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211.4</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203.8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13,132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12,819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1,373.6</w:t>
            </w:r>
          </w:p>
        </w:tc>
        <w:tc>
          <w:tcPr>
            <w:tcW w:w="18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1,067.4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107,670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93,332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80" w:type="dxa"/>
            <w:vAlign w:val="bottom"/>
            <w:shd w:val="clear" w:color="auto" w:fill="EEEEEE"/>
          </w:tcPr>
          <w:p>
            <w:pPr>
              <w:spacing w:after="0"/>
              <w:rPr>
                <w:sz w:val="19"/>
                <w:szCs w:val="19"/>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$5.1 million, an increase of $557,000, or 12.3%, compared to the previous year and represented 8.6% of total operating expenses.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three months ended June 30, 2014 decreased by $2.7 million to $11.9 million, or 18.2%, compared to $14.6 million in the previous year.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on the Fireside portfolio credit facility decreased by $823,000 compared to the prior year period as the Fireside portfolio and the related debt have paid down to significantly lower levels over the last year.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on securitization trust debt increased by $1.2 million, or 14.0%, for the three months ended June 30, 2014 compared to the prior year. The average balance of securitization trust debt increased 39.6% to $1,231.5 million at June 30, 2014 compared to $882.5 million at June 30, 2013. However, the blended interest rates on term securitizations completed since 2013 are significantly less than the blended interest rates on securitization trust debt incurred prior to 2013. As a result, the cost of securitization debt during the three month period ended June 30, 2014 was 3.0%, compared to 3.7% in the prior year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Interest expense on senior secured debt was zero in the three months ended June 30, 2014 compared to $2.1 million in the prior year period. This was due to the repayment in full of senior secured debt on March 31, 2014. Interest expense on subordinated renewable notes decreased by $227,000. The decrease is due to a decrease in the average balance from $23.0 million to $18.1 million and a decrease in the average cost from 14.6% to 13.5%. Interest expense on residual interest financing decreased $590,000 in the three months ended June 30, 2014 compared to the prior year. The decrease is due to repayments on the $20.0 million facility established in April 2013 and the September 2013 repayment in full of $13.8 million outstanding under the residual facility established in 2007.</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Interest expense on warehouse debt decreased by $58,000 for the three months ended June 30, 2014 compared to the prior year. Although we increased our contract purchases to $211.4 million for the three months ended June 30, 2014 compared to $203.8 million in the prior period, recently we have relied less on warehouse credit facilities and more on unrestricted cash balances to fund receivables prior to securitization. In the future we may incur greater warehouse debt interest expense as a result using $39.2 million of unrestricted cash to repay our senior secured debt during the first quarter of 2014.</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three-month periods ended June 30, 2014 and 2013: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w w:val="97"/>
              </w:rPr>
              <w:t>Three Months Ended June 30,</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6"/>
          </w:tcPr>
          <w:p>
            <w:pPr>
              <w:ind w:left="30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Annualized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Balance(1)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Interest</w:t>
            </w:r>
          </w:p>
        </w:tc>
        <w:tc>
          <w:tcPr>
            <w:tcW w:w="18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Yield/Rate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Balance(1)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Borders>
              <w:top w:val="single" w:sz="8" w:color="EEEEEE"/>
            </w:tcBorders>
            <w:shd w:val="clear" w:color="auto" w:fill="EEEEEE"/>
          </w:tcPr>
          <w:p>
            <w:pPr>
              <w:spacing w:after="0"/>
              <w:rPr>
                <w:sz w:val="14"/>
                <w:szCs w:val="14"/>
                <w:color w:val="auto"/>
              </w:rPr>
            </w:pPr>
          </w:p>
        </w:tc>
        <w:tc>
          <w:tcPr>
            <w:tcW w:w="60" w:type="dxa"/>
            <w:vAlign w:val="bottom"/>
            <w:tcBorders>
              <w:top w:val="single" w:sz="8" w:color="EEEEEE"/>
            </w:tcBorders>
            <w:shd w:val="clear" w:color="auto" w:fill="EEEEEE"/>
          </w:tcPr>
          <w:p>
            <w:pPr>
              <w:spacing w:after="0"/>
              <w:rPr>
                <w:sz w:val="14"/>
                <w:szCs w:val="14"/>
                <w:color w:val="auto"/>
              </w:rPr>
            </w:pPr>
          </w:p>
        </w:tc>
        <w:tc>
          <w:tcPr>
            <w:tcW w:w="2720" w:type="dxa"/>
            <w:vAlign w:val="bottom"/>
            <w:tcBorders>
              <w:top w:val="single" w:sz="8" w:color="EEEEEE"/>
            </w:tcBorders>
            <w:gridSpan w:val="3"/>
            <w:shd w:val="clear" w:color="auto" w:fill="EEEEEE"/>
          </w:tcPr>
          <w:p>
            <w:pPr>
              <w:spacing w:after="0" w:line="170" w:lineRule="exact"/>
              <w:rPr>
                <w:sz w:val="20"/>
                <w:szCs w:val="20"/>
                <w:color w:val="auto"/>
              </w:rPr>
            </w:pPr>
            <w:r>
              <w:rPr>
                <w:rFonts w:ascii="Arial" w:cs="Arial" w:eastAsia="Arial" w:hAnsi="Arial"/>
                <w:sz w:val="18"/>
                <w:szCs w:val="18"/>
                <w:b w:val="1"/>
                <w:bCs w:val="1"/>
                <w:color w:val="auto"/>
              </w:rPr>
              <w:t>Interest Earning Assets</w:t>
            </w:r>
          </w:p>
        </w:tc>
        <w:tc>
          <w:tcPr>
            <w:tcW w:w="100" w:type="dxa"/>
            <w:vAlign w:val="bottom"/>
            <w:tcBorders>
              <w:top w:val="single" w:sz="8" w:color="auto"/>
            </w:tcBorders>
            <w:shd w:val="clear" w:color="auto" w:fill="EEEEEE"/>
          </w:tcPr>
          <w:p>
            <w:pPr>
              <w:spacing w:after="0"/>
              <w:rPr>
                <w:sz w:val="14"/>
                <w:szCs w:val="14"/>
                <w:color w:val="auto"/>
              </w:rPr>
            </w:pPr>
          </w:p>
        </w:tc>
        <w:tc>
          <w:tcPr>
            <w:tcW w:w="940" w:type="dxa"/>
            <w:vAlign w:val="bottom"/>
            <w:tcBorders>
              <w:top w:val="single" w:sz="8" w:color="auto"/>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auto"/>
            </w:tcBorders>
            <w:shd w:val="clear" w:color="auto" w:fill="EEEEEE"/>
          </w:tcPr>
          <w:p>
            <w:pPr>
              <w:spacing w:after="0"/>
              <w:rPr>
                <w:sz w:val="14"/>
                <w:szCs w:val="14"/>
                <w:color w:val="auto"/>
              </w:rPr>
            </w:pPr>
          </w:p>
        </w:tc>
        <w:tc>
          <w:tcPr>
            <w:tcW w:w="880" w:type="dxa"/>
            <w:vAlign w:val="bottom"/>
            <w:tcBorders>
              <w:top w:val="single" w:sz="8" w:color="auto"/>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040" w:type="dxa"/>
            <w:vAlign w:val="bottom"/>
            <w:tcBorders>
              <w:top w:val="single" w:sz="8" w:color="auto"/>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80" w:type="dxa"/>
            <w:vAlign w:val="bottom"/>
            <w:tcBorders>
              <w:top w:val="single" w:sz="8" w:color="auto"/>
            </w:tcBorders>
            <w:shd w:val="clear" w:color="auto" w:fill="EEEEEE"/>
          </w:tcPr>
          <w:p>
            <w:pPr>
              <w:spacing w:after="0"/>
              <w:rPr>
                <w:sz w:val="14"/>
                <w:szCs w:val="14"/>
                <w:color w:val="auto"/>
              </w:rPr>
            </w:pPr>
          </w:p>
        </w:tc>
        <w:tc>
          <w:tcPr>
            <w:tcW w:w="940" w:type="dxa"/>
            <w:vAlign w:val="bottom"/>
            <w:tcBorders>
              <w:top w:val="single" w:sz="8" w:color="auto"/>
            </w:tcBorders>
            <w:shd w:val="clear" w:color="auto" w:fill="EEEEEE"/>
          </w:tcPr>
          <w:p>
            <w:pPr>
              <w:spacing w:after="0"/>
              <w:rPr>
                <w:sz w:val="14"/>
                <w:szCs w:val="14"/>
                <w:color w:val="auto"/>
              </w:rPr>
            </w:pPr>
          </w:p>
        </w:tc>
        <w:tc>
          <w:tcPr>
            <w:tcW w:w="16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auto"/>
            </w:tcBorders>
            <w:shd w:val="clear" w:color="auto" w:fill="EEEEEE"/>
          </w:tcPr>
          <w:p>
            <w:pPr>
              <w:spacing w:after="0"/>
              <w:rPr>
                <w:sz w:val="14"/>
                <w:szCs w:val="14"/>
                <w:color w:val="auto"/>
              </w:rPr>
            </w:pPr>
          </w:p>
        </w:tc>
        <w:tc>
          <w:tcPr>
            <w:tcW w:w="8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1,303,900</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67,750</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20.8%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967,333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54,272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w w:val="99"/>
              </w:rPr>
              <w:t>Finance receivables measured at fair value</w:t>
            </w:r>
          </w:p>
        </w:tc>
        <w:tc>
          <w:tcPr>
            <w:tcW w:w="10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6,730</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471</w:t>
            </w:r>
          </w:p>
        </w:tc>
        <w:tc>
          <w:tcPr>
            <w:tcW w:w="140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34,741</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1,526</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Borders>
              <w:bottom w:val="single" w:sz="8" w:color="EEEEEE"/>
            </w:tcBorders>
          </w:tcPr>
          <w:p>
            <w:pPr>
              <w:spacing w:after="0"/>
              <w:rPr>
                <w:sz w:val="22"/>
                <w:szCs w:val="22"/>
                <w:color w:val="auto"/>
              </w:rPr>
            </w:pPr>
          </w:p>
        </w:tc>
        <w:tc>
          <w:tcPr>
            <w:tcW w:w="60" w:type="dxa"/>
            <w:vAlign w:val="bottom"/>
            <w:tcBorders>
              <w:bottom w:val="single" w:sz="8" w:color="EEEEEE"/>
            </w:tcBorders>
          </w:tcPr>
          <w:p>
            <w:pPr>
              <w:spacing w:after="0"/>
              <w:rPr>
                <w:sz w:val="22"/>
                <w:szCs w:val="22"/>
                <w:color w:val="auto"/>
              </w:rPr>
            </w:pPr>
          </w:p>
        </w:tc>
        <w:tc>
          <w:tcPr>
            <w:tcW w:w="1780" w:type="dxa"/>
            <w:vAlign w:val="bottom"/>
            <w:tcBorders>
              <w:bottom w:val="single" w:sz="8" w:color="EEEEEE"/>
            </w:tcBorders>
          </w:tcPr>
          <w:p>
            <w:pPr>
              <w:spacing w:after="0"/>
              <w:rPr>
                <w:sz w:val="22"/>
                <w:szCs w:val="22"/>
                <w:color w:val="auto"/>
              </w:rPr>
            </w:pPr>
          </w:p>
        </w:tc>
        <w:tc>
          <w:tcPr>
            <w:tcW w:w="240" w:type="dxa"/>
            <w:vAlign w:val="bottom"/>
            <w:tcBorders>
              <w:bottom w:val="single" w:sz="8" w:color="EEEEEE"/>
            </w:tcBorders>
          </w:tcPr>
          <w:p>
            <w:pPr>
              <w:spacing w:after="0"/>
              <w:rPr>
                <w:sz w:val="22"/>
                <w:szCs w:val="22"/>
                <w:color w:val="auto"/>
              </w:rPr>
            </w:pPr>
          </w:p>
        </w:tc>
        <w:tc>
          <w:tcPr>
            <w:tcW w:w="700" w:type="dxa"/>
            <w:vAlign w:val="bottom"/>
            <w:tcBorders>
              <w:bottom w:val="single" w:sz="8" w:color="EEEEEE"/>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1,310,630</w:t>
            </w:r>
          </w:p>
        </w:tc>
        <w:tc>
          <w:tcPr>
            <w:tcW w:w="18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060" w:type="dxa"/>
            <w:vAlign w:val="bottom"/>
            <w:tcBorders>
              <w:bottom w:val="single" w:sz="8" w:color="EEEEEE"/>
            </w:tcBorders>
            <w:gridSpan w:val="2"/>
          </w:tcPr>
          <w:p>
            <w:pPr>
              <w:jc w:val="right"/>
              <w:ind w:right="180"/>
              <w:spacing w:after="0"/>
              <w:rPr>
                <w:sz w:val="20"/>
                <w:szCs w:val="20"/>
                <w:color w:val="auto"/>
              </w:rPr>
            </w:pPr>
            <w:r>
              <w:rPr>
                <w:rFonts w:ascii="Arial" w:cs="Arial" w:eastAsia="Arial" w:hAnsi="Arial"/>
                <w:sz w:val="18"/>
                <w:szCs w:val="18"/>
                <w:color w:val="auto"/>
              </w:rPr>
              <w:t>68,221</w:t>
            </w:r>
          </w:p>
        </w:tc>
        <w:tc>
          <w:tcPr>
            <w:tcW w:w="1400" w:type="dxa"/>
            <w:vAlign w:val="bottom"/>
            <w:tcBorders>
              <w:bottom w:val="single" w:sz="8" w:color="EEEEEE"/>
            </w:tcBorders>
            <w:gridSpan w:val="3"/>
          </w:tcPr>
          <w:p>
            <w:pPr>
              <w:jc w:val="right"/>
              <w:ind w:right="180"/>
              <w:spacing w:after="0"/>
              <w:rPr>
                <w:sz w:val="20"/>
                <w:szCs w:val="20"/>
                <w:color w:val="auto"/>
              </w:rPr>
            </w:pPr>
            <w:r>
              <w:rPr>
                <w:rFonts w:ascii="Arial" w:cs="Arial" w:eastAsia="Arial" w:hAnsi="Arial"/>
                <w:sz w:val="18"/>
                <w:szCs w:val="18"/>
                <w:color w:val="auto"/>
              </w:rPr>
              <w:t>20.8%</w:t>
            </w:r>
          </w:p>
        </w:tc>
        <w:tc>
          <w:tcPr>
            <w:tcW w:w="180" w:type="dxa"/>
            <w:vAlign w:val="bottom"/>
            <w:tcBorders>
              <w:bottom w:val="single" w:sz="8" w:color="EEEEEE"/>
            </w:tcBorders>
            <w:vMerge w:val="continue"/>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1,002,073</w:t>
            </w: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1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55,798</w:t>
            </w:r>
          </w:p>
        </w:tc>
        <w:tc>
          <w:tcPr>
            <w:tcW w:w="112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7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8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Interest Bearing Liabilities</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 (3)</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43,812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1,239</w:t>
            </w:r>
          </w:p>
        </w:tc>
        <w:tc>
          <w:tcPr>
            <w:tcW w:w="140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11.3%</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41,192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1,297</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14,486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504</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33,773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1,094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rPr>
              <w:t>Debt secured by receivables measured at</w:t>
            </w:r>
          </w:p>
        </w:tc>
        <w:tc>
          <w:tcPr>
            <w:tcW w:w="1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5"/>
            <w:shd w:val="clear" w:color="auto" w:fill="EEEEEE"/>
          </w:tcPr>
          <w:p>
            <w:pPr>
              <w:ind w:left="160"/>
              <w:spacing w:after="0"/>
              <w:rPr>
                <w:sz w:val="20"/>
                <w:szCs w:val="20"/>
                <w:color w:val="auto"/>
              </w:rPr>
            </w:pPr>
            <w:r>
              <w:rPr>
                <w:rFonts w:ascii="Arial" w:cs="Arial" w:eastAsia="Arial" w:hAnsi="Arial"/>
                <w:sz w:val="18"/>
                <w:szCs w:val="18"/>
                <w:color w:val="auto"/>
              </w:rPr>
              <w:t>fair value</w:t>
            </w:r>
          </w:p>
        </w:tc>
        <w:tc>
          <w:tcPr>
            <w:tcW w:w="10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6,319</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204</w:t>
            </w:r>
          </w:p>
        </w:tc>
        <w:tc>
          <w:tcPr>
            <w:tcW w:w="140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29,977</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1,027</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1,231,507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9,381</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882,481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8,230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39,262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2,112</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18,142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613</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22,963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840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80" w:type="dxa"/>
            <w:vAlign w:val="bottom"/>
            <w:vMerge w:val="restart"/>
            <w:shd w:val="clear" w:color="auto" w:fill="EEEE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Borders>
              <w:bottom w:val="single" w:sz="8" w:color="EEEEEE"/>
            </w:tcBorders>
            <w:shd w:val="clear" w:color="auto" w:fill="EEEEEE"/>
          </w:tcPr>
          <w:p>
            <w:pPr>
              <w:spacing w:after="0"/>
              <w:rPr>
                <w:sz w:val="19"/>
                <w:szCs w:val="19"/>
                <w:color w:val="auto"/>
              </w:rPr>
            </w:pPr>
          </w:p>
        </w:tc>
        <w:tc>
          <w:tcPr>
            <w:tcW w:w="60" w:type="dxa"/>
            <w:vAlign w:val="bottom"/>
            <w:tcBorders>
              <w:bottom w:val="single" w:sz="8" w:color="EEEEEE"/>
            </w:tcBorders>
            <w:shd w:val="clear" w:color="auto" w:fill="EEEEEE"/>
          </w:tcPr>
          <w:p>
            <w:pPr>
              <w:spacing w:after="0"/>
              <w:rPr>
                <w:sz w:val="19"/>
                <w:szCs w:val="19"/>
                <w:color w:val="auto"/>
              </w:rPr>
            </w:pPr>
          </w:p>
        </w:tc>
        <w:tc>
          <w:tcPr>
            <w:tcW w:w="178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70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1,314,266</w:t>
            </w:r>
          </w:p>
        </w:tc>
        <w:tc>
          <w:tcPr>
            <w:tcW w:w="1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060" w:type="dxa"/>
            <w:vAlign w:val="bottom"/>
            <w:tcBorders>
              <w:bottom w:val="single" w:sz="8" w:color="EEEEEE"/>
            </w:tcBorders>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11,942</w:t>
            </w:r>
          </w:p>
        </w:tc>
        <w:tc>
          <w:tcPr>
            <w:tcW w:w="1400" w:type="dxa"/>
            <w:vAlign w:val="bottom"/>
            <w:tcBorders>
              <w:bottom w:val="single" w:sz="8" w:color="EEEEEE"/>
            </w:tcBorders>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EEEEEE"/>
            </w:tcBorders>
            <w:vMerge w:val="continue"/>
            <w:shd w:val="clear" w:color="auto" w:fill="EEEEEE"/>
          </w:tcPr>
          <w:p>
            <w:pPr>
              <w:spacing w:after="0"/>
              <w:rPr>
                <w:sz w:val="19"/>
                <w:szCs w:val="19"/>
                <w:color w:val="auto"/>
              </w:rPr>
            </w:pPr>
          </w:p>
        </w:tc>
        <w:tc>
          <w:tcPr>
            <w:tcW w:w="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1,049,648</w:t>
            </w: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180" w:type="dxa"/>
            <w:vAlign w:val="bottom"/>
            <w:tcBorders>
              <w:bottom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14,601</w:t>
            </w:r>
          </w:p>
        </w:tc>
        <w:tc>
          <w:tcPr>
            <w:tcW w:w="1120" w:type="dxa"/>
            <w:vAlign w:val="bottom"/>
            <w:tcBorders>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178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7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Borders>
              <w:bottom w:val="single" w:sz="8" w:color="EEEEEE"/>
            </w:tcBorders>
            <w:shd w:val="clear" w:color="auto" w:fill="EEEEEE"/>
          </w:tcPr>
          <w:p>
            <w:pPr>
              <w:spacing w:after="0"/>
              <w:rPr>
                <w:sz w:val="19"/>
                <w:szCs w:val="19"/>
                <w:color w:val="auto"/>
              </w:rPr>
            </w:pPr>
          </w:p>
        </w:tc>
        <w:tc>
          <w:tcPr>
            <w:tcW w:w="9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56,279</w:t>
            </w:r>
          </w:p>
        </w:tc>
        <w:tc>
          <w:tcPr>
            <w:tcW w:w="18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10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94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41,197</w:t>
            </w:r>
          </w:p>
        </w:tc>
        <w:tc>
          <w:tcPr>
            <w:tcW w:w="32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gridSpan w:val="6"/>
            <w:vMerge w:val="restart"/>
          </w:tcPr>
          <w:p>
            <w:pPr>
              <w:spacing w:after="0"/>
              <w:rPr>
                <w:sz w:val="20"/>
                <w:szCs w:val="20"/>
                <w:color w:val="auto"/>
              </w:rPr>
            </w:pPr>
            <w:r>
              <w:rPr>
                <w:rFonts w:ascii="Arial" w:cs="Arial" w:eastAsia="Arial" w:hAnsi="Arial"/>
                <w:sz w:val="18"/>
                <w:szCs w:val="18"/>
                <w:color w:val="auto"/>
              </w:rPr>
              <w:t>Net interest yield (4)</w:t>
            </w: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line="20" w:lineRule="exact"/>
              <w:rPr>
                <w:sz w:val="1"/>
                <w:szCs w:val="1"/>
                <w:color w:val="auto"/>
              </w:rPr>
            </w:pPr>
          </w:p>
        </w:tc>
      </w:tr>
      <w:tr>
        <w:trPr>
          <w:trHeight w:val="197"/>
        </w:trPr>
        <w:tc>
          <w:tcPr>
            <w:tcW w:w="344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rPr>
              <w:t>Ratio of average interest earning assets to</w:t>
            </w:r>
          </w:p>
        </w:tc>
        <w:tc>
          <w:tcPr>
            <w:tcW w:w="1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5"/>
            <w:shd w:val="clear" w:color="auto" w:fill="EEEEEE"/>
          </w:tcPr>
          <w:p>
            <w:pPr>
              <w:ind w:left="160"/>
              <w:spacing w:after="0"/>
              <w:rPr>
                <w:sz w:val="20"/>
                <w:szCs w:val="20"/>
                <w:color w:val="auto"/>
              </w:rPr>
            </w:pPr>
            <w:r>
              <w:rPr>
                <w:rFonts w:ascii="Arial" w:cs="Arial" w:eastAsia="Arial" w:hAnsi="Arial"/>
                <w:sz w:val="18"/>
                <w:szCs w:val="18"/>
                <w:color w:val="auto"/>
              </w:rPr>
              <w:t>average interest bearing liabilities</w:t>
            </w:r>
          </w:p>
        </w:tc>
        <w:tc>
          <w:tcPr>
            <w:tcW w:w="10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expense includes deferred financing costs and non-utilization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gridSpan w:val="8"/>
          </w:tcPr>
          <w:p>
            <w:pPr>
              <w:jc w:val="center"/>
              <w:ind w:left="930"/>
              <w:spacing w:after="0"/>
              <w:rPr>
                <w:sz w:val="20"/>
                <w:szCs w:val="20"/>
                <w:color w:val="auto"/>
              </w:rPr>
            </w:pPr>
            <w:r>
              <w:rPr>
                <w:rFonts w:ascii="Arial" w:cs="Arial" w:eastAsia="Arial" w:hAnsi="Arial"/>
                <w:sz w:val="18"/>
                <w:szCs w:val="18"/>
                <w:b w:val="1"/>
                <w:bCs w:val="1"/>
                <w:color w:val="auto"/>
                <w:w w:val="90"/>
              </w:rPr>
              <w:t>Three Months Ended June 30, 2014</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Compared to June 30, 2013</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680"/>
              <w:spacing w:after="0" w:line="205" w:lineRule="exact"/>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600"/>
              <w:spacing w:after="0" w:line="205" w:lineRule="exact"/>
              <w:rPr>
                <w:sz w:val="20"/>
                <w:szCs w:val="20"/>
                <w:color w:val="auto"/>
              </w:rPr>
            </w:pPr>
            <w:r>
              <w:rPr>
                <w:rFonts w:ascii="Arial" w:cs="Arial" w:eastAsia="Arial" w:hAnsi="Arial"/>
                <w:sz w:val="18"/>
                <w:szCs w:val="18"/>
                <w:b w:val="1"/>
                <w:bCs w:val="1"/>
                <w:color w:val="auto"/>
              </w:rPr>
              <w:t>Change Due</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3"/>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60" w:type="dxa"/>
            <w:vAlign w:val="bottom"/>
            <w:gridSpan w:val="4"/>
            <w:vMerge w:val="restart"/>
          </w:tcPr>
          <w:p>
            <w:pPr>
              <w:jc w:val="center"/>
              <w:ind w:right="1000"/>
              <w:spacing w:after="0"/>
              <w:rPr>
                <w:sz w:val="20"/>
                <w:szCs w:val="20"/>
                <w:color w:val="auto"/>
              </w:rPr>
            </w:pPr>
            <w:r>
              <w:rPr>
                <w:rFonts w:ascii="Arial" w:cs="Arial" w:eastAsia="Arial" w:hAnsi="Arial"/>
                <w:sz w:val="18"/>
                <w:szCs w:val="18"/>
                <w:b w:val="1"/>
                <w:bCs w:val="1"/>
                <w:color w:val="auto"/>
                <w:w w:val="88"/>
              </w:rPr>
              <w:t>Interest Earning Assets</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 Volume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6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2"/>
          </w:tcPr>
          <w:p>
            <w:pPr>
              <w:jc w:val="center"/>
              <w:ind w:right="48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3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13,478</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18,883</w:t>
            </w:r>
          </w:p>
        </w:tc>
        <w:tc>
          <w:tcPr>
            <w:tcW w:w="320" w:type="dxa"/>
            <w:vAlign w:val="bottom"/>
            <w:gridSpan w:val="2"/>
            <w:shd w:val="clear" w:color="auto" w:fill="EEEEEE"/>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Finance receivables measured at fair value</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(1,231)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12,423</w:t>
            </w: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17,652</w:t>
            </w:r>
          </w:p>
        </w:tc>
        <w:tc>
          <w:tcPr>
            <w:tcW w:w="28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(5,229)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gridSpan w:val="5"/>
          </w:tcPr>
          <w:p>
            <w:pPr>
              <w:jc w:val="center"/>
              <w:ind w:left="67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FFFFFF"/>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(811)</w:t>
            </w: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3,255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(2,112)</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(2,112)</w:t>
            </w: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(2,659)</w:t>
            </w: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(386)</w:t>
            </w:r>
          </w:p>
        </w:tc>
        <w:tc>
          <w:tcPr>
            <w:tcW w:w="28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6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7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28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80" w:type="dxa"/>
            <w:vAlign w:val="bottom"/>
            <w:tcBorders>
              <w:bottom w:val="single" w:sz="8" w:color="EEEEEE"/>
            </w:tcBorders>
          </w:tcPr>
          <w:p>
            <w:pPr>
              <w:spacing w:after="0"/>
              <w:rPr>
                <w:sz w:val="19"/>
                <w:szCs w:val="19"/>
                <w:color w:val="auto"/>
              </w:rPr>
            </w:pPr>
          </w:p>
        </w:tc>
        <w:tc>
          <w:tcPr>
            <w:tcW w:w="6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00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15,082</w:t>
            </w:r>
          </w:p>
        </w:tc>
        <w:tc>
          <w:tcPr>
            <w:tcW w:w="8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18,038</w:t>
            </w:r>
          </w:p>
        </w:tc>
        <w:tc>
          <w:tcPr>
            <w:tcW w:w="280" w:type="dxa"/>
            <w:vAlign w:val="bottom"/>
            <w:tcBorders>
              <w:bottom w:val="single" w:sz="8" w:color="EEEEEE"/>
            </w:tcBorders>
            <w:shd w:val="clear" w:color="auto" w:fill="EEEEEE"/>
          </w:tcPr>
          <w:p>
            <w:pPr>
              <w:spacing w:after="0"/>
              <w:rPr>
                <w:sz w:val="19"/>
                <w:szCs w:val="19"/>
                <w:color w:val="auto"/>
              </w:rPr>
            </w:pPr>
          </w:p>
        </w:tc>
        <w:tc>
          <w:tcPr>
            <w:tcW w:w="6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Provision for credit losses was $25.6 million for the three months ended June 30, 2014, an increase of $8.3 million, or 47.5% compared to the prior year and represented 43.2%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contract purchases during the last year and the larger portfolio owned by our consolidated subsidiaries compared to the prior year.</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$340,000, or 9.8%, to $3.8 million during the three months ended June 30, 2014, compared to $3.5 million in the prior year period, and represented 6.4% of total operating expenses. For the three months ended June 30, 2014, we purchased 13,132 contracts representing $211.4 million in receivables compared to 12,819 contracts representing $203.8 million in receivables in the prior year.</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Occupancy expenses increased by $225,000 or 32.9%, to $908,000 compared to $683,000 in the previous year and represented 1.5% of total operating expenses. The increase is primarily due to the establishment in April 2014 of our Nevada branch.</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expenses increased by $13,000 or 11.4%, to $127,000 compared to $114,000 in the previous year and represented 0.2% of total operating expenses.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June 30, 2014, we recorded income tax expense of $5.3 million, representing a 43.0% effective income tax rate. In the prior year period, we recorded $3.7 million in income tax expense, representing a 43.5% effective income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six months ended June 30, 2014 with the six months ended June 30, 2013</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In the prior year six-month period ended June 30, 2013, we repurchased the outstanding Class D notes from our first 2008 securitization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 cash payment and a new note. We subsequently exercised our “clean-up call” option and repurchased the remaining collateral from the related securitization trust. The aggregate value of our consideration for the Class D notes was $10.9 million less than our carrying value of the Class D notes at the time of the repurchase. As a result of the repurchase of the Class D notes and the termination of the securitization trust, we realized a gain of $10.9 million, or 8.8% of our total revenues of $125.1 million for the six months ended June 30, 2013. The discussion of revenues below excludes the gain on the cancellation of debt for comparative purposes.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six months ended June 30, 2014, our revenues were $139.7 million, an increase of $25.6 million, or 22.4%, from the prior year revenue of $114.1 million. The primary reason for the increase in revenues is an increase in interest income. Interest income for the six months ended June 30, 2014 increased $26.3 million, or 24.5%, to $133.2 million from $107.0 million in the prior year. The primary reason for the increase in interest income is the increase in finance receivables held by consolidated subsidiaries, which increased from $1,052.8 million at June 30, 2013 to $1,369.6 million at June 30, 2014. The table below shows the average balances of our portfolio held by consolidated subsidiaries for the six months ended June 30, 2014 and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40" w:type="dxa"/>
            <w:vAlign w:val="bottom"/>
            <w:gridSpan w:val="7"/>
          </w:tcPr>
          <w:p>
            <w:pPr>
              <w:ind w:left="80"/>
              <w:spacing w:after="0"/>
              <w:rPr>
                <w:sz w:val="20"/>
                <w:szCs w:val="20"/>
                <w:color w:val="auto"/>
              </w:rPr>
            </w:pPr>
            <w:r>
              <w:rPr>
                <w:rFonts w:ascii="Arial" w:cs="Arial" w:eastAsia="Arial" w:hAnsi="Arial"/>
                <w:sz w:val="18"/>
                <w:szCs w:val="18"/>
                <w:b w:val="1"/>
                <w:bCs w:val="1"/>
                <w:color w:val="auto"/>
                <w:w w:val="93"/>
              </w:rPr>
              <w:t>Average Balances for the Six Months Ended</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5"/>
              </w:rPr>
              <w:t>June 30, 2014</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June 30, 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vMerge w:val="restart"/>
          </w:tcPr>
          <w:p>
            <w:pPr>
              <w:jc w:val="center"/>
              <w:ind w:left="2150"/>
              <w:spacing w:after="0"/>
              <w:rPr>
                <w:sz w:val="20"/>
                <w:szCs w:val="20"/>
                <w:color w:val="auto"/>
              </w:rPr>
            </w:pPr>
            <w:r>
              <w:rPr>
                <w:rFonts w:ascii="Arial" w:cs="Arial" w:eastAsia="Arial" w:hAnsi="Arial"/>
                <w:sz w:val="18"/>
                <w:szCs w:val="18"/>
                <w:b w:val="1"/>
                <w:bCs w:val="1"/>
                <w:color w:val="auto"/>
                <w:w w:val="88"/>
              </w:rPr>
              <w:t>Finance Receivables Owned by</w:t>
            </w:r>
          </w:p>
        </w:tc>
        <w:tc>
          <w:tcPr>
            <w:tcW w:w="24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0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jc w:val="right"/>
              <w:ind w:right="1150"/>
              <w:spacing w:after="0" w:line="191" w:lineRule="exact"/>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Consolidated Subsidiaries</w:t>
            </w: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CPS Originated Receivables</w:t>
            </w:r>
          </w:p>
        </w:tc>
        <w:tc>
          <w:tcPr>
            <w:tcW w:w="2660" w:type="dxa"/>
            <w:vAlign w:val="bottom"/>
            <w:gridSpan w:val="2"/>
            <w:shd w:val="clear" w:color="auto" w:fill="EEEEEE"/>
          </w:tcPr>
          <w:p>
            <w:pPr>
              <w:jc w:val="right"/>
              <w:ind w:right="17"/>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1,296.2</w:t>
            </w:r>
          </w:p>
        </w:tc>
        <w:tc>
          <w:tcPr>
            <w:tcW w:w="18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927.6</w:t>
            </w:r>
          </w:p>
        </w:tc>
        <w:tc>
          <w:tcPr>
            <w:tcW w:w="0" w:type="dxa"/>
            <w:vAlign w:val="bottom"/>
          </w:tcPr>
          <w:p>
            <w:pPr>
              <w:spacing w:after="0"/>
              <w:rPr>
                <w:sz w:val="1"/>
                <w:szCs w:val="1"/>
                <w:color w:val="auto"/>
              </w:rPr>
            </w:pPr>
          </w:p>
        </w:tc>
      </w:tr>
      <w:tr>
        <w:trPr>
          <w:trHeight w:val="230"/>
        </w:trPr>
        <w:tc>
          <w:tcPr>
            <w:tcW w:w="5300" w:type="dxa"/>
            <w:vAlign w:val="bottom"/>
          </w:tcPr>
          <w:p>
            <w:pPr>
              <w:ind w:left="180"/>
              <w:spacing w:after="0"/>
              <w:rPr>
                <w:sz w:val="20"/>
                <w:szCs w:val="20"/>
                <w:color w:val="auto"/>
              </w:rPr>
            </w:pPr>
            <w:r>
              <w:rPr>
                <w:rFonts w:ascii="Arial" w:cs="Arial" w:eastAsia="Arial" w:hAnsi="Arial"/>
                <w:sz w:val="18"/>
                <w:szCs w:val="18"/>
                <w:color w:val="auto"/>
              </w:rPr>
              <w:t>Fireside</w:t>
            </w: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53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4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1,305.0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969.5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1890"/>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549" w:gutter="0" w:footer="0" w:header="0"/>
        </w:sectPr>
      </w:pPr>
    </w:p>
    <w:bookmarkStart w:id="28" w:name="page29"/>
    <w:bookmarkEnd w:id="28"/>
    <w:p>
      <w:pPr>
        <w:jc w:val="both"/>
        <w:ind w:firstLine="648"/>
        <w:spacing w:after="0" w:line="279" w:lineRule="auto"/>
        <w:rPr>
          <w:sz w:val="20"/>
          <w:szCs w:val="20"/>
          <w:color w:val="auto"/>
        </w:rPr>
      </w:pPr>
      <w:r>
        <w:rPr>
          <w:rFonts w:ascii="Arial" w:cs="Arial" w:eastAsia="Arial" w:hAnsi="Arial"/>
          <w:sz w:val="17"/>
          <w:szCs w:val="17"/>
          <w:color w:val="auto"/>
        </w:rPr>
        <w:t>Servicing fees totaling $880,000 for the six months ended June 30, 2014 decreased $904,000, or 50.7%, from $1.8 million in the prior year. We earn base servicing fees on three portfolios and incentive servicing fees on one of those three portfolios. All three of these portfolios are decreasing in size as we receive customer payments and, consequently, base servicing and incentive servicing fees are decreasing also. As of June 30, 2014 and 2013, our managed portfolio owned by consolidated vs. non-consolidated subsidiaries and other third parties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w w:val="97"/>
              </w:rPr>
              <w:t>June 30, 2014</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7"/>
              </w:rPr>
              <w:t>June 30, 2013</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Total Managed Portfolio</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CPS Originated Receivables</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1,363.9</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99.3%</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1,021.7</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Fireside</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5.7</w:t>
            </w: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31.1</w:t>
            </w: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460" w:type="dxa"/>
            <w:vAlign w:val="bottom"/>
            <w:gridSpan w:val="2"/>
            <w:shd w:val="clear" w:color="auto" w:fill="EEEEEE"/>
          </w:tcPr>
          <w:p>
            <w:pPr>
              <w:jc w:val="right"/>
              <w:ind w:right="65"/>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5.8</w:t>
            </w:r>
          </w:p>
        </w:tc>
        <w:tc>
          <w:tcPr>
            <w:tcW w:w="46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36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1,373.6</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1,067.4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June 30, 2014, we were generating income and fees on a managed portfolio with an outstanding principal balance of $1,373.6 million (this amount includes $1.4 million of automobile contracts on which we earn servicing fees and own a residual interest and also includes another $2.6 million of automobile contracts on which we earn base and incentive servicing fees), compared to a managed portfolio with an outstanding principal balance of $1,067.4 million as of June 30, 2013. At June 30, 2014 and 2013,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w w:val="97"/>
              </w:rPr>
              <w:t>June 30, 2014</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7"/>
              </w:rPr>
              <w:t>June 30, 2013</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1,365.3</w:t>
            </w: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99.4%</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1,030.5</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96.5%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Fireside</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 Party Portfolio</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5.8</w:t>
            </w:r>
          </w:p>
        </w:tc>
        <w:tc>
          <w:tcPr>
            <w:tcW w:w="46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0.5%</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1,373.6</w:t>
            </w: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1,067.4</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income increased by $263,000, or 4.9%, to $5.6 million in the six months ended June 30, 2014 from $5.4 million during the prior year. The increase is comprised of an increase of $296,000 in fees associated with direct mail and other related products and services that we offer to our dealers, an increase of $147,000 in sales tax refunds and an increase of $95,000 in payments from third-party providers of convenience fees paid by our customers for web based and other electronic payments. These increases were partially offset by decreases of $232,000 in the fair value of the receivables and debt associated with the Fireside portfolio</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prior year six-month period ended June 30, 2013, we recognized $9.7 million in contingent liability expenses to either record or increase the amounts we believe we may incur related to various pending litigation. The amount was allocated in part to a long running case we refer to as the Stanwich litigation, and also to more recent matters including two California class action suits where we are the defendant, and a governmental inquiry, in which the United States Federal Trade Commission (“FTC”) informally proposed that the we refrain from certain allegedly unfair trade practices, and make restitutionary payments into a consumer relief fund. The discussion of operating expenses below excludes the $9.7 million in contingent liability expense for comparative purposes.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operating expenses were $115.6 million for the six months ended June 30, 2014, compared to $100.4 million for the prior year, an increase of $15.3 million, or 15.2%. The increase is primarily due to costs associated with the increase in the amount of new contracts we purchased, the resulting increase in our consolidated portfolio and associated servicing costs, and the related increase in our provision for credit losses. Increases in core operating expenses and provision for credit losses were partially offset by decreases in interest expense.</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Employee costs increased by $2.2 million or 10.7%, to $22.7 million during the six months ended June 30, 2014, representing 19.6% of total operating expenses, from $20.5 million for the prior year, or 20.4% of total operating expenses. Since 2010, we have added employees in our Originations and Marketing departments in conjunction with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six-month periods ended, June 30, 2014 and 2013: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June 30, 2014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401.3</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383.9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25,986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24,510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1,373.6</w:t>
            </w:r>
          </w:p>
        </w:tc>
        <w:tc>
          <w:tcPr>
            <w:tcW w:w="18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1,067.4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107,670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93,332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80" w:type="dxa"/>
            <w:vAlign w:val="bottom"/>
            <w:shd w:val="clear" w:color="auto" w:fill="EEEEEE"/>
          </w:tcPr>
          <w:p>
            <w:pPr>
              <w:spacing w:after="0"/>
              <w:rPr>
                <w:sz w:val="19"/>
                <w:szCs w:val="19"/>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$8.7 million, an increase of $406,000, or 4.9%, compared to the previous year and represented 7.5% of total operating expenses.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six months ended June 30, 2014 decreased by $5.6 million to $25.3 million, or 18.2%, compared to $30.9 million in the previous year.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expense on the Fireside portfolio credit facility decreased by $2.3 million compared to the prior year period as the Fireside portfolio and the related debt have paid down to significantly lower levels over the last year.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on securitization trust debt increased by $1.3million, or 7.7%, for the six months ended June 30, 2014 compared to the prior year. The average balance of securitization trust debt increased 42.0% to $1,198.0 million at June 30, 2014 compared to $843.8 million at June 30, 2013. However, the blended interest rates on term securitizations completed since 2013 are significantly less than the blended interest rates on securitization trust debt incurred prior to 2013. As a result, the cost of securitization debt during the six month period ended June 30, 2014 was 3.1%, compared to 4.1% in the prior year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both"/>
        <w:ind w:firstLine="648"/>
        <w:spacing w:after="0" w:line="273" w:lineRule="auto"/>
        <w:rPr>
          <w:sz w:val="20"/>
          <w:szCs w:val="20"/>
          <w:color w:val="auto"/>
        </w:rPr>
      </w:pPr>
      <w:r>
        <w:rPr>
          <w:rFonts w:ascii="Arial" w:cs="Arial" w:eastAsia="Arial" w:hAnsi="Arial"/>
          <w:sz w:val="17"/>
          <w:szCs w:val="17"/>
          <w:color w:val="auto"/>
        </w:rPr>
        <w:t>Interest expense on senior secured debt was $1.7 million in the six months ended June 30, 2014 compared to $4.9 million in the prior year period. The decrease is due to the repayment in full of senior secured debt during the six-month period ended June 30, 2014. Interest expense on subordinated renewable notes decreased by $482,000. The decrease is due to a decrease in the average balance from $23.2 million to $18.4 million and a decrease in the average cost from 14.9% to 13.5%. Interest expense on residual interest financing decreased $503,000 in the six months ended June 30, 2014 compared to the prior year. The decrease is due to repayments on the $20.0 million facility established in April 2013 and the September 2013 repayment of the $13.8 million of indebtedness outstanding under the residual facility originally established in 2007.</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Interest expense on warehouse debt decreased by $464,000 for the six months ended June 30, 2014 compared to the prior year. Although we increased our contract purchases to $401.3 million for the six months ended June 30, 2014 compared to $383.9 million in the prior period, recently we have relied less on warehouse credit facilities and more on unrestricted cash balances to fund receivables prior to securitization. In the future we may incur greater warehouse debt interest expense as a result of using $39.2 million of unrestricted cash to repay our senior secured debt during the first quarter of 2014.</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gridSpan w:val="6"/>
          </w:tcPr>
          <w:p>
            <w:pPr>
              <w:ind w:left="30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Annualized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Balance(1)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Interest</w:t>
            </w: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Yield/Rate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Balance(1)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Borders>
              <w:top w:val="single" w:sz="8" w:color="EEEEEE"/>
            </w:tcBorders>
            <w:shd w:val="clear" w:color="auto" w:fill="EEEEEE"/>
          </w:tcPr>
          <w:p>
            <w:pPr>
              <w:spacing w:after="0"/>
              <w:rPr>
                <w:sz w:val="14"/>
                <w:szCs w:val="14"/>
                <w:color w:val="auto"/>
              </w:rPr>
            </w:pPr>
          </w:p>
        </w:tc>
        <w:tc>
          <w:tcPr>
            <w:tcW w:w="140" w:type="dxa"/>
            <w:vAlign w:val="bottom"/>
            <w:tcBorders>
              <w:top w:val="single" w:sz="8" w:color="EEEEEE"/>
            </w:tcBorders>
            <w:shd w:val="clear" w:color="auto" w:fill="EEEEEE"/>
          </w:tcPr>
          <w:p>
            <w:pPr>
              <w:spacing w:after="0"/>
              <w:rPr>
                <w:sz w:val="14"/>
                <w:szCs w:val="14"/>
                <w:color w:val="auto"/>
              </w:rPr>
            </w:pPr>
          </w:p>
        </w:tc>
        <w:tc>
          <w:tcPr>
            <w:tcW w:w="2720" w:type="dxa"/>
            <w:vAlign w:val="bottom"/>
            <w:tcBorders>
              <w:top w:val="single" w:sz="8" w:color="EEEEEE"/>
            </w:tcBorders>
            <w:gridSpan w:val="3"/>
            <w:shd w:val="clear" w:color="auto" w:fill="EEEEEE"/>
          </w:tcPr>
          <w:p>
            <w:pPr>
              <w:jc w:val="center"/>
              <w:ind w:right="940"/>
              <w:spacing w:after="0" w:line="170" w:lineRule="exact"/>
              <w:rPr>
                <w:sz w:val="20"/>
                <w:szCs w:val="20"/>
                <w:color w:val="auto"/>
              </w:rPr>
            </w:pPr>
            <w:r>
              <w:rPr>
                <w:rFonts w:ascii="Arial" w:cs="Arial" w:eastAsia="Arial" w:hAnsi="Arial"/>
                <w:sz w:val="18"/>
                <w:szCs w:val="18"/>
                <w:b w:val="1"/>
                <w:bCs w:val="1"/>
                <w:color w:val="auto"/>
                <w:w w:val="88"/>
              </w:rPr>
              <w:t>Interest Earning Assets</w:t>
            </w:r>
          </w:p>
        </w:tc>
        <w:tc>
          <w:tcPr>
            <w:tcW w:w="100" w:type="dxa"/>
            <w:vAlign w:val="bottom"/>
            <w:tcBorders>
              <w:top w:val="single" w:sz="8" w:color="auto"/>
            </w:tcBorders>
            <w:shd w:val="clear" w:color="auto" w:fill="EEEEEE"/>
          </w:tcPr>
          <w:p>
            <w:pPr>
              <w:spacing w:after="0"/>
              <w:rPr>
                <w:sz w:val="14"/>
                <w:szCs w:val="14"/>
                <w:color w:val="auto"/>
              </w:rPr>
            </w:pPr>
          </w:p>
        </w:tc>
        <w:tc>
          <w:tcPr>
            <w:tcW w:w="940" w:type="dxa"/>
            <w:vAlign w:val="bottom"/>
            <w:tcBorders>
              <w:top w:val="single" w:sz="8" w:color="auto"/>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auto"/>
            </w:tcBorders>
            <w:shd w:val="clear" w:color="auto" w:fill="EEEEEE"/>
          </w:tcPr>
          <w:p>
            <w:pPr>
              <w:spacing w:after="0"/>
              <w:rPr>
                <w:sz w:val="14"/>
                <w:szCs w:val="14"/>
                <w:color w:val="auto"/>
              </w:rPr>
            </w:pPr>
          </w:p>
        </w:tc>
        <w:tc>
          <w:tcPr>
            <w:tcW w:w="880" w:type="dxa"/>
            <w:vAlign w:val="bottom"/>
            <w:tcBorders>
              <w:top w:val="single" w:sz="8" w:color="auto"/>
            </w:tcBorders>
            <w:shd w:val="clear" w:color="auto" w:fill="EEEEEE"/>
          </w:tcPr>
          <w:p>
            <w:pPr>
              <w:spacing w:after="0"/>
              <w:rPr>
                <w:sz w:val="14"/>
                <w:szCs w:val="14"/>
                <w:color w:val="auto"/>
              </w:rPr>
            </w:pPr>
          </w:p>
        </w:tc>
        <w:tc>
          <w:tcPr>
            <w:tcW w:w="360" w:type="dxa"/>
            <w:vAlign w:val="bottom"/>
            <w:tcBorders>
              <w:top w:val="single" w:sz="8" w:color="EEEEEE"/>
            </w:tcBorders>
            <w:shd w:val="clear" w:color="auto" w:fill="EEEEEE"/>
          </w:tcPr>
          <w:p>
            <w:pPr>
              <w:spacing w:after="0"/>
              <w:rPr>
                <w:sz w:val="14"/>
                <w:szCs w:val="14"/>
                <w:color w:val="auto"/>
              </w:rPr>
            </w:pPr>
          </w:p>
        </w:tc>
        <w:tc>
          <w:tcPr>
            <w:tcW w:w="1040" w:type="dxa"/>
            <w:vAlign w:val="bottom"/>
            <w:tcBorders>
              <w:top w:val="single" w:sz="8" w:color="auto"/>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80" w:type="dxa"/>
            <w:vAlign w:val="bottom"/>
            <w:tcBorders>
              <w:top w:val="single" w:sz="8" w:color="auto"/>
            </w:tcBorders>
            <w:shd w:val="clear" w:color="auto" w:fill="EEEEEE"/>
          </w:tcPr>
          <w:p>
            <w:pPr>
              <w:spacing w:after="0"/>
              <w:rPr>
                <w:sz w:val="14"/>
                <w:szCs w:val="14"/>
                <w:color w:val="auto"/>
              </w:rPr>
            </w:pPr>
          </w:p>
        </w:tc>
        <w:tc>
          <w:tcPr>
            <w:tcW w:w="940" w:type="dxa"/>
            <w:vAlign w:val="bottom"/>
            <w:tcBorders>
              <w:top w:val="single" w:sz="8" w:color="auto"/>
            </w:tcBorders>
            <w:shd w:val="clear" w:color="auto" w:fill="EEEEEE"/>
          </w:tcPr>
          <w:p>
            <w:pPr>
              <w:spacing w:after="0"/>
              <w:rPr>
                <w:sz w:val="14"/>
                <w:szCs w:val="14"/>
                <w:color w:val="auto"/>
              </w:rPr>
            </w:pPr>
          </w:p>
        </w:tc>
        <w:tc>
          <w:tcPr>
            <w:tcW w:w="16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auto"/>
            </w:tcBorders>
            <w:shd w:val="clear" w:color="auto" w:fill="EEEEEE"/>
          </w:tcPr>
          <w:p>
            <w:pPr>
              <w:spacing w:after="0"/>
              <w:rPr>
                <w:sz w:val="14"/>
                <w:szCs w:val="14"/>
                <w:color w:val="auto"/>
              </w:rPr>
            </w:pPr>
          </w:p>
        </w:tc>
        <w:tc>
          <w:tcPr>
            <w:tcW w:w="8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1,266,199</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132,053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912,126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102,803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w w:val="99"/>
              </w:rPr>
              <w:t>Finance receivables measured at fair value</w:t>
            </w:r>
          </w:p>
        </w:tc>
        <w:tc>
          <w:tcPr>
            <w:tcW w:w="10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8,807</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1,164</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41,871</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4,161</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78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800" w:type="dxa"/>
            <w:vAlign w:val="bottom"/>
            <w:tcBorders>
              <w:bottom w:val="single" w:sz="8" w:color="EEEEEE"/>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1,275,006</w:t>
            </w:r>
          </w:p>
        </w:tc>
        <w:tc>
          <w:tcPr>
            <w:tcW w:w="18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240" w:type="dxa"/>
            <w:vAlign w:val="bottom"/>
            <w:tcBorders>
              <w:bottom w:val="single" w:sz="8" w:color="EEEEEE"/>
            </w:tcBorders>
            <w:gridSpan w:val="2"/>
          </w:tcPr>
          <w:p>
            <w:pPr>
              <w:jc w:val="right"/>
              <w:ind w:right="360"/>
              <w:spacing w:after="0"/>
              <w:rPr>
                <w:sz w:val="20"/>
                <w:szCs w:val="20"/>
                <w:color w:val="auto"/>
              </w:rPr>
            </w:pPr>
            <w:r>
              <w:rPr>
                <w:rFonts w:ascii="Arial" w:cs="Arial" w:eastAsia="Arial" w:hAnsi="Arial"/>
                <w:sz w:val="18"/>
                <w:szCs w:val="18"/>
                <w:color w:val="auto"/>
              </w:rPr>
              <w:t>133,217</w:t>
            </w:r>
          </w:p>
        </w:tc>
        <w:tc>
          <w:tcPr>
            <w:tcW w:w="1220" w:type="dxa"/>
            <w:vAlign w:val="bottom"/>
            <w:tcBorders>
              <w:bottom w:val="single" w:sz="8" w:color="EEEEEE"/>
            </w:tcBorders>
            <w:gridSpan w:val="2"/>
          </w:tcPr>
          <w:p>
            <w:pPr>
              <w:jc w:val="right"/>
              <w:ind w:right="180"/>
              <w:spacing w:after="0"/>
              <w:rPr>
                <w:sz w:val="20"/>
                <w:szCs w:val="20"/>
                <w:color w:val="auto"/>
              </w:rPr>
            </w:pPr>
            <w:r>
              <w:rPr>
                <w:rFonts w:ascii="Arial" w:cs="Arial" w:eastAsia="Arial" w:hAnsi="Arial"/>
                <w:sz w:val="18"/>
                <w:szCs w:val="18"/>
                <w:color w:val="auto"/>
              </w:rPr>
              <w:t>20.9%</w:t>
            </w:r>
          </w:p>
        </w:tc>
        <w:tc>
          <w:tcPr>
            <w:tcW w:w="180" w:type="dxa"/>
            <w:vAlign w:val="bottom"/>
            <w:tcBorders>
              <w:bottom w:val="single" w:sz="8" w:color="EEEEEE"/>
            </w:tcBorders>
            <w:vMerge w:val="continue"/>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953,998</w:t>
            </w:r>
          </w:p>
        </w:tc>
        <w:tc>
          <w:tcPr>
            <w:tcW w:w="160" w:type="dxa"/>
            <w:vAlign w:val="bottom"/>
            <w:tcBorders>
              <w:bottom w:val="single" w:sz="8" w:color="EEEEEE"/>
            </w:tcBorders>
            <w:vMerge w:val="continue"/>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1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106,964</w:t>
            </w:r>
          </w:p>
        </w:tc>
        <w:tc>
          <w:tcPr>
            <w:tcW w:w="112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7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4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FFFFFF"/>
              </w:rPr>
              <w:t>$</w:t>
            </w: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5"/>
          </w:tcPr>
          <w:p>
            <w:pPr>
              <w:jc w:val="center"/>
              <w:ind w:right="2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00" w:type="dxa"/>
            <w:vAlign w:val="bottom"/>
          </w:tcPr>
          <w:p>
            <w:pPr>
              <w:spacing w:after="0"/>
              <w:rPr>
                <w:sz w:val="15"/>
                <w:szCs w:val="15"/>
                <w:color w:val="auto"/>
              </w:rPr>
            </w:pPr>
          </w:p>
        </w:tc>
        <w:tc>
          <w:tcPr>
            <w:tcW w:w="112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FFFFFF"/>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 (3)</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33,147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2,115</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12.8%</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44,246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2,579</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15,632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1,083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23,773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1,586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Debt secured by receivables</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ind w:left="160"/>
              <w:spacing w:after="0"/>
              <w:rPr>
                <w:sz w:val="20"/>
                <w:szCs w:val="20"/>
                <w:color w:val="auto"/>
              </w:rPr>
            </w:pPr>
            <w:r>
              <w:rPr>
                <w:rFonts w:ascii="Arial" w:cs="Arial" w:eastAsia="Arial" w:hAnsi="Arial"/>
                <w:sz w:val="18"/>
                <w:szCs w:val="18"/>
                <w:color w:val="auto"/>
              </w:rPr>
              <w:t>measured at fair value</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8,209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533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38,110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2,813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1,197,988</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18,697</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843,818</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17,368</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Senior secured debt, related party</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14,206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1,651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44,916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4,875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18,442</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1,244</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23,241</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1,726</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78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800" w:type="dxa"/>
            <w:vAlign w:val="bottom"/>
            <w:tcBorders>
              <w:bottom w:val="single" w:sz="8" w:color="EEEEEE"/>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1,287,623</w:t>
            </w:r>
          </w:p>
        </w:tc>
        <w:tc>
          <w:tcPr>
            <w:tcW w:w="18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240" w:type="dxa"/>
            <w:vAlign w:val="bottom"/>
            <w:tcBorders>
              <w:bottom w:val="single" w:sz="8" w:color="EEEEEE"/>
            </w:tcBorders>
            <w:gridSpan w:val="2"/>
          </w:tcPr>
          <w:p>
            <w:pPr>
              <w:jc w:val="right"/>
              <w:ind w:right="360"/>
              <w:spacing w:after="0"/>
              <w:rPr>
                <w:sz w:val="20"/>
                <w:szCs w:val="20"/>
                <w:color w:val="auto"/>
              </w:rPr>
            </w:pPr>
            <w:r>
              <w:rPr>
                <w:rFonts w:ascii="Arial" w:cs="Arial" w:eastAsia="Arial" w:hAnsi="Arial"/>
                <w:sz w:val="18"/>
                <w:szCs w:val="18"/>
                <w:color w:val="auto"/>
              </w:rPr>
              <w:t>25,323</w:t>
            </w:r>
          </w:p>
        </w:tc>
        <w:tc>
          <w:tcPr>
            <w:tcW w:w="1220" w:type="dxa"/>
            <w:vAlign w:val="bottom"/>
            <w:tcBorders>
              <w:bottom w:val="single" w:sz="8" w:color="EEEEEE"/>
            </w:tcBorders>
            <w:gridSpan w:val="2"/>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EEEEEE"/>
            </w:tcBorders>
            <w:vMerge w:val="continue"/>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1,018,104</w:t>
            </w: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1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30,947</w:t>
            </w:r>
          </w:p>
        </w:tc>
        <w:tc>
          <w:tcPr>
            <w:tcW w:w="112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7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tcBorders>
              <w:bottom w:val="single" w:sz="8" w:color="auto"/>
            </w:tcBorders>
            <w:shd w:val="clear" w:color="auto" w:fill="EEEEEE"/>
          </w:tcPr>
          <w:p>
            <w:pPr>
              <w:spacing w:after="0"/>
              <w:rPr>
                <w:sz w:val="17"/>
                <w:szCs w:val="17"/>
                <w:color w:val="auto"/>
              </w:rPr>
            </w:pPr>
          </w:p>
        </w:tc>
        <w:tc>
          <w:tcPr>
            <w:tcW w:w="880" w:type="dxa"/>
            <w:vAlign w:val="bottom"/>
            <w:tcBorders>
              <w:bottom w:val="single" w:sz="8" w:color="auto"/>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tcBorders>
              <w:bottom w:val="single" w:sz="8" w:color="auto"/>
            </w:tcBorders>
            <w:shd w:val="clear" w:color="auto" w:fill="EEEEEE"/>
          </w:tcPr>
          <w:p>
            <w:pPr>
              <w:spacing w:after="0"/>
              <w:rPr>
                <w:sz w:val="17"/>
                <w:szCs w:val="17"/>
                <w:color w:val="auto"/>
              </w:rPr>
            </w:pPr>
          </w:p>
        </w:tc>
        <w:tc>
          <w:tcPr>
            <w:tcW w:w="860" w:type="dxa"/>
            <w:vAlign w:val="bottom"/>
            <w:tcBorders>
              <w:bottom w:val="single" w:sz="8" w:color="auto"/>
            </w:tcBorders>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20" w:type="dxa"/>
            <w:vAlign w:val="bottom"/>
            <w:tcBorders>
              <w:bottom w:val="single" w:sz="8" w:color="EEEEEE"/>
            </w:tcBorders>
            <w:gridSpan w:val="5"/>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Borders>
              <w:bottom w:val="single" w:sz="8" w:color="EEEEEE"/>
            </w:tcBorders>
          </w:tcPr>
          <w:p>
            <w:pPr>
              <w:spacing w:after="0"/>
              <w:rPr>
                <w:sz w:val="22"/>
                <w:szCs w:val="22"/>
                <w:color w:val="auto"/>
              </w:rPr>
            </w:pPr>
          </w:p>
        </w:tc>
        <w:tc>
          <w:tcPr>
            <w:tcW w:w="94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107,894</w:t>
            </w:r>
          </w:p>
        </w:tc>
        <w:tc>
          <w:tcPr>
            <w:tcW w:w="360" w:type="dxa"/>
            <w:vAlign w:val="bottom"/>
            <w:tcBorders>
              <w:bottom w:val="single" w:sz="8" w:color="EEEEEE"/>
            </w:tcBorders>
          </w:tcPr>
          <w:p>
            <w:pPr>
              <w:spacing w:after="0"/>
              <w:rPr>
                <w:sz w:val="22"/>
                <w:szCs w:val="22"/>
                <w:color w:val="auto"/>
              </w:rPr>
            </w:pPr>
          </w:p>
        </w:tc>
        <w:tc>
          <w:tcPr>
            <w:tcW w:w="104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94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76,017</w:t>
            </w:r>
          </w:p>
        </w:tc>
        <w:tc>
          <w:tcPr>
            <w:tcW w:w="320" w:type="dxa"/>
            <w:vAlign w:val="bottom"/>
            <w:tcBorders>
              <w:bottom w:val="single" w:sz="8" w:color="EEEEEE"/>
            </w:tcBorders>
          </w:tcPr>
          <w:p>
            <w:pPr>
              <w:spacing w:after="0"/>
              <w:rPr>
                <w:sz w:val="22"/>
                <w:szCs w:val="22"/>
                <w:color w:val="auto"/>
              </w:rPr>
            </w:pPr>
          </w:p>
        </w:tc>
        <w:tc>
          <w:tcPr>
            <w:tcW w:w="10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20" w:type="dxa"/>
            <w:vAlign w:val="bottom"/>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(4)</w:t>
            </w:r>
          </w:p>
        </w:tc>
        <w:tc>
          <w:tcPr>
            <w:tcW w:w="1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gridSpan w:val="2"/>
            <w:shd w:val="clear" w:color="auto" w:fill="EEEEEE"/>
          </w:tcPr>
          <w:p>
            <w:pPr>
              <w:jc w:val="right"/>
              <w:ind w:right="180"/>
              <w:spacing w:after="0" w:line="196" w:lineRule="exact"/>
              <w:rPr>
                <w:sz w:val="20"/>
                <w:szCs w:val="20"/>
                <w:color w:val="auto"/>
              </w:rPr>
            </w:pPr>
            <w:r>
              <w:rPr>
                <w:rFonts w:ascii="Arial" w:cs="Arial" w:eastAsia="Arial" w:hAnsi="Arial"/>
                <w:sz w:val="18"/>
                <w:szCs w:val="18"/>
                <w:color w:val="auto"/>
              </w:rPr>
              <w:t>16.9%</w:t>
            </w:r>
          </w:p>
        </w:tc>
        <w:tc>
          <w:tcPr>
            <w:tcW w:w="1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20" w:type="dxa"/>
            <w:vAlign w:val="bottom"/>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5"/>
          </w:tcPr>
          <w:p>
            <w:pPr>
              <w:spacing w:after="0" w:line="201" w:lineRule="exact"/>
              <w:rPr>
                <w:sz w:val="20"/>
                <w:szCs w:val="20"/>
                <w:color w:val="auto"/>
              </w:rPr>
            </w:pPr>
            <w:r>
              <w:rPr>
                <w:rFonts w:ascii="Arial" w:cs="Arial" w:eastAsia="Arial" w:hAnsi="Arial"/>
                <w:sz w:val="18"/>
                <w:szCs w:val="18"/>
                <w:color w:val="auto"/>
              </w:rPr>
              <w:t>Ratio of average interest earning assets to</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5"/>
          </w:tcPr>
          <w:p>
            <w:pPr>
              <w:ind w:left="160"/>
              <w:spacing w:after="0"/>
              <w:rPr>
                <w:sz w:val="20"/>
                <w:szCs w:val="20"/>
                <w:color w:val="auto"/>
              </w:rPr>
            </w:pPr>
            <w:r>
              <w:rPr>
                <w:rFonts w:ascii="Arial" w:cs="Arial" w:eastAsia="Arial" w:hAnsi="Arial"/>
                <w:sz w:val="18"/>
                <w:szCs w:val="18"/>
                <w:color w:val="auto"/>
              </w:rPr>
              <w:t>average interest bearing liabilities</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Average balances are based on month end balances except for warehouse lines of credit, which are based on daily balances.</w:t>
      </w:r>
    </w:p>
    <w:p>
      <w:pPr>
        <w:spacing w:after="0" w:line="47" w:lineRule="exact"/>
        <w:rPr>
          <w:rFonts w:ascii="Arial" w:cs="Arial" w:eastAsia="Arial" w:hAnsi="Arial"/>
          <w:sz w:val="19"/>
          <w:szCs w:val="19"/>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expense includes deferred financing costs and non-utilization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0" w:type="dxa"/>
            <w:vAlign w:val="bottom"/>
            <w:gridSpan w:val="8"/>
          </w:tcPr>
          <w:p>
            <w:pPr>
              <w:jc w:val="center"/>
              <w:ind w:left="990"/>
              <w:spacing w:after="0"/>
              <w:rPr>
                <w:sz w:val="20"/>
                <w:szCs w:val="20"/>
                <w:color w:val="auto"/>
              </w:rPr>
            </w:pPr>
            <w:r>
              <w:rPr>
                <w:rFonts w:ascii="Arial" w:cs="Arial" w:eastAsia="Arial" w:hAnsi="Arial"/>
                <w:sz w:val="18"/>
                <w:szCs w:val="18"/>
                <w:b w:val="1"/>
                <w:bCs w:val="1"/>
                <w:color w:val="auto"/>
                <w:w w:val="90"/>
              </w:rPr>
              <w:t>Six Months Ended June 30, 2014</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Compared to June 30, 2013</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680"/>
              <w:spacing w:after="0" w:line="205" w:lineRule="exact"/>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600"/>
              <w:spacing w:after="0" w:line="205" w:lineRule="exact"/>
              <w:rPr>
                <w:sz w:val="20"/>
                <w:szCs w:val="20"/>
                <w:color w:val="auto"/>
              </w:rPr>
            </w:pPr>
            <w:r>
              <w:rPr>
                <w:rFonts w:ascii="Arial" w:cs="Arial" w:eastAsia="Arial" w:hAnsi="Arial"/>
                <w:sz w:val="18"/>
                <w:szCs w:val="18"/>
                <w:b w:val="1"/>
                <w:bCs w:val="1"/>
                <w:color w:val="auto"/>
              </w:rPr>
              <w:t>Change Due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8"/>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60" w:type="dxa"/>
            <w:vAlign w:val="bottom"/>
            <w:gridSpan w:val="4"/>
            <w:vMerge w:val="restart"/>
          </w:tcPr>
          <w:p>
            <w:pPr>
              <w:jc w:val="center"/>
              <w:ind w:right="1000"/>
              <w:spacing w:after="0"/>
              <w:rPr>
                <w:sz w:val="20"/>
                <w:szCs w:val="20"/>
                <w:color w:val="auto"/>
              </w:rPr>
            </w:pPr>
            <w:r>
              <w:rPr>
                <w:rFonts w:ascii="Arial" w:cs="Arial" w:eastAsia="Arial" w:hAnsi="Arial"/>
                <w:sz w:val="18"/>
                <w:szCs w:val="18"/>
                <w:b w:val="1"/>
                <w:bCs w:val="1"/>
                <w:color w:val="auto"/>
                <w:w w:val="88"/>
              </w:rPr>
              <w:t>Interest Earning Assets</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 Volume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6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2"/>
          </w:tcPr>
          <w:p>
            <w:pPr>
              <w:jc w:val="center"/>
              <w:ind w:right="48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3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29,250</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39,906</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Finance receivables measured at fair value</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(2,997)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(3,286)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26,253</w:t>
            </w: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36,621</w:t>
            </w:r>
          </w:p>
        </w:tc>
        <w:tc>
          <w:tcPr>
            <w:tcW w:w="28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(10,368)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gridSpan w:val="5"/>
          </w:tcPr>
          <w:p>
            <w:pPr>
              <w:jc w:val="center"/>
              <w:ind w:left="67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FFFFFF"/>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(464)</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(647)</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(2,280)</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(2,207)</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7,290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(3,224)</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(3,333)</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(5,624)</w:t>
            </w: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(5,826)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6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7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28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80" w:type="dxa"/>
            <w:vAlign w:val="bottom"/>
            <w:tcBorders>
              <w:bottom w:val="single" w:sz="8" w:color="EEEEEE"/>
            </w:tcBorders>
          </w:tcPr>
          <w:p>
            <w:pPr>
              <w:spacing w:after="0"/>
              <w:rPr>
                <w:sz w:val="19"/>
                <w:szCs w:val="19"/>
                <w:color w:val="auto"/>
              </w:rPr>
            </w:pPr>
          </w:p>
        </w:tc>
        <w:tc>
          <w:tcPr>
            <w:tcW w:w="6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00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31,877</w:t>
            </w:r>
          </w:p>
        </w:tc>
        <w:tc>
          <w:tcPr>
            <w:tcW w:w="8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36,418</w:t>
            </w:r>
          </w:p>
        </w:tc>
        <w:tc>
          <w:tcPr>
            <w:tcW w:w="280" w:type="dxa"/>
            <w:vAlign w:val="bottom"/>
            <w:tcBorders>
              <w:bottom w:val="single" w:sz="8" w:color="EEEEEE"/>
            </w:tcBorders>
            <w:shd w:val="clear" w:color="auto" w:fill="EEEEEE"/>
          </w:tcPr>
          <w:p>
            <w:pPr>
              <w:spacing w:after="0"/>
              <w:rPr>
                <w:sz w:val="19"/>
                <w:szCs w:val="19"/>
                <w:color w:val="auto"/>
              </w:rPr>
            </w:pPr>
          </w:p>
        </w:tc>
        <w:tc>
          <w:tcPr>
            <w:tcW w:w="6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Provision for credit losses was $49.5 million for the six months ended June 30, 2014, an increase of $17.0 million, or 52.2% compared to the prior year and represented 42.8%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contract purchases during the last year and the larger portfolio owned by our consolidated subsidiaries compared to the prior year.</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$1.0 million, or 15.1%, to $7.7 million during the six months ended June 30, 2014, compared to $6.7 million in the prior year period, and represented 6.6% of total operating expenses. For the six months ended June 30, 2014, we purchased 25,986 contracts representing $401.3 million in receivables compared to 24,510 contracts representing $383.9 million in receivables in the prior year.</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Occupancy expenses increased by $369,000 or 30.1%, to $1.6 million compared to $1.2 million in the previous year and represented 1.4% of total operating expenses. The increase is due to the establishment in April 2014 of our Nevada branch.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decreased by $36,000 or 14.0%, to $221,000 compared to $257,000 in the previous year and represented 0.2% of total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six months ended June 30, 2014, we recorded income tax expense of $10.4 million, representing a 43.0% effective income tax rate. In the prior year period, we recorded $6.5 million in income tax expense, representing a 42.9% effective income tax rate.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Originated Portfolio Excluding Fireside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7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June 30, 2014</w:t>
            </w:r>
          </w:p>
        </w:tc>
        <w:tc>
          <w:tcPr>
            <w:tcW w:w="2740" w:type="dxa"/>
            <w:vAlign w:val="bottom"/>
            <w:gridSpan w:val="6"/>
          </w:tcPr>
          <w:p>
            <w:pPr>
              <w:ind w:left="680"/>
              <w:spacing w:after="0"/>
              <w:rPr>
                <w:sz w:val="20"/>
                <w:szCs w:val="20"/>
                <w:color w:val="auto"/>
              </w:rPr>
            </w:pPr>
            <w:r>
              <w:rPr>
                <w:rFonts w:ascii="Arial" w:cs="Arial" w:eastAsia="Arial" w:hAnsi="Arial"/>
                <w:sz w:val="18"/>
                <w:szCs w:val="18"/>
                <w:b w:val="1"/>
                <w:bCs w:val="1"/>
                <w:color w:val="auto"/>
              </w:rPr>
              <w:t>June 30, 2013</w:t>
            </w:r>
          </w:p>
        </w:tc>
        <w:tc>
          <w:tcPr>
            <w:tcW w:w="2460" w:type="dxa"/>
            <w:vAlign w:val="bottom"/>
            <w:gridSpan w:val="6"/>
          </w:tcPr>
          <w:p>
            <w:pPr>
              <w:ind w:left="44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2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Borders>
              <w:top w:val="single" w:sz="8" w:color="auto"/>
            </w:tcBorders>
            <w:gridSpan w:val="2"/>
          </w:tcPr>
          <w:p>
            <w:pPr>
              <w:jc w:val="right"/>
              <w:ind w:right="280"/>
              <w:spacing w:after="0" w:line="205" w:lineRule="exact"/>
              <w:rPr>
                <w:sz w:val="20"/>
                <w:szCs w:val="20"/>
                <w:color w:val="auto"/>
              </w:rPr>
            </w:pPr>
            <w:r>
              <w:rPr>
                <w:rFonts w:ascii="Arial" w:cs="Arial" w:eastAsia="Arial" w:hAnsi="Arial"/>
                <w:sz w:val="18"/>
                <w:szCs w:val="18"/>
                <w:b w:val="1"/>
                <w:bCs w:val="1"/>
                <w:color w:val="auto"/>
              </w:rPr>
              <w:t>Number of</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top w:val="single" w:sz="8" w:color="auto"/>
            </w:tcBorders>
            <w:gridSpan w:val="2"/>
          </w:tcPr>
          <w:p>
            <w:pPr>
              <w:jc w:val="center"/>
              <w:ind w:right="160"/>
              <w:spacing w:after="0" w:line="205" w:lineRule="exact"/>
              <w:rPr>
                <w:sz w:val="20"/>
                <w:szCs w:val="20"/>
                <w:color w:val="auto"/>
              </w:rPr>
            </w:pPr>
            <w:r>
              <w:rPr>
                <w:rFonts w:ascii="Arial" w:cs="Arial" w:eastAsia="Arial" w:hAnsi="Arial"/>
                <w:sz w:val="18"/>
                <w:szCs w:val="18"/>
                <w:b w:val="1"/>
                <w:bCs w:val="1"/>
                <w:color w:val="auto"/>
                <w:w w:val="91"/>
              </w:rPr>
              <w:t>Number of</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Amount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Contracts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6"/>
          </w:tcPr>
          <w:p>
            <w:pPr>
              <w:ind w:left="30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104,957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1,366,649</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83,253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1,030,498</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94,206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1,213,793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31-60 days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2,787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31,151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2,442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21,513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61-90 days</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1,511</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17,109</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1,319</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11,637</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91+ days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7,318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5,502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4,974</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55,578</w:t>
            </w:r>
          </w:p>
        </w:tc>
        <w:tc>
          <w:tcPr>
            <w:tcW w:w="36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4,426</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38,652</w:t>
            </w:r>
          </w:p>
        </w:tc>
        <w:tc>
          <w:tcPr>
            <w:tcW w:w="3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5,838</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57,861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28,927</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14,036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rPr>
              <w:t>Total delinquencies and amount in</w:t>
            </w:r>
          </w:p>
        </w:tc>
        <w:tc>
          <w:tcPr>
            <w:tcW w:w="1040" w:type="dxa"/>
            <w:vAlign w:val="bottom"/>
            <w:tcBorders>
              <w:top w:val="single" w:sz="8" w:color="auto"/>
            </w:tcBorders>
            <w:shd w:val="clear" w:color="auto" w:fill="EEEEEE"/>
          </w:tcPr>
          <w:p>
            <w:pPr>
              <w:spacing w:after="0"/>
              <w:rPr>
                <w:sz w:val="15"/>
                <w:szCs w:val="15"/>
                <w:color w:val="auto"/>
              </w:rPr>
            </w:pPr>
          </w:p>
        </w:tc>
        <w:tc>
          <w:tcPr>
            <w:tcW w:w="18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880" w:type="dxa"/>
            <w:vAlign w:val="bottom"/>
            <w:tcBorders>
              <w:top w:val="single" w:sz="8" w:color="auto"/>
            </w:tcBorders>
            <w:shd w:val="clear" w:color="auto" w:fill="EEEEEE"/>
          </w:tcPr>
          <w:p>
            <w:pPr>
              <w:spacing w:after="0"/>
              <w:rPr>
                <w:sz w:val="15"/>
                <w:szCs w:val="15"/>
                <w:color w:val="auto"/>
              </w:rPr>
            </w:pPr>
          </w:p>
        </w:tc>
        <w:tc>
          <w:tcPr>
            <w:tcW w:w="360" w:type="dxa"/>
            <w:vAlign w:val="bottom"/>
            <w:tcBorders>
              <w:top w:val="single" w:sz="8" w:color="EEEEEE"/>
            </w:tcBorders>
            <w:shd w:val="clear" w:color="auto" w:fill="EEEEEE"/>
          </w:tcPr>
          <w:p>
            <w:pPr>
              <w:spacing w:after="0"/>
              <w:rPr>
                <w:sz w:val="15"/>
                <w:szCs w:val="15"/>
                <w:color w:val="auto"/>
              </w:rPr>
            </w:pPr>
          </w:p>
        </w:tc>
        <w:tc>
          <w:tcPr>
            <w:tcW w:w="1040" w:type="dxa"/>
            <w:vAlign w:val="bottom"/>
            <w:tcBorders>
              <w:top w:val="single" w:sz="8" w:color="auto"/>
            </w:tcBorders>
            <w:shd w:val="clear" w:color="auto" w:fill="EEEEEE"/>
          </w:tcPr>
          <w:p>
            <w:pPr>
              <w:spacing w:after="0"/>
              <w:rPr>
                <w:sz w:val="15"/>
                <w:szCs w:val="15"/>
                <w:color w:val="auto"/>
              </w:rPr>
            </w:pPr>
          </w:p>
        </w:tc>
        <w:tc>
          <w:tcPr>
            <w:tcW w:w="18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auto"/>
            </w:tcBorders>
            <w:shd w:val="clear" w:color="auto" w:fill="EEEEEE"/>
          </w:tcPr>
          <w:p>
            <w:pPr>
              <w:spacing w:after="0"/>
              <w:rPr>
                <w:sz w:val="15"/>
                <w:szCs w:val="15"/>
                <w:color w:val="auto"/>
              </w:rPr>
            </w:pPr>
          </w:p>
        </w:tc>
        <w:tc>
          <w:tcPr>
            <w:tcW w:w="88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02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auto"/>
            </w:tcBorders>
            <w:shd w:val="clear" w:color="auto" w:fill="EEEEEE"/>
          </w:tcPr>
          <w:p>
            <w:pPr>
              <w:spacing w:after="0"/>
              <w:rPr>
                <w:sz w:val="15"/>
                <w:szCs w:val="15"/>
                <w:color w:val="auto"/>
              </w:rPr>
            </w:pPr>
          </w:p>
        </w:tc>
        <w:tc>
          <w:tcPr>
            <w:tcW w:w="8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repossession (2)</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8,214</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84,505</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6,087</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52,688</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8,799</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Delinquencies as a percentage of gross</w:t>
            </w: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servicing portfolio portfolio</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Total delinquencies and amount in</w:t>
            </w: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repossession as a percentage of gross</w:t>
            </w: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servicing portfolio</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6.2</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5.1</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Contracts with one extension, accruing (4)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15,947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210,632</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10,165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109,453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13,754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176,236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accruing (4)</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5,735</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61,374</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5,998</w:t>
            </w:r>
          </w:p>
        </w:tc>
        <w:tc>
          <w:tcPr>
            <w:tcW w:w="18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30,688</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5,449</w:t>
            </w:r>
          </w:p>
        </w:tc>
        <w:tc>
          <w:tcPr>
            <w:tcW w:w="16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272,006</w:t>
            </w:r>
          </w:p>
        </w:tc>
        <w:tc>
          <w:tcPr>
            <w:tcW w:w="3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140,141</w:t>
            </w:r>
          </w:p>
        </w:tc>
        <w:tc>
          <w:tcPr>
            <w:tcW w:w="3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 non-accrual</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9,270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5,228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non-accrual (4)</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3,388</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2,366</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12,658</w:t>
            </w:r>
          </w:p>
        </w:tc>
        <w:tc>
          <w:tcPr>
            <w:tcW w:w="3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3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88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88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8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284,664</w:t>
            </w:r>
          </w:p>
        </w:tc>
        <w:tc>
          <w:tcPr>
            <w:tcW w:w="3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147,735</w:t>
            </w: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Fireside Portfolio</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78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June 30, 2014</w:t>
            </w:r>
          </w:p>
        </w:tc>
        <w:tc>
          <w:tcPr>
            <w:tcW w:w="100" w:type="dxa"/>
            <w:vAlign w:val="bottom"/>
          </w:tcPr>
          <w:p>
            <w:pPr>
              <w:spacing w:after="0"/>
              <w:rPr>
                <w:sz w:val="20"/>
                <w:szCs w:val="20"/>
                <w:color w:val="auto"/>
              </w:rPr>
            </w:pPr>
          </w:p>
        </w:tc>
        <w:tc>
          <w:tcPr>
            <w:tcW w:w="268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June 30, 2013</w:t>
            </w:r>
          </w:p>
        </w:tc>
        <w:tc>
          <w:tcPr>
            <w:tcW w:w="100" w:type="dxa"/>
            <w:vAlign w:val="bottom"/>
          </w:tcPr>
          <w:p>
            <w:pPr>
              <w:spacing w:after="0"/>
              <w:rPr>
                <w:sz w:val="20"/>
                <w:szCs w:val="20"/>
                <w:color w:val="auto"/>
              </w:rPr>
            </w:pPr>
          </w:p>
        </w:tc>
        <w:tc>
          <w:tcPr>
            <w:tcW w:w="246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480"/>
              <w:spacing w:after="0" w:line="205" w:lineRule="exact"/>
              <w:rPr>
                <w:sz w:val="20"/>
                <w:szCs w:val="20"/>
                <w:color w:val="auto"/>
              </w:rPr>
            </w:pPr>
            <w:r>
              <w:rPr>
                <w:rFonts w:ascii="Arial" w:cs="Arial" w:eastAsia="Arial" w:hAnsi="Arial"/>
                <w:sz w:val="18"/>
                <w:szCs w:val="18"/>
                <w:b w:val="1"/>
                <w:bCs w:val="1"/>
                <w:color w:val="auto"/>
                <w:w w:val="99"/>
              </w:rPr>
              <w:t>Number of</w:t>
            </w: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Borders>
              <w:top w:val="single" w:sz="8" w:color="auto"/>
            </w:tcBorders>
            <w:gridSpan w:val="3"/>
          </w:tcPr>
          <w:p>
            <w:pPr>
              <w:jc w:val="right"/>
              <w:ind w:right="460"/>
              <w:spacing w:after="0" w:line="205" w:lineRule="exact"/>
              <w:rPr>
                <w:sz w:val="20"/>
                <w:szCs w:val="20"/>
                <w:color w:val="auto"/>
              </w:rPr>
            </w:pPr>
            <w:r>
              <w:rPr>
                <w:rFonts w:ascii="Arial" w:cs="Arial" w:eastAsia="Arial" w:hAnsi="Arial"/>
                <w:sz w:val="18"/>
                <w:szCs w:val="18"/>
                <w:b w:val="1"/>
                <w:bCs w:val="1"/>
                <w:color w:val="auto"/>
                <w:w w:val="99"/>
              </w:rPr>
              <w:t>Number of</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Borders>
              <w:top w:val="single" w:sz="8" w:color="auto"/>
            </w:tcBorders>
            <w:gridSpan w:val="3"/>
          </w:tcPr>
          <w:p>
            <w:pPr>
              <w:jc w:val="right"/>
              <w:ind w:right="460"/>
              <w:spacing w:after="0" w:line="205" w:lineRule="exact"/>
              <w:rPr>
                <w:sz w:val="20"/>
                <w:szCs w:val="20"/>
                <w:color w:val="auto"/>
              </w:rPr>
            </w:pPr>
            <w:r>
              <w:rPr>
                <w:rFonts w:ascii="Arial" w:cs="Arial" w:eastAsia="Arial" w:hAnsi="Arial"/>
                <w:sz w:val="18"/>
                <w:szCs w:val="18"/>
                <w:b w:val="1"/>
                <w:bCs w:val="1"/>
                <w:color w:val="auto"/>
                <w:w w:val="99"/>
              </w:rPr>
              <w:t>Number of</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Contracts</w:t>
            </w:r>
          </w:p>
        </w:tc>
        <w:tc>
          <w:tcPr>
            <w:tcW w:w="14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0"/>
              </w:rPr>
              <w:t>Contracts</w:t>
            </w:r>
          </w:p>
        </w:tc>
        <w:tc>
          <w:tcPr>
            <w:tcW w:w="14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0"/>
              </w:rPr>
              <w:t>Contracts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7"/>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0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020" w:type="dxa"/>
            <w:vAlign w:val="bottom"/>
          </w:tcPr>
          <w:p>
            <w:pPr>
              <w:jc w:val="right"/>
              <w:spacing w:after="0"/>
              <w:rPr>
                <w:sz w:val="20"/>
                <w:szCs w:val="20"/>
                <w:color w:val="auto"/>
              </w:rPr>
            </w:pPr>
            <w:r>
              <w:rPr>
                <w:rFonts w:ascii="Arial" w:cs="Arial" w:eastAsia="Arial" w:hAnsi="Arial"/>
                <w:sz w:val="18"/>
                <w:szCs w:val="18"/>
                <w:color w:val="auto"/>
              </w:rPr>
              <w:t>2,346</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5,651</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8,724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31,084</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4,893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14,786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0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31-60 days</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425</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400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1,309</w:t>
            </w:r>
          </w:p>
        </w:tc>
        <w:tc>
          <w:tcPr>
            <w:tcW w:w="380" w:type="dxa"/>
            <w:vAlign w:val="bottom"/>
          </w:tcPr>
          <w:p>
            <w:pPr>
              <w:spacing w:after="0"/>
              <w:rPr>
                <w:sz w:val="18"/>
                <w:szCs w:val="18"/>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366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61-90 days</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177</w:t>
            </w: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399</w:t>
            </w: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125</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91+ days</w:t>
            </w: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148</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327</w:t>
            </w:r>
          </w:p>
        </w:tc>
        <w:tc>
          <w:tcPr>
            <w:tcW w:w="3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652</w:t>
            </w:r>
          </w:p>
        </w:tc>
        <w:tc>
          <w:tcPr>
            <w:tcW w:w="38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597</w:t>
            </w:r>
          </w:p>
        </w:tc>
        <w:tc>
          <w:tcPr>
            <w:tcW w:w="3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1,856</w:t>
            </w:r>
          </w:p>
        </w:tc>
        <w:tc>
          <w:tcPr>
            <w:tcW w:w="38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599</w:t>
            </w:r>
          </w:p>
        </w:tc>
        <w:tc>
          <w:tcPr>
            <w:tcW w:w="38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1,365</w:t>
            </w: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37</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236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8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rPr>
              <w:t>Total delinquencies and amount in</w:t>
            </w:r>
          </w:p>
        </w:tc>
        <w:tc>
          <w:tcPr>
            <w:tcW w:w="1020" w:type="dxa"/>
            <w:vAlign w:val="bottom"/>
            <w:tcBorders>
              <w:top w:val="single" w:sz="8" w:color="auto"/>
            </w:tcBorders>
            <w:shd w:val="clear" w:color="auto" w:fill="EEEEEE"/>
          </w:tcPr>
          <w:p>
            <w:pPr>
              <w:spacing w:after="0"/>
              <w:rPr>
                <w:sz w:val="15"/>
                <w:szCs w:val="15"/>
                <w:color w:val="auto"/>
              </w:rPr>
            </w:pPr>
          </w:p>
        </w:tc>
        <w:tc>
          <w:tcPr>
            <w:tcW w:w="38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auto"/>
            </w:tcBorders>
            <w:shd w:val="clear" w:color="auto" w:fill="EEEEEE"/>
          </w:tcPr>
          <w:p>
            <w:pPr>
              <w:spacing w:after="0"/>
              <w:rPr>
                <w:sz w:val="15"/>
                <w:szCs w:val="15"/>
                <w:color w:val="auto"/>
              </w:rPr>
            </w:pPr>
          </w:p>
        </w:tc>
        <w:tc>
          <w:tcPr>
            <w:tcW w:w="860" w:type="dxa"/>
            <w:vAlign w:val="bottom"/>
            <w:tcBorders>
              <w:top w:val="single" w:sz="8" w:color="auto"/>
            </w:tcBorders>
            <w:shd w:val="clear" w:color="auto" w:fill="EEEEEE"/>
          </w:tcPr>
          <w:p>
            <w:pPr>
              <w:spacing w:after="0"/>
              <w:rPr>
                <w:sz w:val="15"/>
                <w:szCs w:val="15"/>
                <w:color w:val="auto"/>
              </w:rPr>
            </w:pPr>
          </w:p>
        </w:tc>
        <w:tc>
          <w:tcPr>
            <w:tcW w:w="380" w:type="dxa"/>
            <w:vAlign w:val="bottom"/>
            <w:tcBorders>
              <w:top w:val="single" w:sz="8" w:color="EEEEEE"/>
            </w:tcBorders>
            <w:shd w:val="clear" w:color="auto" w:fill="EEEEEE"/>
          </w:tcPr>
          <w:p>
            <w:pPr>
              <w:spacing w:after="0"/>
              <w:rPr>
                <w:sz w:val="15"/>
                <w:szCs w:val="15"/>
                <w:color w:val="auto"/>
              </w:rPr>
            </w:pPr>
          </w:p>
        </w:tc>
        <w:tc>
          <w:tcPr>
            <w:tcW w:w="100" w:type="dxa"/>
            <w:vAlign w:val="bottom"/>
            <w:tcBorders>
              <w:top w:val="single" w:sz="8" w:color="auto"/>
            </w:tcBorders>
            <w:shd w:val="clear" w:color="auto" w:fill="EEEEEE"/>
          </w:tcPr>
          <w:p>
            <w:pPr>
              <w:spacing w:after="0"/>
              <w:rPr>
                <w:sz w:val="15"/>
                <w:szCs w:val="15"/>
                <w:color w:val="auto"/>
              </w:rPr>
            </w:pPr>
          </w:p>
        </w:tc>
        <w:tc>
          <w:tcPr>
            <w:tcW w:w="900" w:type="dxa"/>
            <w:vAlign w:val="bottom"/>
            <w:tcBorders>
              <w:top w:val="single" w:sz="8" w:color="auto"/>
            </w:tcBorders>
            <w:shd w:val="clear" w:color="auto" w:fill="EEEEEE"/>
          </w:tcPr>
          <w:p>
            <w:pPr>
              <w:spacing w:after="0"/>
              <w:rPr>
                <w:sz w:val="15"/>
                <w:szCs w:val="15"/>
                <w:color w:val="auto"/>
              </w:rPr>
            </w:pPr>
          </w:p>
        </w:tc>
        <w:tc>
          <w:tcPr>
            <w:tcW w:w="38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auto"/>
            </w:tcBorders>
            <w:shd w:val="clear" w:color="auto" w:fill="EEEEEE"/>
          </w:tcPr>
          <w:p>
            <w:pPr>
              <w:spacing w:after="0"/>
              <w:rPr>
                <w:sz w:val="15"/>
                <w:szCs w:val="15"/>
                <w:color w:val="auto"/>
              </w:rPr>
            </w:pPr>
          </w:p>
        </w:tc>
        <w:tc>
          <w:tcPr>
            <w:tcW w:w="880" w:type="dxa"/>
            <w:vAlign w:val="bottom"/>
            <w:tcBorders>
              <w:top w:val="single" w:sz="8" w:color="auto"/>
            </w:tcBorders>
            <w:shd w:val="clear" w:color="auto" w:fill="EEEEEE"/>
          </w:tcPr>
          <w:p>
            <w:pPr>
              <w:spacing w:after="0"/>
              <w:rPr>
                <w:sz w:val="15"/>
                <w:szCs w:val="15"/>
                <w:color w:val="auto"/>
              </w:rPr>
            </w:pPr>
          </w:p>
        </w:tc>
        <w:tc>
          <w:tcPr>
            <w:tcW w:w="380" w:type="dxa"/>
            <w:vAlign w:val="bottom"/>
            <w:tcBorders>
              <w:top w:val="single" w:sz="8" w:color="EEEEEE"/>
            </w:tcBorders>
            <w:shd w:val="clear" w:color="auto" w:fill="EEEEEE"/>
          </w:tcPr>
          <w:p>
            <w:pPr>
              <w:spacing w:after="0"/>
              <w:rPr>
                <w:sz w:val="15"/>
                <w:szCs w:val="15"/>
                <w:color w:val="auto"/>
              </w:rPr>
            </w:pPr>
          </w:p>
        </w:tc>
        <w:tc>
          <w:tcPr>
            <w:tcW w:w="100" w:type="dxa"/>
            <w:vAlign w:val="bottom"/>
            <w:tcBorders>
              <w:top w:val="single" w:sz="8" w:color="auto"/>
            </w:tcBorders>
            <w:shd w:val="clear" w:color="auto" w:fill="EEEEEE"/>
          </w:tcPr>
          <w:p>
            <w:pPr>
              <w:spacing w:after="0"/>
              <w:rPr>
                <w:sz w:val="15"/>
                <w:szCs w:val="15"/>
                <w:color w:val="auto"/>
              </w:rPr>
            </w:pPr>
          </w:p>
        </w:tc>
        <w:tc>
          <w:tcPr>
            <w:tcW w:w="900" w:type="dxa"/>
            <w:vAlign w:val="bottom"/>
            <w:tcBorders>
              <w:top w:val="single" w:sz="8" w:color="auto"/>
            </w:tcBorders>
            <w:shd w:val="clear" w:color="auto" w:fill="EEEEEE"/>
          </w:tcPr>
          <w:p>
            <w:pPr>
              <w:spacing w:after="0"/>
              <w:rPr>
                <w:sz w:val="15"/>
                <w:szCs w:val="15"/>
                <w:color w:val="auto"/>
              </w:rPr>
            </w:pPr>
          </w:p>
        </w:tc>
        <w:tc>
          <w:tcPr>
            <w:tcW w:w="380" w:type="dxa"/>
            <w:vAlign w:val="bottom"/>
            <w:tcBorders>
              <w:top w:val="single" w:sz="8" w:color="EEEEEE"/>
            </w:tcBorders>
            <w:shd w:val="clear" w:color="auto" w:fill="EEEEEE"/>
          </w:tcPr>
          <w:p>
            <w:pPr>
              <w:spacing w:after="0"/>
              <w:rPr>
                <w:sz w:val="15"/>
                <w:szCs w:val="15"/>
                <w:color w:val="auto"/>
              </w:rPr>
            </w:pPr>
          </w:p>
        </w:tc>
        <w:tc>
          <w:tcPr>
            <w:tcW w:w="2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auto"/>
            </w:tcBorders>
            <w:shd w:val="clear" w:color="auto" w:fill="EEEEEE"/>
          </w:tcPr>
          <w:p>
            <w:pPr>
              <w:spacing w:after="0"/>
              <w:rPr>
                <w:sz w:val="15"/>
                <w:szCs w:val="15"/>
                <w:color w:val="auto"/>
              </w:rPr>
            </w:pPr>
          </w:p>
        </w:tc>
        <w:tc>
          <w:tcPr>
            <w:tcW w:w="880" w:type="dxa"/>
            <w:vAlign w:val="bottom"/>
            <w:tcBorders>
              <w:top w:val="single" w:sz="8" w:color="auto"/>
            </w:tcBorders>
            <w:shd w:val="clear" w:color="auto" w:fill="EEEEEE"/>
          </w:tcPr>
          <w:p>
            <w:pPr>
              <w:spacing w:after="0"/>
              <w:rPr>
                <w:sz w:val="15"/>
                <w:szCs w:val="15"/>
                <w:color w:val="auto"/>
              </w:rPr>
            </w:pPr>
          </w:p>
        </w:tc>
        <w:tc>
          <w:tcPr>
            <w:tcW w:w="2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repossession (2)</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338</w:t>
            </w:r>
          </w:p>
        </w:tc>
        <w:tc>
          <w:tcPr>
            <w:tcW w:w="380" w:type="dxa"/>
            <w:vAlign w:val="bottom"/>
            <w:shd w:val="clear" w:color="auto" w:fill="EEEEEE"/>
          </w:tcPr>
          <w:p>
            <w:pPr>
              <w:spacing w:after="0"/>
              <w:rPr>
                <w:sz w:val="22"/>
                <w:szCs w:val="22"/>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689</w:t>
            </w:r>
          </w:p>
        </w:tc>
        <w:tc>
          <w:tcPr>
            <w:tcW w:w="380" w:type="dxa"/>
            <w:vAlign w:val="bottom"/>
            <w:shd w:val="clear" w:color="auto" w:fill="EEEEEE"/>
          </w:tcPr>
          <w:p>
            <w:pPr>
              <w:spacing w:after="0"/>
              <w:rPr>
                <w:sz w:val="22"/>
                <w:szCs w:val="22"/>
                <w:color w:val="auto"/>
              </w:rPr>
            </w:pP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652</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2,092</w:t>
            </w:r>
          </w:p>
        </w:tc>
        <w:tc>
          <w:tcPr>
            <w:tcW w:w="380" w:type="dxa"/>
            <w:vAlign w:val="bottom"/>
            <w:shd w:val="clear" w:color="auto" w:fill="EEEEEE"/>
          </w:tcPr>
          <w:p>
            <w:pPr>
              <w:spacing w:after="0"/>
              <w:rPr>
                <w:sz w:val="22"/>
                <w:szCs w:val="22"/>
                <w:color w:val="auto"/>
              </w:rPr>
            </w:pP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629</w:t>
            </w:r>
          </w:p>
        </w:tc>
        <w:tc>
          <w:tcPr>
            <w:tcW w:w="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1,485</w:t>
            </w:r>
          </w:p>
        </w:tc>
        <w:tc>
          <w:tcPr>
            <w:tcW w:w="14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Delinquencies as a percentage of gross</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servicing portfolio</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Total delinquencies and amount in</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repossession as a percentage of gross</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servicing portfolio</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0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6"/>
              </w:rPr>
              <w:t>Contracts with one extension, accruing (4)</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612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1,511</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2,210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9,116</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1,203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0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accruing (4)</w:t>
            </w:r>
          </w:p>
        </w:tc>
        <w:tc>
          <w:tcPr>
            <w:tcW w:w="14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1,804</w:t>
            </w: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EEEEEE"/>
          </w:tcPr>
          <w:p>
            <w:pPr>
              <w:spacing w:after="0"/>
              <w:rPr>
                <w:sz w:val="21"/>
                <w:szCs w:val="21"/>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2,561</w:t>
            </w:r>
          </w:p>
        </w:tc>
        <w:tc>
          <w:tcPr>
            <w:tcW w:w="380" w:type="dxa"/>
            <w:vAlign w:val="bottom"/>
            <w:shd w:val="clear" w:color="auto" w:fill="EEEEEE"/>
          </w:tcPr>
          <w:p>
            <w:pPr>
              <w:spacing w:after="0"/>
              <w:rPr>
                <w:sz w:val="21"/>
                <w:szCs w:val="21"/>
                <w:color w:val="auto"/>
              </w:rPr>
            </w:pP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685</w:t>
            </w:r>
          </w:p>
        </w:tc>
        <w:tc>
          <w:tcPr>
            <w:tcW w:w="2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2,924</w:t>
            </w:r>
          </w:p>
        </w:tc>
        <w:tc>
          <w:tcPr>
            <w:tcW w:w="14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Contracts with one extension, non-accrual</w:t>
            </w:r>
          </w:p>
        </w:tc>
        <w:tc>
          <w:tcPr>
            <w:tcW w:w="10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(4)</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39</w:t>
            </w: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185</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non-accrual (4)</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3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3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3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218</w:t>
            </w:r>
          </w:p>
        </w:tc>
        <w:tc>
          <w:tcPr>
            <w:tcW w:w="3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38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273</w:t>
            </w: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Originated and Fireside Portfolio</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800" w:type="dxa"/>
            <w:vAlign w:val="bottom"/>
            <w:gridSpan w:val="6"/>
          </w:tcPr>
          <w:p>
            <w:pPr>
              <w:jc w:val="right"/>
              <w:ind w:right="1060"/>
              <w:spacing w:after="0"/>
              <w:rPr>
                <w:sz w:val="20"/>
                <w:szCs w:val="20"/>
                <w:color w:val="auto"/>
              </w:rPr>
            </w:pPr>
            <w:r>
              <w:rPr>
                <w:rFonts w:ascii="Arial" w:cs="Arial" w:eastAsia="Arial" w:hAnsi="Arial"/>
                <w:sz w:val="18"/>
                <w:szCs w:val="18"/>
                <w:b w:val="1"/>
                <w:bCs w:val="1"/>
                <w:color w:val="auto"/>
              </w:rPr>
              <w:t>June 30, 2014</w:t>
            </w:r>
          </w:p>
        </w:tc>
        <w:tc>
          <w:tcPr>
            <w:tcW w:w="100" w:type="dxa"/>
            <w:vAlign w:val="bottom"/>
          </w:tcPr>
          <w:p>
            <w:pPr>
              <w:spacing w:after="0"/>
              <w:rPr>
                <w:sz w:val="20"/>
                <w:szCs w:val="20"/>
                <w:color w:val="auto"/>
              </w:rPr>
            </w:pPr>
          </w:p>
        </w:tc>
        <w:tc>
          <w:tcPr>
            <w:tcW w:w="24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June 30, 2013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80" w:type="dxa"/>
            <w:vAlign w:val="bottom"/>
            <w:tcBorders>
              <w:top w:val="single" w:sz="8" w:color="auto"/>
            </w:tcBorders>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Borders>
              <w:top w:val="single" w:sz="8" w:color="auto"/>
            </w:tcBorders>
            <w:gridSpan w:val="3"/>
          </w:tcPr>
          <w:p>
            <w:pPr>
              <w:jc w:val="right"/>
              <w:ind w:right="460"/>
              <w:spacing w:after="0" w:line="205" w:lineRule="exact"/>
              <w:rPr>
                <w:sz w:val="20"/>
                <w:szCs w:val="20"/>
                <w:color w:val="auto"/>
              </w:rPr>
            </w:pPr>
            <w:r>
              <w:rPr>
                <w:rFonts w:ascii="Arial" w:cs="Arial" w:eastAsia="Arial" w:hAnsi="Arial"/>
                <w:sz w:val="18"/>
                <w:szCs w:val="18"/>
                <w:b w:val="1"/>
                <w:bCs w:val="1"/>
                <w:color w:val="auto"/>
                <w:w w:val="99"/>
              </w:rPr>
              <w:t>Number of</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auto"/>
            </w:tcBorders>
            <w:gridSpan w:val="3"/>
          </w:tcPr>
          <w:p>
            <w:pPr>
              <w:jc w:val="right"/>
              <w:ind w:right="360"/>
              <w:spacing w:after="0" w:line="205" w:lineRule="exact"/>
              <w:rPr>
                <w:sz w:val="20"/>
                <w:szCs w:val="20"/>
                <w:color w:val="auto"/>
              </w:rPr>
            </w:pPr>
            <w:r>
              <w:rPr>
                <w:rFonts w:ascii="Arial" w:cs="Arial" w:eastAsia="Arial" w:hAnsi="Arial"/>
                <w:sz w:val="18"/>
                <w:szCs w:val="18"/>
                <w:b w:val="1"/>
                <w:bCs w:val="1"/>
                <w:color w:val="auto"/>
                <w:w w:val="99"/>
              </w:rPr>
              <w:t>Number of</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0"/>
              </w:rPr>
              <w:t>Contracts</w:t>
            </w:r>
          </w:p>
        </w:tc>
        <w:tc>
          <w:tcPr>
            <w:tcW w:w="1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Contracts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00" w:type="dxa"/>
            <w:vAlign w:val="bottom"/>
            <w:gridSpan w:val="4"/>
            <w:vMerge w:val="restart"/>
          </w:tcPr>
          <w:p>
            <w:pPr>
              <w:jc w:val="right"/>
              <w:ind w:right="280"/>
              <w:spacing w:after="0"/>
              <w:rPr>
                <w:sz w:val="20"/>
                <w:szCs w:val="20"/>
                <w:color w:val="auto"/>
              </w:rPr>
            </w:pPr>
            <w:r>
              <w:rPr>
                <w:rFonts w:ascii="Arial" w:cs="Arial" w:eastAsia="Arial" w:hAnsi="Arial"/>
                <w:sz w:val="18"/>
                <w:szCs w:val="18"/>
                <w:color w:val="auto"/>
              </w:rPr>
              <w:t>99,099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1,228,579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107,303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1,372,300</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91,977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1,061,582</w:t>
            </w:r>
          </w:p>
        </w:tc>
        <w:tc>
          <w:tcPr>
            <w:tcW w:w="160" w:type="dxa"/>
            <w:vAlign w:val="bottom"/>
          </w:tcPr>
          <w:p>
            <w:pPr>
              <w:spacing w:after="0"/>
              <w:rPr>
                <w:sz w:val="18"/>
                <w:szCs w:val="18"/>
                <w:color w:val="auto"/>
              </w:rPr>
            </w:pPr>
          </w:p>
        </w:tc>
        <w:tc>
          <w:tcPr>
            <w:tcW w:w="1500" w:type="dxa"/>
            <w:vAlign w:val="bottom"/>
            <w:gridSpan w:val="4"/>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31-60 days</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2,981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31,576</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2,842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22,822</w:t>
            </w: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3,018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61-90 days</w:t>
            </w: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1,599</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17,286</w:t>
            </w: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1,452</w:t>
            </w:r>
          </w:p>
        </w:tc>
        <w:tc>
          <w:tcPr>
            <w:tcW w:w="1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12,036</w:t>
            </w:r>
          </w:p>
        </w:tc>
        <w:tc>
          <w:tcPr>
            <w:tcW w:w="150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91+ days</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7,368</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729</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5,650</w:t>
            </w:r>
          </w:p>
        </w:tc>
        <w:tc>
          <w:tcPr>
            <w:tcW w:w="160" w:type="dxa"/>
            <w:vAlign w:val="bottom"/>
          </w:tcPr>
          <w:p>
            <w:pPr>
              <w:spacing w:after="0"/>
              <w:rPr>
                <w:sz w:val="19"/>
                <w:szCs w:val="19"/>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5,301</w:t>
            </w:r>
          </w:p>
        </w:tc>
        <w:tc>
          <w:tcPr>
            <w:tcW w:w="2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56,230</w:t>
            </w:r>
          </w:p>
        </w:tc>
        <w:tc>
          <w:tcPr>
            <w:tcW w:w="38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5,023</w:t>
            </w:r>
          </w:p>
        </w:tc>
        <w:tc>
          <w:tcPr>
            <w:tcW w:w="3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40,508</w:t>
            </w:r>
          </w:p>
        </w:tc>
        <w:tc>
          <w:tcPr>
            <w:tcW w:w="1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6,437</w:t>
            </w:r>
          </w:p>
        </w:tc>
        <w:tc>
          <w:tcPr>
            <w:tcW w:w="2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59,226</w:t>
            </w:r>
          </w:p>
        </w:tc>
        <w:tc>
          <w:tcPr>
            <w:tcW w:w="16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3,251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28,964</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1,716</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14,272</w:t>
            </w: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6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rPr>
              <w:t>Total delinquencies and amount in</w:t>
            </w:r>
          </w:p>
        </w:tc>
        <w:tc>
          <w:tcPr>
            <w:tcW w:w="1020" w:type="dxa"/>
            <w:vAlign w:val="bottom"/>
            <w:tcBorders>
              <w:top w:val="single" w:sz="8" w:color="auto"/>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auto"/>
            </w:tcBorders>
            <w:shd w:val="clear" w:color="auto" w:fill="EEEEEE"/>
          </w:tcPr>
          <w:p>
            <w:pPr>
              <w:spacing w:after="0"/>
              <w:rPr>
                <w:sz w:val="15"/>
                <w:szCs w:val="15"/>
                <w:color w:val="auto"/>
              </w:rPr>
            </w:pPr>
          </w:p>
        </w:tc>
        <w:tc>
          <w:tcPr>
            <w:tcW w:w="880" w:type="dxa"/>
            <w:vAlign w:val="bottom"/>
            <w:tcBorders>
              <w:top w:val="single" w:sz="8" w:color="auto"/>
            </w:tcBorders>
            <w:shd w:val="clear" w:color="auto" w:fill="EEEEEE"/>
          </w:tcPr>
          <w:p>
            <w:pPr>
              <w:spacing w:after="0"/>
              <w:rPr>
                <w:sz w:val="15"/>
                <w:szCs w:val="15"/>
                <w:color w:val="auto"/>
              </w:rPr>
            </w:pPr>
          </w:p>
        </w:tc>
        <w:tc>
          <w:tcPr>
            <w:tcW w:w="380" w:type="dxa"/>
            <w:vAlign w:val="bottom"/>
            <w:tcBorders>
              <w:top w:val="single" w:sz="8" w:color="EEEEEE"/>
            </w:tcBorders>
            <w:shd w:val="clear" w:color="auto" w:fill="EEEEEE"/>
          </w:tcPr>
          <w:p>
            <w:pPr>
              <w:spacing w:after="0"/>
              <w:rPr>
                <w:sz w:val="15"/>
                <w:szCs w:val="15"/>
                <w:color w:val="auto"/>
              </w:rPr>
            </w:pPr>
          </w:p>
        </w:tc>
        <w:tc>
          <w:tcPr>
            <w:tcW w:w="100" w:type="dxa"/>
            <w:vAlign w:val="bottom"/>
            <w:tcBorders>
              <w:top w:val="single" w:sz="8" w:color="auto"/>
            </w:tcBorders>
            <w:shd w:val="clear" w:color="auto" w:fill="EEEEEE"/>
          </w:tcPr>
          <w:p>
            <w:pPr>
              <w:spacing w:after="0"/>
              <w:rPr>
                <w:sz w:val="15"/>
                <w:szCs w:val="15"/>
                <w:color w:val="auto"/>
              </w:rPr>
            </w:pPr>
          </w:p>
        </w:tc>
        <w:tc>
          <w:tcPr>
            <w:tcW w:w="900" w:type="dxa"/>
            <w:vAlign w:val="bottom"/>
            <w:tcBorders>
              <w:top w:val="single" w:sz="8" w:color="auto"/>
            </w:tcBorders>
            <w:shd w:val="clear" w:color="auto" w:fill="EEEEEE"/>
          </w:tcPr>
          <w:p>
            <w:pPr>
              <w:spacing w:after="0"/>
              <w:rPr>
                <w:sz w:val="15"/>
                <w:szCs w:val="15"/>
                <w:color w:val="auto"/>
              </w:rPr>
            </w:pPr>
          </w:p>
        </w:tc>
        <w:tc>
          <w:tcPr>
            <w:tcW w:w="38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auto"/>
            </w:tcBorders>
            <w:shd w:val="clear" w:color="auto" w:fill="EEEEEE"/>
          </w:tcPr>
          <w:p>
            <w:pPr>
              <w:spacing w:after="0"/>
              <w:rPr>
                <w:sz w:val="15"/>
                <w:szCs w:val="15"/>
                <w:color w:val="auto"/>
              </w:rPr>
            </w:pPr>
          </w:p>
        </w:tc>
        <w:tc>
          <w:tcPr>
            <w:tcW w:w="88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00" w:type="dxa"/>
            <w:vAlign w:val="bottom"/>
            <w:tcBorders>
              <w:top w:val="single" w:sz="8" w:color="auto"/>
            </w:tcBorders>
            <w:shd w:val="clear" w:color="auto" w:fill="EEEEEE"/>
          </w:tcPr>
          <w:p>
            <w:pPr>
              <w:spacing w:after="0"/>
              <w:rPr>
                <w:sz w:val="15"/>
                <w:szCs w:val="15"/>
                <w:color w:val="auto"/>
              </w:rPr>
            </w:pPr>
          </w:p>
        </w:tc>
        <w:tc>
          <w:tcPr>
            <w:tcW w:w="900" w:type="dxa"/>
            <w:vAlign w:val="bottom"/>
            <w:tcBorders>
              <w:top w:val="single" w:sz="8" w:color="auto"/>
            </w:tcBorders>
            <w:shd w:val="clear" w:color="auto" w:fill="EEEEEE"/>
          </w:tcPr>
          <w:p>
            <w:pPr>
              <w:spacing w:after="0"/>
              <w:rPr>
                <w:sz w:val="15"/>
                <w:szCs w:val="15"/>
                <w:color w:val="auto"/>
              </w:rPr>
            </w:pPr>
          </w:p>
        </w:tc>
        <w:tc>
          <w:tcPr>
            <w:tcW w:w="280" w:type="dxa"/>
            <w:vAlign w:val="bottom"/>
            <w:tcBorders>
              <w:top w:val="single" w:sz="8" w:color="EEEEEE"/>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auto"/>
            </w:tcBorders>
            <w:shd w:val="clear" w:color="auto" w:fill="EEEEEE"/>
          </w:tcPr>
          <w:p>
            <w:pPr>
              <w:spacing w:after="0"/>
              <w:rPr>
                <w:sz w:val="15"/>
                <w:szCs w:val="15"/>
                <w:color w:val="auto"/>
              </w:rPr>
            </w:pPr>
          </w:p>
        </w:tc>
        <w:tc>
          <w:tcPr>
            <w:tcW w:w="88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repossession (2)</w:t>
            </w: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8,552</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85,194</w:t>
            </w: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6,739</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54,780</w:t>
            </w:r>
          </w:p>
        </w:tc>
        <w:tc>
          <w:tcPr>
            <w:tcW w:w="150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9,428</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84,356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Delinquencies as a percentage of gross</w:t>
            </w: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servicing portfolio.</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4.1%</w:t>
            </w:r>
          </w:p>
        </w:tc>
        <w:tc>
          <w:tcPr>
            <w:tcW w:w="13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w:t>
            </w:r>
          </w:p>
        </w:tc>
        <w:tc>
          <w:tcPr>
            <w:tcW w:w="15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Total delinquencies and amount in</w:t>
            </w: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9"/>
              </w:rPr>
              <w:t>repossession as a percentage of gross</w:t>
            </w: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servicing portfolio</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6.2%</w:t>
            </w:r>
          </w:p>
        </w:tc>
        <w:tc>
          <w:tcPr>
            <w:tcW w:w="13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w:t>
            </w:r>
          </w:p>
        </w:tc>
        <w:tc>
          <w:tcPr>
            <w:tcW w:w="15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6"/>
              </w:rPr>
              <w:t>Contracts with one extension, accruing (4)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16,559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212,143</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12,375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118,569</w:t>
            </w: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14,957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180,181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accruing (4)</w:t>
            </w: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6,290</w:t>
            </w:r>
          </w:p>
        </w:tc>
        <w:tc>
          <w:tcPr>
            <w:tcW w:w="1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63,178</w:t>
            </w: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6,524</w:t>
            </w:r>
          </w:p>
        </w:tc>
        <w:tc>
          <w:tcPr>
            <w:tcW w:w="14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33,249</w:t>
            </w:r>
          </w:p>
        </w:tc>
        <w:tc>
          <w:tcPr>
            <w:tcW w:w="150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6,134</w:t>
            </w:r>
          </w:p>
        </w:tc>
        <w:tc>
          <w:tcPr>
            <w:tcW w:w="1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46,793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275,321</w:t>
            </w:r>
          </w:p>
        </w:tc>
        <w:tc>
          <w:tcPr>
            <w:tcW w:w="380" w:type="dxa"/>
            <w:vAlign w:val="bottom"/>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18,899</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21,091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w w:val="96"/>
              </w:rPr>
              <w:t>Contracts with one extension, non-accrual</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9,309</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580</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5,413</w:t>
            </w:r>
          </w:p>
        </w:tc>
        <w:tc>
          <w:tcPr>
            <w:tcW w:w="160" w:type="dxa"/>
            <w:vAlign w:val="bottom"/>
          </w:tcPr>
          <w:p>
            <w:pPr>
              <w:spacing w:after="0"/>
              <w:rPr>
                <w:sz w:val="20"/>
                <w:szCs w:val="20"/>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non-accrual (4)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3,426</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569</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2,399</w:t>
            </w:r>
          </w:p>
        </w:tc>
        <w:tc>
          <w:tcPr>
            <w:tcW w:w="160" w:type="dxa"/>
            <w:vAlign w:val="bottom"/>
          </w:tcPr>
          <w:p>
            <w:pPr>
              <w:spacing w:after="0"/>
              <w:rPr>
                <w:sz w:val="21"/>
                <w:szCs w:val="21"/>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EEEEEE"/>
            </w:tcBorders>
            <w:shd w:val="clear" w:color="auto" w:fill="EEEEEE"/>
          </w:tcPr>
          <w:p>
            <w:pPr>
              <w:spacing w:after="0"/>
              <w:rPr>
                <w:sz w:val="19"/>
                <w:szCs w:val="19"/>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1,480</w:t>
            </w:r>
          </w:p>
        </w:tc>
        <w:tc>
          <w:tcPr>
            <w:tcW w:w="260" w:type="dxa"/>
            <w:vAlign w:val="bottom"/>
            <w:tcBorders>
              <w:top w:val="single" w:sz="8" w:color="EEEEEE"/>
            </w:tcBorders>
            <w:shd w:val="clear" w:color="auto" w:fill="EEEEEE"/>
          </w:tcPr>
          <w:p>
            <w:pPr>
              <w:spacing w:after="0"/>
              <w:rPr>
                <w:sz w:val="19"/>
                <w:szCs w:val="19"/>
                <w:color w:val="auto"/>
              </w:rPr>
            </w:pPr>
          </w:p>
        </w:tc>
        <w:tc>
          <w:tcPr>
            <w:tcW w:w="120" w:type="dxa"/>
            <w:vAlign w:val="bottom"/>
            <w:tcBorders>
              <w:top w:val="single" w:sz="8" w:color="EEEEEE"/>
            </w:tcBorders>
            <w:shd w:val="clear" w:color="auto" w:fill="EEEEEE"/>
          </w:tcPr>
          <w:p>
            <w:pPr>
              <w:spacing w:after="0"/>
              <w:rPr>
                <w:sz w:val="19"/>
                <w:szCs w:val="19"/>
                <w:color w:val="auto"/>
              </w:rPr>
            </w:pPr>
          </w:p>
        </w:tc>
        <w:tc>
          <w:tcPr>
            <w:tcW w:w="140" w:type="dxa"/>
            <w:vAlign w:val="bottom"/>
            <w:tcBorders>
              <w:top w:val="single" w:sz="8" w:color="auto"/>
            </w:tcBorders>
            <w:shd w:val="clear" w:color="auto" w:fill="EEEEEE"/>
          </w:tcPr>
          <w:p>
            <w:pPr>
              <w:spacing w:after="0"/>
              <w:rPr>
                <w:sz w:val="19"/>
                <w:szCs w:val="19"/>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12,735</w:t>
            </w:r>
          </w:p>
        </w:tc>
        <w:tc>
          <w:tcPr>
            <w:tcW w:w="380" w:type="dxa"/>
            <w:vAlign w:val="bottom"/>
            <w:tcBorders>
              <w:top w:val="single" w:sz="8" w:color="EEEEEE"/>
            </w:tcBorders>
            <w:shd w:val="clear" w:color="auto" w:fill="EEEEEE"/>
          </w:tcPr>
          <w:p>
            <w:pPr>
              <w:spacing w:after="0"/>
              <w:rPr>
                <w:sz w:val="19"/>
                <w:szCs w:val="19"/>
                <w:color w:val="auto"/>
              </w:rPr>
            </w:pPr>
          </w:p>
        </w:tc>
        <w:tc>
          <w:tcPr>
            <w:tcW w:w="100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1,149</w:t>
            </w:r>
          </w:p>
        </w:tc>
        <w:tc>
          <w:tcPr>
            <w:tcW w:w="380" w:type="dxa"/>
            <w:vAlign w:val="bottom"/>
            <w:tcBorders>
              <w:top w:val="single" w:sz="8" w:color="EEEEEE"/>
            </w:tcBorders>
            <w:shd w:val="clear" w:color="auto" w:fill="EEEEEE"/>
          </w:tcPr>
          <w:p>
            <w:pPr>
              <w:spacing w:after="0"/>
              <w:rPr>
                <w:sz w:val="19"/>
                <w:szCs w:val="19"/>
                <w:color w:val="auto"/>
              </w:rPr>
            </w:pPr>
          </w:p>
        </w:tc>
        <w:tc>
          <w:tcPr>
            <w:tcW w:w="140" w:type="dxa"/>
            <w:vAlign w:val="bottom"/>
            <w:tcBorders>
              <w:top w:val="single" w:sz="8" w:color="auto"/>
            </w:tcBorders>
            <w:shd w:val="clear" w:color="auto" w:fill="EEEEEE"/>
          </w:tcPr>
          <w:p>
            <w:pPr>
              <w:spacing w:after="0"/>
              <w:rPr>
                <w:sz w:val="19"/>
                <w:szCs w:val="19"/>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7,812</w:t>
            </w:r>
          </w:p>
        </w:tc>
        <w:tc>
          <w:tcPr>
            <w:tcW w:w="160" w:type="dxa"/>
            <w:vAlign w:val="bottom"/>
            <w:tcBorders>
              <w:top w:val="single" w:sz="8" w:color="EEEEEE"/>
            </w:tcBorders>
            <w:shd w:val="clear" w:color="auto" w:fill="EEEEEE"/>
          </w:tcPr>
          <w:p>
            <w:pPr>
              <w:spacing w:after="0"/>
              <w:rPr>
                <w:sz w:val="19"/>
                <w:szCs w:val="19"/>
                <w:color w:val="auto"/>
              </w:rPr>
            </w:pPr>
          </w:p>
        </w:tc>
        <w:tc>
          <w:tcPr>
            <w:tcW w:w="220" w:type="dxa"/>
            <w:vAlign w:val="bottom"/>
            <w:tcBorders>
              <w:top w:val="single" w:sz="8" w:color="EEEEEE"/>
            </w:tcBorders>
            <w:shd w:val="clear" w:color="auto" w:fill="EEEEEE"/>
          </w:tcPr>
          <w:p>
            <w:pPr>
              <w:spacing w:after="0"/>
              <w:rPr>
                <w:sz w:val="19"/>
                <w:szCs w:val="19"/>
                <w:color w:val="auto"/>
              </w:rPr>
            </w:pPr>
          </w:p>
        </w:tc>
        <w:tc>
          <w:tcPr>
            <w:tcW w:w="100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1,747</w:t>
            </w:r>
          </w:p>
        </w:tc>
        <w:tc>
          <w:tcPr>
            <w:tcW w:w="280" w:type="dxa"/>
            <w:vAlign w:val="bottom"/>
            <w:tcBorders>
              <w:top w:val="single" w:sz="8" w:color="EEEEEE"/>
            </w:tcBorders>
            <w:shd w:val="clear" w:color="auto" w:fill="EEEEEE"/>
          </w:tcPr>
          <w:p>
            <w:pPr>
              <w:spacing w:after="0"/>
              <w:rPr>
                <w:sz w:val="19"/>
                <w:szCs w:val="19"/>
                <w:color w:val="auto"/>
              </w:rPr>
            </w:pPr>
          </w:p>
        </w:tc>
        <w:tc>
          <w:tcPr>
            <w:tcW w:w="100" w:type="dxa"/>
            <w:vAlign w:val="bottom"/>
            <w:tcBorders>
              <w:top w:val="single" w:sz="8" w:color="EEEEEE"/>
            </w:tcBorders>
            <w:shd w:val="clear" w:color="auto" w:fill="EEEEEE"/>
          </w:tcPr>
          <w:p>
            <w:pPr>
              <w:spacing w:after="0"/>
              <w:rPr>
                <w:sz w:val="19"/>
                <w:szCs w:val="19"/>
                <w:color w:val="auto"/>
              </w:rPr>
            </w:pPr>
          </w:p>
        </w:tc>
        <w:tc>
          <w:tcPr>
            <w:tcW w:w="140" w:type="dxa"/>
            <w:vAlign w:val="bottom"/>
            <w:tcBorders>
              <w:top w:val="single" w:sz="8" w:color="auto"/>
            </w:tcBorders>
            <w:shd w:val="clear" w:color="auto" w:fill="EEEEEE"/>
          </w:tcPr>
          <w:p>
            <w:pPr>
              <w:spacing w:after="0"/>
              <w:rPr>
                <w:sz w:val="19"/>
                <w:szCs w:val="19"/>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12,888</w:t>
            </w:r>
          </w:p>
        </w:tc>
        <w:tc>
          <w:tcPr>
            <w:tcW w:w="160" w:type="dxa"/>
            <w:vAlign w:val="bottom"/>
            <w:tcBorders>
              <w:top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24,329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288,056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20,048</w:t>
            </w:r>
          </w:p>
        </w:tc>
        <w:tc>
          <w:tcPr>
            <w:tcW w:w="3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159,630</w:t>
            </w:r>
          </w:p>
        </w:tc>
        <w:tc>
          <w:tcPr>
            <w:tcW w:w="16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22,838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239,862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auto"/>
        </w:rPr>
        <w:t>____________________________________</w:t>
      </w:r>
    </w:p>
    <w:p>
      <w:pPr>
        <w:spacing w:after="0" w:line="13" w:lineRule="exact"/>
        <w:rPr>
          <w:sz w:val="20"/>
          <w:szCs w:val="20"/>
          <w:color w:val="auto"/>
        </w:rPr>
      </w:pPr>
    </w:p>
    <w:p>
      <w:pPr>
        <w:jc w:val="both"/>
        <w:ind w:firstLine="8"/>
        <w:spacing w:after="0" w:line="250" w:lineRule="auto"/>
        <w:tabs>
          <w:tab w:leader="none" w:pos="278"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jc w:val="both"/>
        <w:ind w:firstLine="8"/>
        <w:spacing w:after="0" w:line="250" w:lineRule="auto"/>
        <w:tabs>
          <w:tab w:leader="none" w:pos="272"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Total Owned Portfolio Excluding Fireside</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6"/>
        </w:trPr>
        <w:tc>
          <w:tcPr>
            <w:tcW w:w="6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4"/>
                <w:szCs w:val="24"/>
                <w:color w:val="auto"/>
              </w:rPr>
            </w:pPr>
          </w:p>
        </w:tc>
        <w:tc>
          <w:tcPr>
            <w:tcW w:w="140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r>
      <w:tr>
        <w:trPr>
          <w:trHeight w:val="210"/>
        </w:trPr>
        <w:tc>
          <w:tcPr>
            <w:tcW w:w="6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1,335,275</w:t>
            </w:r>
          </w:p>
        </w:tc>
        <w:tc>
          <w:tcPr>
            <w:tcW w:w="4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939,512</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1,044,686</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w w:val="97"/>
              </w:rPr>
              <w:t>Annualized net charge-offs as a percentage of average servicing portfolio (2)</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40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Fireside Portfolio</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30,</w:t>
            </w:r>
          </w:p>
        </w:tc>
        <w:tc>
          <w:tcPr>
            <w:tcW w:w="184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8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r>
      <w:tr>
        <w:trPr>
          <w:trHeight w:val="210"/>
        </w:trPr>
        <w:tc>
          <w:tcPr>
            <w:tcW w:w="5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(Dollars in thousands)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6,730</w:t>
            </w:r>
          </w:p>
        </w:tc>
        <w:tc>
          <w:tcPr>
            <w:tcW w:w="184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41,871</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31,293</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w w:val="91"/>
              </w:rPr>
              <w:t>Annualized net charge-offs as a percentage of average servicing portfolio (2)</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850"/>
        </w:trPr>
        <w:tc>
          <w:tcPr>
            <w:tcW w:w="5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36</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1440" w:gutter="0" w:footer="0" w:header="0"/>
        </w:sectPr>
      </w:pPr>
    </w:p>
    <w:bookmarkStart w:id="36" w:name="page37"/>
    <w:bookmarkEnd w:id="36"/>
    <w:p>
      <w:pPr>
        <w:jc w:val="center"/>
        <w:ind w:right="80"/>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Total Owned Portfolio Including Fireside</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52"/>
        </w:trPr>
        <w:tc>
          <w:tcPr>
            <w:tcW w:w="6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4"/>
                <w:szCs w:val="24"/>
                <w:color w:val="auto"/>
              </w:rPr>
            </w:pPr>
          </w:p>
        </w:tc>
        <w:tc>
          <w:tcPr>
            <w:tcW w:w="140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r>
      <w:tr>
        <w:trPr>
          <w:trHeight w:val="210"/>
        </w:trPr>
        <w:tc>
          <w:tcPr>
            <w:tcW w:w="6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1,342,005</w:t>
            </w:r>
          </w:p>
        </w:tc>
        <w:tc>
          <w:tcPr>
            <w:tcW w:w="4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981,383</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1,075,979</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w w:val="97"/>
              </w:rPr>
              <w:t>Annualized net charge-offs as a percentage of average servicing portfolio (2)</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w:t>
      </w:r>
    </w:p>
    <w:p>
      <w:pPr>
        <w:spacing w:after="0" w:line="23" w:lineRule="exact"/>
        <w:rPr>
          <w:sz w:val="20"/>
          <w:szCs w:val="20"/>
          <w:color w:val="auto"/>
        </w:rPr>
      </w:pPr>
    </w:p>
    <w:p>
      <w:pPr>
        <w:ind w:firstLine="8"/>
        <w:spacing w:after="0" w:line="250" w:lineRule="auto"/>
        <w:tabs>
          <w:tab w:leader="none" w:pos="27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54" w:lineRule="auto"/>
        <w:tabs>
          <w:tab w:leader="none" w:pos="26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financial statements. June 30, 2014 and June 30, 2013 percentage represents six months ended June 30, 2014 and June 30, 2013 annualized. December 31, 2013 represents 12 months ended December 31, 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from the obligor, thereby indicating an additional monetary and psychological commitment to the contract on the obligor’s part.</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1" w:lineRule="auto"/>
        <w:tabs>
          <w:tab w:leader="none" w:pos="263"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jc w:val="both"/>
        <w:ind w:firstLine="648"/>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June 30, 2014, for accounts that received extensions from 2008 through 2012 (2013 and 2014 extension data are not included at this time due to insufficient passage of time for meaningful evaluation of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Charged Off &gt;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 Charged Off</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Charged Off</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 Charged Off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Active or Paid</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 Active or</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6 Months</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&gt; 6 Months</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&lt;= 6 Months</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&lt;= 6 Months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Avg Months to</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Period of</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 Extensions</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 at June 30,</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Paid Off at</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After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After</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After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After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Charge Off</w:t>
            </w:r>
          </w:p>
        </w:tc>
      </w:tr>
      <w:tr>
        <w:trPr>
          <w:trHeight w:val="230"/>
        </w:trPr>
        <w:tc>
          <w:tcPr>
            <w:tcW w:w="10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Extension</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Granted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80" w:type="dxa"/>
            <w:vAlign w:val="bottom"/>
          </w:tcPr>
          <w:p>
            <w:pPr>
              <w:spacing w:after="0"/>
              <w:rPr>
                <w:sz w:val="20"/>
                <w:szCs w:val="20"/>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June 30, 2014</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Extension</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Extension</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Extension</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Extension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Post Extension</w:t>
            </w:r>
          </w:p>
        </w:tc>
      </w:tr>
      <w:tr>
        <w:trPr>
          <w:trHeight w:val="210"/>
        </w:trPr>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35,588</w:t>
            </w:r>
          </w:p>
        </w:tc>
        <w:tc>
          <w:tcPr>
            <w:tcW w:w="160" w:type="dxa"/>
            <w:vAlign w:val="bottom"/>
            <w:shd w:val="clear" w:color="auto" w:fill="EEEEEE"/>
          </w:tcPr>
          <w:p>
            <w:pPr>
              <w:spacing w:after="0"/>
              <w:rPr>
                <w:sz w:val="18"/>
                <w:szCs w:val="18"/>
                <w:color w:val="auto"/>
              </w:rPr>
            </w:pPr>
          </w:p>
        </w:tc>
        <w:tc>
          <w:tcPr>
            <w:tcW w:w="1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10,951</w:t>
            </w: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30.8%</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19,818</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55.7%</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4,819</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13.5%</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c>
          <w:tcPr>
            <w:tcW w:w="100" w:type="dxa"/>
            <w:vAlign w:val="bottom"/>
            <w:shd w:val="clear" w:color="auto" w:fill="EEEEEE"/>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9"/>
              </w:rPr>
              <w:t>2009</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32,004</w:t>
            </w:r>
          </w:p>
        </w:tc>
        <w:tc>
          <w:tcPr>
            <w:tcW w:w="160" w:type="dxa"/>
            <w:vAlign w:val="bottom"/>
            <w:shd w:val="clear" w:color="auto" w:fill="EEEEEE"/>
          </w:tcPr>
          <w:p>
            <w:pPr>
              <w:spacing w:after="0"/>
              <w:rPr>
                <w:sz w:val="18"/>
                <w:szCs w:val="18"/>
                <w:color w:val="auto"/>
              </w:rPr>
            </w:pPr>
          </w:p>
        </w:tc>
        <w:tc>
          <w:tcPr>
            <w:tcW w:w="1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10,437</w:t>
            </w: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32.6%</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15,784</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49.3%</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5,783</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18.1%</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shd w:val="clear" w:color="auto" w:fill="EEEEEE"/>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26,167</w:t>
            </w:r>
          </w:p>
        </w:tc>
        <w:tc>
          <w:tcPr>
            <w:tcW w:w="160" w:type="dxa"/>
            <w:vAlign w:val="bottom"/>
            <w:shd w:val="clear" w:color="auto" w:fill="EEEEEE"/>
          </w:tcPr>
          <w:p>
            <w:pPr>
              <w:spacing w:after="0"/>
              <w:rPr>
                <w:sz w:val="18"/>
                <w:szCs w:val="18"/>
                <w:color w:val="auto"/>
              </w:rPr>
            </w:pPr>
          </w:p>
        </w:tc>
        <w:tc>
          <w:tcPr>
            <w:tcW w:w="1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12,735</w:t>
            </w: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48.7%</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11,433</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43.7%</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1,999</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7.6%</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17</w:t>
            </w:r>
          </w:p>
        </w:tc>
        <w:tc>
          <w:tcPr>
            <w:tcW w:w="100" w:type="dxa"/>
            <w:vAlign w:val="bottom"/>
            <w:shd w:val="clear" w:color="auto" w:fill="EEEEEE"/>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84"/>
              </w:rPr>
              <w:t>2011</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18,786</w:t>
            </w:r>
          </w:p>
        </w:tc>
        <w:tc>
          <w:tcPr>
            <w:tcW w:w="160" w:type="dxa"/>
            <w:vAlign w:val="bottom"/>
            <w:shd w:val="clear" w:color="auto" w:fill="EEEEEE"/>
          </w:tcPr>
          <w:p>
            <w:pPr>
              <w:spacing w:after="0"/>
              <w:rPr>
                <w:sz w:val="18"/>
                <w:szCs w:val="18"/>
                <w:color w:val="auto"/>
              </w:rPr>
            </w:pPr>
          </w:p>
        </w:tc>
        <w:tc>
          <w:tcPr>
            <w:tcW w:w="1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11,678</w:t>
            </w: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62.2%</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6,176</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32.9%</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932</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5.0%</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shd w:val="clear" w:color="auto" w:fill="EEEEEE"/>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18,783</w:t>
            </w:r>
          </w:p>
        </w:tc>
        <w:tc>
          <w:tcPr>
            <w:tcW w:w="160" w:type="dxa"/>
            <w:vAlign w:val="bottom"/>
            <w:shd w:val="clear" w:color="auto" w:fill="EEEEEE"/>
          </w:tcPr>
          <w:p>
            <w:pPr>
              <w:spacing w:after="0"/>
              <w:rPr>
                <w:sz w:val="18"/>
                <w:szCs w:val="18"/>
                <w:color w:val="auto"/>
              </w:rPr>
            </w:pPr>
          </w:p>
        </w:tc>
        <w:tc>
          <w:tcPr>
            <w:tcW w:w="1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13,175</w:t>
            </w: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70.1%</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4,812</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25.6%</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796</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4.2%</w:t>
            </w:r>
          </w:p>
        </w:tc>
        <w:tc>
          <w:tcPr>
            <w:tcW w:w="16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shd w:val="clear" w:color="auto" w:fill="EEEEEE"/>
          </w:tcPr>
          <w:p>
            <w:pPr>
              <w:spacing w:after="0"/>
              <w:rPr>
                <w:sz w:val="18"/>
                <w:szCs w:val="18"/>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Table excludes extensions on portfolios serviced for third parties.</w:t>
      </w:r>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the accounts receiving extensions in 2008, 2009, 2010, 2011 and 2012, 30.8%, 33.3%, 48.7%, 62.2% and 70.1%, respectively, were either paid in full or active and performing at June 30, 2014.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extension accounts that ultimately charge off, we consider any that charged off more than six months after the extension to be at least partially successful. For the 2008, 2009, 2010, 2011 and 2012 extensions, of the accounts that charged off, the charge off was incurred, on average, 19, 16, 17, 16 and 11 months, respectively, after the extension, indicating that even in the cases of an ultimate loss, the obligor serviced the account with additional payments of principal and interest.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w w:val="96"/>
              </w:rPr>
              <w:t>Additional information about our extensions is provided in the tables below:</w:t>
            </w: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3440" w:type="dxa"/>
            <w:vAlign w:val="bottom"/>
            <w:gridSpan w:val="4"/>
          </w:tcPr>
          <w:p>
            <w:pPr>
              <w:jc w:val="right"/>
              <w:ind w:right="920"/>
              <w:spacing w:after="0"/>
              <w:rPr>
                <w:sz w:val="20"/>
                <w:szCs w:val="20"/>
                <w:color w:val="auto"/>
              </w:rPr>
            </w:pPr>
            <w:r>
              <w:rPr>
                <w:rFonts w:ascii="Arial" w:cs="Arial" w:eastAsia="Arial" w:hAnsi="Arial"/>
                <w:sz w:val="18"/>
                <w:szCs w:val="18"/>
                <w:color w:val="auto"/>
              </w:rPr>
              <w:t>Six Months Ended June 30,</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3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17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1,911</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1,525</w:t>
            </w: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17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103,682</w:t>
            </w:r>
          </w:p>
        </w:tc>
        <w:tc>
          <w:tcPr>
            <w:tcW w:w="17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90,066</w:t>
            </w:r>
          </w:p>
        </w:tc>
        <w:tc>
          <w:tcPr>
            <w:tcW w:w="15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93,247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w:t>
            </w: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w:t>
            </w:r>
          </w:p>
        </w:tc>
        <w:tc>
          <w:tcPr>
            <w:tcW w:w="15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780" w:type="dxa"/>
            <w:vAlign w:val="bottom"/>
            <w:gridSpan w:val="6"/>
          </w:tcPr>
          <w:p>
            <w:pPr>
              <w:jc w:val="right"/>
              <w:ind w:right="1060"/>
              <w:spacing w:after="0"/>
              <w:rPr>
                <w:sz w:val="20"/>
                <w:szCs w:val="20"/>
                <w:color w:val="auto"/>
              </w:rPr>
            </w:pPr>
            <w:r>
              <w:rPr>
                <w:rFonts w:ascii="Arial" w:cs="Arial" w:eastAsia="Arial" w:hAnsi="Arial"/>
                <w:sz w:val="18"/>
                <w:szCs w:val="18"/>
                <w:color w:val="auto"/>
              </w:rPr>
              <w:t>June 30, 2014</w:t>
            </w:r>
          </w:p>
        </w:tc>
        <w:tc>
          <w:tcPr>
            <w:tcW w:w="2740" w:type="dxa"/>
            <w:vAlign w:val="bottom"/>
            <w:gridSpan w:val="6"/>
          </w:tcPr>
          <w:p>
            <w:pPr>
              <w:ind w:left="700"/>
              <w:spacing w:after="0"/>
              <w:rPr>
                <w:sz w:val="20"/>
                <w:szCs w:val="20"/>
                <w:color w:val="auto"/>
              </w:rPr>
            </w:pPr>
            <w:r>
              <w:rPr>
                <w:rFonts w:ascii="Arial" w:cs="Arial" w:eastAsia="Arial" w:hAnsi="Arial"/>
                <w:sz w:val="18"/>
                <w:szCs w:val="18"/>
                <w:color w:val="auto"/>
              </w:rPr>
              <w:t>June 30, 2013</w:t>
            </w:r>
          </w:p>
        </w:tc>
        <w:tc>
          <w:tcPr>
            <w:tcW w:w="2460" w:type="dxa"/>
            <w:vAlign w:val="bottom"/>
            <w:gridSpan w:val="6"/>
          </w:tcPr>
          <w:p>
            <w:pPr>
              <w:ind w:left="460"/>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20" w:type="dxa"/>
            <w:vAlign w:val="bottom"/>
            <w:tcBorders>
              <w:top w:val="single" w:sz="8" w:color="auto"/>
            </w:tcBorders>
            <w:gridSpan w:val="2"/>
          </w:tcPr>
          <w:p>
            <w:pPr>
              <w:jc w:val="center"/>
              <w:ind w:right="180"/>
              <w:spacing w:after="0" w:line="195" w:lineRule="exact"/>
              <w:rPr>
                <w:sz w:val="20"/>
                <w:szCs w:val="20"/>
                <w:color w:val="auto"/>
              </w:rPr>
            </w:pPr>
            <w:r>
              <w:rPr>
                <w:rFonts w:ascii="Arial" w:cs="Arial" w:eastAsia="Arial" w:hAnsi="Arial"/>
                <w:sz w:val="18"/>
                <w:szCs w:val="18"/>
                <w:color w:val="auto"/>
                <w:w w:val="95"/>
              </w:rPr>
              <w:t>Number of</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Borders>
              <w:top w:val="single" w:sz="8" w:color="auto"/>
            </w:tcBorders>
            <w:gridSpan w:val="2"/>
          </w:tcPr>
          <w:p>
            <w:pPr>
              <w:jc w:val="right"/>
              <w:ind w:right="300"/>
              <w:spacing w:after="0" w:line="195" w:lineRule="exact"/>
              <w:rPr>
                <w:sz w:val="20"/>
                <w:szCs w:val="20"/>
                <w:color w:val="auto"/>
              </w:rPr>
            </w:pPr>
            <w:r>
              <w:rPr>
                <w:rFonts w:ascii="Arial" w:cs="Arial" w:eastAsia="Arial" w:hAnsi="Arial"/>
                <w:sz w:val="18"/>
                <w:szCs w:val="18"/>
                <w:color w:val="auto"/>
              </w:rPr>
              <w:t>Number of</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Borders>
              <w:top w:val="single" w:sz="8" w:color="auto"/>
            </w:tcBorders>
            <w:gridSpan w:val="2"/>
          </w:tcPr>
          <w:p>
            <w:pPr>
              <w:jc w:val="center"/>
              <w:ind w:right="160"/>
              <w:spacing w:after="0" w:line="195" w:lineRule="exact"/>
              <w:rPr>
                <w:sz w:val="20"/>
                <w:szCs w:val="20"/>
                <w:color w:val="auto"/>
              </w:rPr>
            </w:pPr>
            <w:r>
              <w:rPr>
                <w:rFonts w:ascii="Arial" w:cs="Arial" w:eastAsia="Arial" w:hAnsi="Arial"/>
                <w:sz w:val="18"/>
                <w:szCs w:val="18"/>
                <w:color w:val="auto"/>
                <w:w w:val="92"/>
              </w:rPr>
              <w:t>Number of</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Amount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Amount</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Contracts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20" w:type="dxa"/>
            <w:vAlign w:val="bottom"/>
            <w:tcBorders>
              <w:top w:val="single" w:sz="8" w:color="auto"/>
            </w:tcBorders>
            <w:gridSpan w:val="5"/>
          </w:tcPr>
          <w:p>
            <w:pPr>
              <w:jc w:val="right"/>
              <w:ind w:right="330"/>
              <w:spacing w:after="0"/>
              <w:rPr>
                <w:sz w:val="20"/>
                <w:szCs w:val="20"/>
                <w:color w:val="auto"/>
              </w:rPr>
            </w:pPr>
            <w:r>
              <w:rPr>
                <w:rFonts w:ascii="Arial" w:cs="Arial" w:eastAsia="Arial" w:hAnsi="Arial"/>
                <w:sz w:val="18"/>
                <w:szCs w:val="18"/>
                <w:color w:val="auto"/>
              </w:rPr>
              <w:t>(Dollars in thousands)</w:t>
            </w:r>
          </w:p>
        </w:tc>
        <w:tc>
          <w:tcPr>
            <w:tcW w:w="3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17,564</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221,453</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12,955</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123,982</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16,047</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189,684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4,886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54,011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3,963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22,608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9,588</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2,003</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8,189</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1,486</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2,109</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3,697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670</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983</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171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24,329</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288,056</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20,048</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159,630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22,838</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239,862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 originated</w:t>
            </w: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and owned by 3rd parties)</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107,303</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1,372,300</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91,977</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1,061,582</w:t>
            </w:r>
          </w:p>
        </w:tc>
        <w:tc>
          <w:tcPr>
            <w:tcW w:w="32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99,099</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1,228,579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or retain on our balance sheet any accrued interest for contracts that are greater than 90 days past due.</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operating, investing and financing activities, including proceeds from term securitization transactions and other sales of automobile contracts, amounts borrowed under various revolving credit facilities (also sometimes known as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9" w:name="page40"/>
    <w:bookmarkEnd w:id="39"/>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for the six-month period ended June 30, 2014 was $67.3 million compared to net cash provided by operating activities for the six-month period ended June 30, 2013 of $40.4 million. Cash provided by operating activities is significantly affected by our net income, or loss, before provisions for credit losses. The increase is due primarily to the increase in net income before provision for credit losses of $22.1 million.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investing activities for the six-month period ended June 30, 2014 was $200.3 million compared to net cash used by investing activities of $204.1 million in the prior year period. Cash provided by investing activities primarily results from principal payments and other proceeds received on finance receivables held for investment and reductions in restricted cash. Cash used in investing activities generally relates to purchases of automobile contracts. Purchases of finance receivables held for investment were $401.3 million and $383.9 million during the first six months of 2014 and 2013, respectively.</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Net cash provided by financing activities for the six months ended June 30, 2014 was $125.3 million compared to net cash provided by financing activities of $169.3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six months of 2014, we issued $382.5 million in new securitization trust debt compared to $390.0 million in the same period of 2013. In addition, we repaid $233.8 million in securitization trust debt and $8.6 million in debt associated with the Fireside portfolio in the six months ended June 30, 2014 compared to repayments of securitization trust debt of $188.2 million and repayment of $32.5 million in debt associated with the Fireside portfolio in the prior year period. In the six months ended June 30, 2014, we received net proceeds on warehouse lines of credit of $31.8 million, compared to net repayments of $4.6 million in the prior year’s period. During the first six months of 2014, we repaid in full $39.2 million of senior secured related party debt compared to $12.1 million in repayments of senior secured related party debt in the prior year’s period.</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and may in the future be limited in our ability to purchase automobile contracts due to limits on our capital. As of June 30, 2014, we had unrestricted cash of $14.4 million, $76.8 million available under one warehouse credit facility and $81.9 million available under another warehouse credit facility (such figures assume the availability of sufficient eligible collateral). During the six-month period ended June 30, 2014, we completed two securitizations aggregating $382.5 million of notes sold. We intend to complete more securitizations during 2014, although there can be no assurance that we will be able to so.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 Moreover, certain of our retained interests in securitization transactions and their related spread accounts are pledged as collateral to our residual interest financing and cash releases from these transactions will be used to repay the financings.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jc w:val="both"/>
        <w:ind w:firstLine="648"/>
        <w:spacing w:after="0" w:line="302" w:lineRule="auto"/>
        <w:rPr>
          <w:sz w:val="20"/>
          <w:szCs w:val="20"/>
          <w:color w:val="auto"/>
        </w:rPr>
      </w:pPr>
      <w:r>
        <w:rPr>
          <w:rFonts w:ascii="Arial" w:cs="Arial" w:eastAsia="Arial" w:hAnsi="Arial"/>
          <w:sz w:val="16"/>
          <w:szCs w:val="16"/>
          <w:color w:val="auto"/>
        </w:rPr>
        <w:t>One of our securitization transactions, our warehouse credit facilities, our residual interest financing and our financing for the Fireside portfolio contain various financial covenants requiring certain minimum financial ratios and results. Such covenants include maintaining minimum levels of liquidity and net worth and not exceeding maximum leverage levels. In addition, some agreements contain cross-default provisions that would allow certain creditors to declare a default if a default occurred under a different facility. As of June 30, 2014, we were in compliance with all such financial covenants.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and will continue to have a substantial amount of indebtedness. At June 30, 2014, we had approximately $1,405.1 million of debt outstanding. Such debt consisted primarily of $1,326.3 million of securitization trust debt, and also included $5.4 million in debt for the acquisition of the Fireside portfolio, $41.3 million of warehouse lines of credit, $14.1 million of residual interest financing and $18.0 million in subordinated renewable notes. We are also currently offering the subordinated notes to the public on a continuous basis, and such notes have maturities that range from three months to 10 years.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recent operating results include pre-tax earnings of $24.1 million for the six months ended June 30, 2014 and $37.2 million and $9.2 million for the years ended December 31, 2013 and December 31, 2012, respectively. Those periods were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our accounting policies related to (a) Allowance for Finance Credit Losses, (b) Amortization of Deferred Originations Costs and Acquisition Fees, (c) Term Securitizations, (d) Finance Receivables and Related Debt Measured at Fair Value, (e) Accrual for Contingent Liabilities, and (f) Income Taxes are the most critical to understanding and evaluating our reported financial results. Such policies are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estimate an appropriate allowance for losses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For each monthly pool of contracts that we purchase, we begin establishing the allowance in the month of acquisition and increase it over the subsequent 11 months, through a provision for credit losses charged to our consolidated statement of operations.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As of June 30, 2014 the weighted average age of our portfolio of finance receivables was 14 months.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Originations Costs and Acquisition Fees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purchase of a contract from a dealer, we generally either charge or advance the dealer an acquisition fee. In addition, we incur certain direct costs associated with originations of our contracts. All such acquisition fees and direct costs are applied to the carrying value of finance receivables and are accreted into earnings as an adjustment to the yield over the estimated life of the contract using the interest method.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 Through 2008, we generally purchased external credit enhancement for most of our term securitizations in the form of a financial guaranty insurance policy, guaranteeing timely payment of interest and ultimate payment of principal on the senior asset-backed securities, from an insurance company. However, in our 14 most recent securitizations since 2010, we have not purchased financial guaranty insurance policies and do not expect to do so in the near future.</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w:t>
      </w:r>
    </w:p>
    <w:p>
      <w:pPr>
        <w:jc w:val="both"/>
        <w:ind w:firstLine="8"/>
        <w:spacing w:after="0" w:line="251" w:lineRule="auto"/>
        <w:tabs>
          <w:tab w:leader="none" w:pos="3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September 2008 securitization and the subsequent re-securitization of the remaining receivables from such transaction in September 2010 were each in substance sales of the underlying receivables, and have been treated as sales for financial accounting purposes. They differ from those treated as secured financings in that the trust to which our special-purpose subsidiaries sold the automobile contracts met the definition of a "qualified special-purpose entity" under Statement of Financial Accounting Standards No. 140 (ASC 860 10 65-2). As a result, assets and liabilities of those trusts are not consolidated into our consolidated balance sheet.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Historically, our warehouse credit facility structures were similar to the above, except that (i) our special-purpose subsidiaries that purchased the automobile contracts pledged the automobile contracts to secure promissory notes that they issued, (ii) no increase in the required amount of internal credit enhancement was contemplated, and (iii) we did not purchase financial guaranty insurance.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each transfer of automobile contracts in a transaction structured as a secured financing for financial accounting purposes, whether a term securitization or a warehouse financing, we retain on our consolidated balance sheet the related automobile contracts as assets and record the asset-backed notes or loans issued in the transaction as indebtedness.</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the September 2008 and September 2010 securitizations, and other term securitizations completed prior to July 2003 that were structured as sales for financial accounting purposes, we removed from our consolidated balance sheet the automobile contracts sold and added to our consolidated balance sheet (i) the cash received, if any, and (ii) the estimated fair value of the ownership interest that we retained in the automobile contracts sold in the transaction. That retained or residual interest consisted of (a) the cash held in the spread account, if any, (b) overcollateralization, if any, (c) asset-backed securities retained, if any, and (d) receivables from the trust, which include the net interest receivables. Net interest receivables represent the estimated discounted cash flows to be received from the trust in the future, net of principal and interest payable with respect to the asset-backed notes, the premium paid to the insurance company, if any, and certain other expenses. The excess of the cash received and the assets we retained over the carrying value of the automobile contracts sold, less transaction costs, equaled the net gain on sale of automobile contracts we recorded.</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ind w:firstLine="648"/>
        <w:spacing w:after="0" w:line="270" w:lineRule="auto"/>
        <w:rPr>
          <w:sz w:val="20"/>
          <w:szCs w:val="20"/>
          <w:color w:val="auto"/>
        </w:rPr>
      </w:pPr>
      <w:r>
        <w:rPr>
          <w:rFonts w:ascii="Arial" w:cs="Arial" w:eastAsia="Arial" w:hAnsi="Arial"/>
          <w:sz w:val="17"/>
          <w:szCs w:val="17"/>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and Related Debt Measured at Fair Value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September 2011 we purchased finance receivables from Fireside Bank. These receivables are secured by debt that was structured specifically for the acquisition of this portfolio.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There are limited observable inputs available to us for measurement of such receivables, or for the related debt. We use our own assumptions about the factors that we believe market participants would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Contingent Liabilities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recorded a liability as of June 30, 2014, which represents our best estimate of probable incurred losses for legal contingencies.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June 30, 2014, and in excess of the liability we have recorded, is from $0 to $1.2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jc w:val="both"/>
        <w:ind w:firstLine="648"/>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As a result of the unprecedented adverse changes in the market for securitizations, the recession and the resulting high levels of unemployment that occurred in 2008 and 2009, we incurred substantial operating losses from 2009 through 2011 which led us to establish a valuation allowance against a substantial portion of our deferred tax assets. However, from the fourth quarter of 2011 through June 2014, we reported 11 consecutive quarters of increasing profitability. Furthermore, we demonstrated an ability to increase our volumes of contract purchases, grow our managed portfolio and obtain cost effective short- and long-term financing for our finance receivables.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interest and penalties related to unrecognized tax benefits, if any, within the income tax expense line in the consolidated statement of operations. Accrued interest and penalties are included within the related tax liability line in the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information provided under the caption “Legal Proceedings,” Note 9 to the Unaudited Condensed Consolidated Financial Statements, included in Part I of this report, is incorporated herein by reference. The lawsuit described there as having been filed by the FTC was filed in the United States District Court for the Central District of California. The parties are the Company and the United States of America (acting upon notification and authorization to the Attorney General by the Federal Trade Commission). The activities that form the factual basis for the lawsuit were alleged failures to comply with debt collection practices laws and with the FTC’s furnisher rule relating to consumer credit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10, 2014.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Regulations, Our Results of Operations May Be Impaired.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materially comply with all laws and regulations applicable to us could materially and adversely affect our ability to operate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numerous federal and state consumer protection laws and regulations, which, among other things:</w:t>
      </w:r>
    </w:p>
    <w:p>
      <w:pPr>
        <w:spacing w:after="0" w:line="21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obtain and maintain certain licenses and qualifications;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the interest rates, fees and other charges we are allowed to charge;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or prescribe certain other terms of our automobile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specific disclosures to our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define our rights to repossess and sell collateral;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safeguards designed to protect the security and confidentiality of customer information.</w:t>
      </w:r>
    </w:p>
    <w:p>
      <w:pPr>
        <w:spacing w:after="0" w:line="3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industry is also at times investigated by regulators and offices of state attorneys general, which could lead to enforcement actions, fines and penalties, or the assertion of private claims and law suits against us. Among others, both the FTC and the Consumer Financial Protection Bureau (“CFPB”) have the authority to investigate consumer complaints against us, to conduct inquiries at their own instance, and to recommend enforcement actions and seek monetary penalties. Following an FTC inquiry into our practices, we have agreed to the entry of a judgment against us that requires certain payments and changes in our procedures. (Regarding that judgment, see Note 9 to the condensed consolidated financial statements included in this report.) If we fail to comply with applicable laws and regulations, or with regulators’ interpretations of such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6" w:name="page47"/>
    <w:bookmarkEnd w:id="46"/>
    <w:p>
      <w:pPr>
        <w:ind w:right="20" w:firstLine="648"/>
        <w:spacing w:after="0" w:line="308" w:lineRule="auto"/>
        <w:rPr>
          <w:sz w:val="20"/>
          <w:szCs w:val="20"/>
          <w:color w:val="auto"/>
        </w:rPr>
      </w:pPr>
      <w:r>
        <w:rPr>
          <w:rFonts w:ascii="Arial" w:cs="Arial" w:eastAsia="Arial" w:hAnsi="Arial"/>
          <w:sz w:val="17"/>
          <w:szCs w:val="17"/>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4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applicable laws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existing laws or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interpretation of existing laws or regulations;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additional laws or regulations that may be enacted in the future</w:t>
      </w:r>
      <w:r>
        <w:rPr>
          <w:rFonts w:ascii="Arial" w:cs="Arial" w:eastAsia="Arial" w:hAnsi="Arial"/>
          <w:sz w:val="18"/>
          <w:szCs w:val="18"/>
          <w:i w:val="1"/>
          <w:i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and will continue to have a substantial amount of indebtedness. At June 30, 2014, we had approximately $1,405.1 million of debt outstanding. Such debt consisted primarily of $1,326.3 million of securitization trust debt, and also included $5.4 million in debt for the acquisition of the Fireside portfolio, $41.3 million of warehouse lines of credit, $14.1 million of residual interest financing and $18.0 million in subordinated renewable notes (which are outstanding with maturities that range from three months to 10 years). Our substantial indebtedness could adversely affect our financial condition by, among other things:</w:t>
      </w:r>
    </w:p>
    <w:p>
      <w:pPr>
        <w:spacing w:after="0" w:line="188"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33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an increase in interest rates results in a decrease in our cash flow from excess spread, our results of operations may be impaired.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partially to offset increases in our cost of funds by increasing fees we charge to dealers when purchasing contracts, or by demanding higher interest rates on contracts we purchase, there can be no assurance that such actions would offset the entire increase in interest that we might pay to finance our managed portfolio.</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Several factors affect our ability to manage interest rate risk. Specifically, we are subject to interest rate risk during the period after we purchase automobile contracts from dealers and before we finance such contracts in a term securitization. Interest rates on warehouse credit facilities are typically adjustable, while the interest rates on the automobile contracts are fixed. If interest rates increase, the interest we must pay to the lenders under warehouse credit facilities is likely to increase, while the interest we collect from those warehoused automobile contracts remains the same. Therefore, during the warehousing period, excess spread cash flow would likely decrease. Additionally, contracts warehoused and then securitized during a rising interest rate environment may result in less excess spread cash flow as our securitizations typically have paid interest rates set at prevailing interest rates at the time of the closing of the securitization, which may not take place until several months after we purchased those contracts. Our customers, on the other hand, pay fixed rates of interest on the contracts, which are agreed to at the time they purchase the underlying vehicles. A decrease in excess spread cash flow could adversely affect our earnings and cash flow.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jc w:val="both"/>
        <w:ind w:firstLine="648"/>
        <w:spacing w:after="0" w:line="289" w:lineRule="auto"/>
        <w:rPr>
          <w:sz w:val="20"/>
          <w:szCs w:val="20"/>
          <w:color w:val="auto"/>
        </w:rPr>
      </w:pPr>
      <w:r>
        <w:rPr>
          <w:rFonts w:ascii="Arial" w:cs="Arial" w:eastAsia="Arial" w:hAnsi="Arial"/>
          <w:sz w:val="16"/>
          <w:szCs w:val="16"/>
          <w:color w:val="auto"/>
        </w:rPr>
        <w:t>To mitigate, but not eliminate, the short-term risk relating to floating interest rates payable under the warehouse facilities, we have historically held automobile contracts in the warehouse credit facilities for less than four months. To mitigate, but not eliminate, the long-term risk relating to interest rates payable in securitizations, we have in the past, and intend to continue to, structure some of our securitization transactions to include pre-funding structures, whereby the amount of securities issued exceeds the amount of contracts initially sold into the securitization. In pre-funding, the proceeds from the pre-funded portion are held in an escrow account until we sell the additional contracts into the securitization. In pre-funded securitizations, we effectively lock in our borrowing costs with respect to the contracts we subsequently sell into the securitization. However, we incur an expense in pre-funded securitizations equal to the difference between the money market yields earned on the proceeds held in escrow prior to subsequent delivery of contracts and the interest rate paid on the securities issued in the securitization. The amount of such expense may vary. Despite these mitigation strategies, an increase in prevailing interest rates would cause us to receive less excess spread cash flow on automobile contracts, and thus could adversely affect our earnings and cash flow.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2014, we repurchased no shares from existing shareholders, as reflected in the table below. We are deemed to have re-purchased 73,788 shares of our common stock, in a net exercise of outstanding warrants. In this transaction, the holders of a series of warrants purchased 395,000 shares of our common stock, and paid the aggregate $583,000 exercise price by surrender to us of 73,788 of such 395,000 shares. The result of the transaction was the net issuance of 321,212 shares to the holders of such warrants.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3"/>
          </w:tcPr>
          <w:p>
            <w:pPr>
              <w:spacing w:after="0"/>
              <w:rPr>
                <w:sz w:val="20"/>
                <w:szCs w:val="20"/>
                <w:color w:val="auto"/>
              </w:rPr>
            </w:pPr>
            <w:r>
              <w:rPr>
                <w:rFonts w:ascii="Arial" w:cs="Arial" w:eastAsia="Arial" w:hAnsi="Arial"/>
                <w:sz w:val="18"/>
                <w:szCs w:val="18"/>
                <w:b w:val="1"/>
                <w:bCs w:val="1"/>
                <w:color w:val="auto"/>
                <w:w w:val="91"/>
              </w:rPr>
              <w:t>Issuer Purchases of Equity Securities</w:t>
            </w: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Total Number of</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Shares Purchased as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Number of</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Part of Publicly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May Yet be Purchased</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Shares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Price Paid</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Announced Plans or</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34"/>
        </w:trPr>
        <w:tc>
          <w:tcPr>
            <w:tcW w:w="2960" w:type="dxa"/>
            <w:vAlign w:val="bottom"/>
            <w:gridSpan w:val="3"/>
          </w:tcPr>
          <w:p>
            <w:pPr>
              <w:ind w:left="680"/>
              <w:spacing w:after="0"/>
              <w:rPr>
                <w:sz w:val="20"/>
                <w:szCs w:val="20"/>
                <w:color w:val="auto"/>
              </w:rPr>
            </w:pPr>
            <w:r>
              <w:rPr>
                <w:rFonts w:ascii="Arial" w:cs="Arial" w:eastAsia="Arial" w:hAnsi="Arial"/>
                <w:sz w:val="18"/>
                <w:szCs w:val="18"/>
                <w:b w:val="1"/>
                <w:bCs w:val="1"/>
                <w:color w:val="auto"/>
              </w:rPr>
              <w:t>Period(1)</w:t>
            </w: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Purchased</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per Share</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Programs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Programs (2)</w:t>
            </w:r>
          </w:p>
        </w:tc>
        <w:tc>
          <w:tcPr>
            <w:tcW w:w="0" w:type="dxa"/>
            <w:vAlign w:val="bottom"/>
          </w:tcPr>
          <w:p>
            <w:pPr>
              <w:spacing w:after="0"/>
              <w:rPr>
                <w:sz w:val="1"/>
                <w:szCs w:val="1"/>
                <w:color w:val="auto"/>
              </w:rPr>
            </w:pPr>
          </w:p>
        </w:tc>
      </w:tr>
      <w:tr>
        <w:trPr>
          <w:trHeight w:val="210"/>
        </w:trPr>
        <w:tc>
          <w:tcPr>
            <w:tcW w:w="2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April 2014</w:t>
            </w:r>
          </w:p>
        </w:tc>
        <w:tc>
          <w:tcPr>
            <w:tcW w:w="12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EEEEE"/>
          </w:tcPr>
          <w:p>
            <w:pPr>
              <w:jc w:val="right"/>
              <w:ind w:right="1430"/>
              <w:spacing w:after="0"/>
              <w:rPr>
                <w:sz w:val="20"/>
                <w:szCs w:val="20"/>
                <w:color w:val="auto"/>
              </w:rPr>
            </w:pPr>
            <w:r>
              <w:rPr>
                <w:rFonts w:ascii="Arial" w:cs="Arial" w:eastAsia="Arial" w:hAnsi="Arial"/>
                <w:sz w:val="18"/>
                <w:szCs w:val="18"/>
                <w:color w:val="auto"/>
                <w:w w:val="79"/>
              </w:rPr>
              <w:t>$</w:t>
            </w:r>
          </w:p>
        </w:tc>
        <w:tc>
          <w:tcPr>
            <w:tcW w:w="244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16"/>
        </w:trPr>
        <w:tc>
          <w:tcPr>
            <w:tcW w:w="2960" w:type="dxa"/>
            <w:vAlign w:val="bottom"/>
            <w:gridSpan w:val="3"/>
          </w:tcPr>
          <w:p>
            <w:pPr>
              <w:ind w:left="120"/>
              <w:spacing w:after="0"/>
              <w:rPr>
                <w:sz w:val="20"/>
                <w:szCs w:val="20"/>
                <w:color w:val="auto"/>
              </w:rPr>
            </w:pPr>
            <w:r>
              <w:rPr>
                <w:rFonts w:ascii="Arial" w:cs="Arial" w:eastAsia="Arial" w:hAnsi="Arial"/>
                <w:sz w:val="18"/>
                <w:szCs w:val="18"/>
                <w:color w:val="auto"/>
              </w:rPr>
              <w:t>May 2014</w:t>
            </w:r>
          </w:p>
        </w:tc>
        <w:tc>
          <w:tcPr>
            <w:tcW w:w="120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30"/>
              <w:spacing w:after="0"/>
              <w:rPr>
                <w:sz w:val="20"/>
                <w:szCs w:val="20"/>
                <w:color w:val="auto"/>
              </w:rPr>
            </w:pPr>
            <w:r>
              <w:rPr>
                <w:rFonts w:ascii="Arial" w:cs="Arial" w:eastAsia="Arial" w:hAnsi="Arial"/>
                <w:sz w:val="18"/>
                <w:szCs w:val="18"/>
                <w:color w:val="auto"/>
                <w:w w:val="79"/>
              </w:rPr>
              <w:t>$</w:t>
            </w:r>
          </w:p>
        </w:tc>
        <w:tc>
          <w:tcPr>
            <w:tcW w:w="24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June 2014</w:t>
            </w:r>
          </w:p>
        </w:tc>
        <w:tc>
          <w:tcPr>
            <w:tcW w:w="580" w:type="dxa"/>
            <w:vAlign w:val="bottom"/>
            <w:shd w:val="clear" w:color="auto" w:fill="EEEEEE"/>
          </w:tcPr>
          <w:p>
            <w:pPr>
              <w:spacing w:after="0"/>
              <w:rPr>
                <w:sz w:val="19"/>
                <w:szCs w:val="19"/>
                <w:color w:val="auto"/>
              </w:rPr>
            </w:pPr>
          </w:p>
        </w:tc>
        <w:tc>
          <w:tcPr>
            <w:tcW w:w="12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EEEEE"/>
          </w:tcPr>
          <w:p>
            <w:pPr>
              <w:spacing w:after="0"/>
              <w:rPr>
                <w:sz w:val="19"/>
                <w:szCs w:val="19"/>
                <w:color w:val="auto"/>
              </w:rPr>
            </w:pPr>
          </w:p>
        </w:tc>
        <w:tc>
          <w:tcPr>
            <w:tcW w:w="244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23"/>
        </w:trPr>
        <w:tc>
          <w:tcPr>
            <w:tcW w:w="23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ind w:right="14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9"/>
                <w:szCs w:val="19"/>
                <w:color w:val="auto"/>
              </w:rPr>
            </w:pPr>
          </w:p>
        </w:tc>
        <w:tc>
          <w:tcPr>
            <w:tcW w:w="18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8"/>
                <w:szCs w:val="18"/>
                <w:i w:val="1"/>
                <w:iCs w:val="1"/>
                <w:color w:val="auto"/>
              </w:rPr>
              <w:t>____________________</w:t>
            </w:r>
          </w:p>
        </w:tc>
        <w:tc>
          <w:tcPr>
            <w:tcW w:w="32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40" w:hanging="508"/>
        <w:spacing w:after="0"/>
        <w:tabs>
          <w:tab w:leader="none" w:pos="84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840" w:hanging="508"/>
        <w:spacing w:after="0" w:line="255" w:lineRule="auto"/>
        <w:tabs>
          <w:tab w:leader="none" w:pos="84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Through June 30, 2014, our board of directors had authorized the purchase of up to $34.5 million of our outstanding securities, which program was first announced in our annual report for the year 2002, filed on March 26, 2003. All purchases described in the table above were under the plan announced in March 2003, which has no fixed expiration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4.14</w:t>
            </w: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Instruments defining the rights of holders of long-term debt of certain consolidated subsidiaries of the registrant are omitted pursuant to the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4"/>
              </w:rPr>
              <w:t>exclusion set forth in subdivisions (b)(iv)(iii)(A) and (b)(v) of Item 601 of Regulation S-K (17 CFR 229.601). The registrant agrees to provide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copies of such instruments to the United States Securities and Exchange Commission upon request.</w:t>
            </w:r>
          </w:p>
        </w:tc>
      </w:t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4.55</w:t>
            </w:r>
          </w:p>
        </w:tc>
        <w:tc>
          <w:tcPr>
            <w:tcW w:w="10800" w:type="dxa"/>
            <w:vAlign w:val="bottom"/>
          </w:tcPr>
          <w:p>
            <w:pPr>
              <w:ind w:left="300"/>
              <w:spacing w:after="0"/>
              <w:rPr>
                <w:sz w:val="20"/>
                <w:szCs w:val="20"/>
                <w:color w:val="auto"/>
              </w:rPr>
            </w:pPr>
            <w:r>
              <w:rPr>
                <w:rFonts w:ascii="Arial" w:cs="Arial" w:eastAsia="Arial" w:hAnsi="Arial"/>
                <w:sz w:val="18"/>
                <w:szCs w:val="18"/>
                <w:color w:val="auto"/>
                <w:w w:val="94"/>
              </w:rPr>
              <w:t>Indenture dated June 1, 2014 re Notes issued by CPS Auto Receivables Trust 2014-B. Incorporated by reference to the exhibit filed with the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registrant’s Form 8-K on June 24, 2014.</w:t>
            </w:r>
          </w:p>
        </w:tc>
      </w:t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4.56</w:t>
            </w: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Sale and Servicing Agreement dated as of June 1, 2014. Incorporated by reference to the exhibit filed with the registrant’s Form 8-K on June 24,</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2014.</w:t>
            </w:r>
          </w:p>
        </w:tc>
      </w:t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10800" w:type="dxa"/>
            <w:vAlign w:val="bottom"/>
          </w:tcPr>
          <w:p>
            <w:pPr>
              <w:ind w:left="300"/>
              <w:spacing w:after="0"/>
              <w:rPr>
                <w:sz w:val="20"/>
                <w:szCs w:val="20"/>
                <w:color w:val="auto"/>
              </w:rPr>
            </w:pPr>
            <w:r>
              <w:rPr>
                <w:rFonts w:ascii="Arial" w:cs="Arial" w:eastAsia="Arial" w:hAnsi="Arial"/>
                <w:sz w:val="18"/>
                <w:szCs w:val="18"/>
                <w:color w:val="auto"/>
              </w:rPr>
              <w:t>Rule 13a-14(a) Certification of the Chief Executive Officer of the registrant.</w:t>
            </w:r>
          </w:p>
        </w:tc>
      </w:t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10800" w:type="dxa"/>
            <w:vAlign w:val="bottom"/>
          </w:tcPr>
          <w:p>
            <w:pPr>
              <w:ind w:left="300"/>
              <w:spacing w:after="0"/>
              <w:rPr>
                <w:sz w:val="20"/>
                <w:szCs w:val="20"/>
                <w:color w:val="auto"/>
              </w:rPr>
            </w:pPr>
            <w:r>
              <w:rPr>
                <w:rFonts w:ascii="Arial" w:cs="Arial" w:eastAsia="Arial" w:hAnsi="Arial"/>
                <w:sz w:val="18"/>
                <w:szCs w:val="18"/>
                <w:color w:val="auto"/>
              </w:rPr>
              <w:t>Rule 13a-14(a) Certification of the Chief Financial Officer of the registrant.</w:t>
            </w:r>
          </w:p>
        </w:tc>
      </w:tr>
    </w:tbl>
    <w:p>
      <w:pPr>
        <w:ind w:left="920" w:hanging="91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210" w:lineRule="exact"/>
        <w:rPr>
          <w:rFonts w:ascii="Arial" w:cs="Arial" w:eastAsia="Arial" w:hAnsi="Arial"/>
          <w:sz w:val="18"/>
          <w:szCs w:val="18"/>
          <w:color w:val="auto"/>
        </w:rPr>
      </w:pPr>
    </w:p>
    <w:p>
      <w:pPr>
        <w:jc w:val="both"/>
        <w:ind w:firstLine="648"/>
        <w:spacing w:after="0" w:line="312" w:lineRule="auto"/>
        <w:rPr>
          <w:rFonts w:ascii="Arial" w:cs="Arial" w:eastAsia="Arial" w:hAnsi="Arial"/>
          <w:sz w:val="18"/>
          <w:szCs w:val="18"/>
          <w:color w:val="auto"/>
        </w:rPr>
      </w:pPr>
      <w:r>
        <w:rPr>
          <w:rFonts w:ascii="Arial" w:cs="Arial" w:eastAsia="Arial" w:hAnsi="Arial"/>
          <w:sz w:val="16"/>
          <w:szCs w:val="16"/>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2014</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CHARLES E. BRADLEY, JR.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2014</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P. FRITZ</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2014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420"/>
          </w:cols>
          <w:pgMar w:left="240" w:top="121" w:right="239" w:bottom="1440" w:gutter="0" w:footer="0" w:header="0"/>
        </w:sectPr>
      </w:pPr>
    </w:p>
    <w:bookmarkStart w:id="51" w:name="page52"/>
    <w:bookmarkEnd w:id="51"/>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2014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June 30, 2014,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800" w:hanging="299"/>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80" w:firstLine="501"/>
        <w:spacing w:after="0" w:line="501" w:lineRule="auto"/>
        <w:tabs>
          <w:tab w:leader="none" w:pos="78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28, 2014</w:t>
      </w:r>
    </w:p>
    <w:p>
      <w:pPr>
        <w:spacing w:after="0"/>
        <w:rPr>
          <w:sz w:val="20"/>
          <w:szCs w:val="20"/>
          <w:color w:val="auto"/>
        </w:rPr>
      </w:pPr>
      <w:r>
        <w:rPr>
          <w:rFonts w:ascii="Arial" w:cs="Arial" w:eastAsia="Arial" w:hAnsi="Arial"/>
          <w:sz w:val="18"/>
          <w:szCs w:val="18"/>
          <w:u w:val="single" w:color="auto"/>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lowerRoman"/>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4"/>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1)"/>
      <w:numFmt w:val="decimal"/>
      <w:start w:val="6"/>
    </w:lvl>
  </w:abstractNum>
  <w:abstractNum w:abstractNumId="8">
    <w:nsid w:val="257130A3"/>
    <w:multiLevelType w:val="hybridMultilevel"/>
    <w:lvl w:ilvl="0">
      <w:lvlJc w:val="left"/>
      <w:lvlText w:val="(%1)"/>
      <w:numFmt w:val="decimal"/>
      <w:start w:val="8"/>
    </w:lvl>
  </w:abstractNum>
  <w:abstractNum w:abstractNumId="9">
    <w:nsid w:val="62BBD95A"/>
    <w:multiLevelType w:val="hybridMultilevel"/>
    <w:lvl w:ilvl="0">
      <w:lvlJc w:val="left"/>
      <w:lvlText w:val="(%1)"/>
      <w:numFmt w:val="decimal"/>
      <w:start w:val="9"/>
    </w:lvl>
  </w:abstractNum>
  <w:abstractNum w:abstractNumId="10">
    <w:nsid w:val="436C6125"/>
    <w:multiLevelType w:val="hybridMultilevel"/>
    <w:lvl w:ilvl="0">
      <w:lvlJc w:val="left"/>
      <w:lvlText w:val="(%1)"/>
      <w:numFmt w:val="decimal"/>
      <w:start w:val="10"/>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2"/>
    </w:lvl>
  </w:abstractNum>
  <w:abstractNum w:abstractNumId="20">
    <w:nsid w:val="4353D0CD"/>
    <w:multiLevelType w:val="hybridMultilevel"/>
    <w:lvl w:ilvl="0">
      <w:lvlJc w:val="left"/>
      <w:lvlText w:val="(%1)"/>
      <w:numFmt w:val="lowerRoman"/>
      <w:start w:val="4"/>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32"/>
    </w:lvl>
    <w:lvl w:ilvl="1">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2019-12-06T07:22:39Z</dcterms:created>
  <dcterms:modified xsi:type="dcterms:W3CDTF">2019-12-06T07:22:39Z</dcterms:modified>
</cp:coreProperties>
</file>