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740" w:right="1700" w:hanging="3687"/>
        <w:spacing w:after="0" w:line="501" w:lineRule="auto"/>
        <w:tabs>
          <w:tab w:leader="none" w:pos="57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2013</w:t>
      </w:r>
    </w:p>
    <w:p>
      <w:pPr>
        <w:ind w:left="4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1-11416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CONSUMER PORTFOLIO SERVICES,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4"/>
              </w:rPr>
              <w:t>California</w:t>
            </w:r>
          </w:p>
        </w:tc>
        <w:tc>
          <w:tcPr>
            <w:tcW w:w="364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1"/>
              </w:rPr>
              <w:t>19500 Jamboree Road, Irvine, California</w:t>
            </w:r>
          </w:p>
        </w:tc>
        <w:tc>
          <w:tcPr>
            <w:tcW w:w="3640" w:type="dxa"/>
            <w:vAlign w:val="bottom"/>
          </w:tcPr>
          <w:p>
            <w:pPr>
              <w:jc w:val="right"/>
              <w:ind w:right="930"/>
              <w:spacing w:after="0"/>
              <w:rPr>
                <w:sz w:val="20"/>
                <w:szCs w:val="20"/>
                <w:color w:val="auto"/>
              </w:rPr>
            </w:pPr>
            <w:r>
              <w:rPr>
                <w:rFonts w:ascii="Arial" w:cs="Arial" w:eastAsia="Arial" w:hAnsi="Arial"/>
                <w:sz w:val="18"/>
                <w:szCs w:val="18"/>
                <w:color w:val="auto"/>
              </w:rPr>
              <w:t>92612</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T No £</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70"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8"/>
          <w:szCs w:val="18"/>
          <w:color w:val="auto"/>
        </w:rPr>
        <w:t>Large Accelerated Filer £</w:t>
      </w:r>
      <w:r>
        <w:rPr>
          <w:sz w:val="20"/>
          <w:szCs w:val="20"/>
          <w:color w:val="auto"/>
        </w:rPr>
        <w:tab/>
      </w:r>
      <w:r>
        <w:rPr>
          <w:rFonts w:ascii="Arial" w:cs="Arial" w:eastAsia="Arial" w:hAnsi="Arial"/>
          <w:sz w:val="16"/>
          <w:szCs w:val="16"/>
          <w:color w:val="auto"/>
        </w:rPr>
        <w:t>Accelerated Filer £</w:t>
      </w:r>
    </w:p>
    <w:p>
      <w:pPr>
        <w:spacing w:after="0" w:line="23"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8"/>
          <w:szCs w:val="18"/>
          <w:color w:val="auto"/>
        </w:rPr>
        <w:t>Non-Accelerated Filer £</w:t>
      </w:r>
      <w:r>
        <w:rPr>
          <w:sz w:val="20"/>
          <w:szCs w:val="20"/>
          <w:color w:val="auto"/>
        </w:rPr>
        <w:tab/>
      </w:r>
      <w:r>
        <w:rPr>
          <w:rFonts w:ascii="Arial" w:cs="Arial" w:eastAsia="Arial" w:hAnsi="Arial"/>
          <w:sz w:val="16"/>
          <w:szCs w:val="16"/>
          <w:color w:val="auto"/>
        </w:rPr>
        <w:t>Smaller Reporting Company T</w:t>
      </w:r>
    </w:p>
    <w:p>
      <w:pPr>
        <w:spacing w:after="0" w:line="211" w:lineRule="exact"/>
        <w:rPr>
          <w:sz w:val="24"/>
          <w:szCs w:val="24"/>
          <w:color w:val="auto"/>
        </w:rPr>
      </w:pPr>
    </w:p>
    <w:p>
      <w:pPr>
        <w:spacing w:after="0"/>
        <w:tabs>
          <w:tab w:leader="none" w:pos="8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w:t>
      </w:r>
      <w:r>
        <w:rPr>
          <w:sz w:val="20"/>
          <w:szCs w:val="20"/>
          <w:color w:val="auto"/>
        </w:rPr>
        <w:tab/>
      </w:r>
      <w:r>
        <w:rPr>
          <w:rFonts w:ascii="Arial" w:cs="Arial" w:eastAsia="Arial" w:hAnsi="Arial"/>
          <w:sz w:val="18"/>
          <w:szCs w:val="18"/>
          <w:color w:val="auto"/>
        </w:rPr>
        <w:t>No 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22, 2013 the registrant had 22,274,010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80" w:type="dxa"/>
            <w:vAlign w:val="bottom"/>
            <w:vMerge w:val="restart"/>
          </w:tcPr>
          <w:p>
            <w:pPr>
              <w:ind w:left="3280"/>
              <w:spacing w:after="0"/>
              <w:rPr>
                <w:sz w:val="20"/>
                <w:szCs w:val="20"/>
                <w:color w:val="auto"/>
              </w:rPr>
            </w:pPr>
            <w:r>
              <w:rPr>
                <w:rFonts w:ascii="Arial" w:cs="Arial" w:eastAsia="Arial" w:hAnsi="Arial"/>
                <w:sz w:val="18"/>
                <w:szCs w:val="18"/>
                <w:b w:val="1"/>
                <w:bCs w:val="1"/>
                <w:color w:val="auto"/>
              </w:rPr>
              <w:t>PART I. FINANCIAL INFORMATION</w:t>
            </w:r>
          </w:p>
        </w:tc>
        <w:tc>
          <w:tcPr>
            <w:tcW w:w="1240" w:type="dxa"/>
            <w:vAlign w:val="bottom"/>
            <w:gridSpan w:val="3"/>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2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Financial Statements</w:t>
            </w:r>
          </w:p>
        </w:tc>
        <w:tc>
          <w:tcPr>
            <w:tcW w:w="680" w:type="dxa"/>
            <w:vAlign w:val="bottom"/>
            <w:gridSpan w:val="2"/>
            <w:shd w:val="clear" w:color="auto" w:fill="EEEEEE"/>
          </w:tcPr>
          <w:p>
            <w:pPr>
              <w:jc w:val="center"/>
              <w:ind w:left="230"/>
              <w:spacing w:after="0"/>
              <w:rPr>
                <w:sz w:val="20"/>
                <w:szCs w:val="20"/>
                <w:color w:val="auto"/>
              </w:rPr>
            </w:pPr>
            <w:r>
              <w:rPr>
                <w:rFonts w:ascii="Arial" w:cs="Arial" w:eastAsia="Arial" w:hAnsi="Arial"/>
                <w:sz w:val="18"/>
                <w:szCs w:val="18"/>
                <w:color w:val="auto"/>
                <w:w w:val="79"/>
              </w:rPr>
              <w:t>3</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2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Unaudited Condensed Consolidated Balance Sheets as of September 30, 2013 and December 31, 2012</w:t>
            </w:r>
          </w:p>
        </w:tc>
        <w:tc>
          <w:tcPr>
            <w:tcW w:w="680" w:type="dxa"/>
            <w:vAlign w:val="bottom"/>
            <w:gridSpan w:val="2"/>
            <w:shd w:val="clear" w:color="auto" w:fill="EEEEEE"/>
          </w:tcPr>
          <w:p>
            <w:pPr>
              <w:jc w:val="center"/>
              <w:ind w:left="230"/>
              <w:spacing w:after="0"/>
              <w:rPr>
                <w:sz w:val="20"/>
                <w:szCs w:val="20"/>
                <w:color w:val="auto"/>
              </w:rPr>
            </w:pPr>
            <w:r>
              <w:rPr>
                <w:rFonts w:ascii="Arial" w:cs="Arial" w:eastAsia="Arial" w:hAnsi="Arial"/>
                <w:sz w:val="18"/>
                <w:szCs w:val="18"/>
                <w:color w:val="auto"/>
                <w:w w:val="79"/>
              </w:rPr>
              <w:t>3</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9280" w:type="dxa"/>
            <w:vAlign w:val="bottom"/>
            <w:shd w:val="clear" w:color="auto" w:fill="EEEEEE"/>
          </w:tcPr>
          <w:p>
            <w:pPr>
              <w:ind w:left="360"/>
              <w:spacing w:after="0" w:line="201" w:lineRule="exact"/>
              <w:rPr>
                <w:sz w:val="20"/>
                <w:szCs w:val="20"/>
                <w:color w:val="auto"/>
              </w:rPr>
            </w:pPr>
            <w:r>
              <w:rPr>
                <w:rFonts w:ascii="Arial" w:cs="Arial" w:eastAsia="Arial" w:hAnsi="Arial"/>
                <w:sz w:val="18"/>
                <w:szCs w:val="18"/>
                <w:color w:val="auto"/>
                <w:w w:val="98"/>
              </w:rPr>
              <w:t>Unaudited Condensed Consolidated Statements of Operations for the three-month and nine-month periods ended</w:t>
            </w:r>
          </w:p>
        </w:tc>
        <w:tc>
          <w:tcPr>
            <w:tcW w:w="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92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September 30, 2013 and 2012</w:t>
            </w:r>
          </w:p>
        </w:tc>
        <w:tc>
          <w:tcPr>
            <w:tcW w:w="680" w:type="dxa"/>
            <w:vAlign w:val="bottom"/>
            <w:gridSpan w:val="2"/>
            <w:shd w:val="clear" w:color="auto" w:fill="EEEEEE"/>
          </w:tcPr>
          <w:p>
            <w:pPr>
              <w:jc w:val="center"/>
              <w:ind w:left="230"/>
              <w:spacing w:after="0"/>
              <w:rPr>
                <w:sz w:val="20"/>
                <w:szCs w:val="20"/>
                <w:color w:val="auto"/>
              </w:rPr>
            </w:pPr>
            <w:r>
              <w:rPr>
                <w:rFonts w:ascii="Arial" w:cs="Arial" w:eastAsia="Arial" w:hAnsi="Arial"/>
                <w:sz w:val="18"/>
                <w:szCs w:val="18"/>
                <w:color w:val="auto"/>
                <w:w w:val="79"/>
              </w:rPr>
              <w:t>4</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9280" w:type="dxa"/>
            <w:vAlign w:val="bottom"/>
            <w:shd w:val="clear" w:color="auto" w:fill="EEEEEE"/>
          </w:tcPr>
          <w:p>
            <w:pPr>
              <w:ind w:left="360"/>
              <w:spacing w:after="0" w:line="201" w:lineRule="exact"/>
              <w:rPr>
                <w:sz w:val="20"/>
                <w:szCs w:val="20"/>
                <w:color w:val="auto"/>
              </w:rPr>
            </w:pPr>
            <w:r>
              <w:rPr>
                <w:rFonts w:ascii="Arial" w:cs="Arial" w:eastAsia="Arial" w:hAnsi="Arial"/>
                <w:sz w:val="18"/>
                <w:szCs w:val="18"/>
                <w:color w:val="auto"/>
                <w:w w:val="93"/>
              </w:rPr>
              <w:t>Unaudited Condensed Consolidated Statements of Comprehensive Income for the three-month and nine-month periods</w:t>
            </w:r>
          </w:p>
        </w:tc>
        <w:tc>
          <w:tcPr>
            <w:tcW w:w="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92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ended September 30, 2013 and 2012</w:t>
            </w:r>
          </w:p>
        </w:tc>
        <w:tc>
          <w:tcPr>
            <w:tcW w:w="680" w:type="dxa"/>
            <w:vAlign w:val="bottom"/>
            <w:gridSpan w:val="2"/>
            <w:shd w:val="clear" w:color="auto" w:fill="EEEEEE"/>
          </w:tcPr>
          <w:p>
            <w:pPr>
              <w:jc w:val="center"/>
              <w:ind w:left="230"/>
              <w:spacing w:after="0"/>
              <w:rPr>
                <w:sz w:val="20"/>
                <w:szCs w:val="20"/>
                <w:color w:val="auto"/>
              </w:rPr>
            </w:pPr>
            <w:r>
              <w:rPr>
                <w:rFonts w:ascii="Arial" w:cs="Arial" w:eastAsia="Arial" w:hAnsi="Arial"/>
                <w:sz w:val="18"/>
                <w:szCs w:val="18"/>
                <w:color w:val="auto"/>
                <w:w w:val="79"/>
              </w:rPr>
              <w:t>5</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9280" w:type="dxa"/>
            <w:vAlign w:val="bottom"/>
            <w:shd w:val="clear" w:color="auto" w:fill="EEEEEE"/>
          </w:tcPr>
          <w:p>
            <w:pPr>
              <w:ind w:left="360"/>
              <w:spacing w:after="0" w:line="201" w:lineRule="exact"/>
              <w:rPr>
                <w:sz w:val="20"/>
                <w:szCs w:val="20"/>
                <w:color w:val="auto"/>
              </w:rPr>
            </w:pPr>
            <w:r>
              <w:rPr>
                <w:rFonts w:ascii="Arial" w:cs="Arial" w:eastAsia="Arial" w:hAnsi="Arial"/>
                <w:sz w:val="18"/>
                <w:szCs w:val="18"/>
                <w:color w:val="auto"/>
                <w:w w:val="94"/>
              </w:rPr>
              <w:t>Unaudited Condensed Consolidated Statements of Cash Flows for the nine-month periods ended September 30, 2013</w:t>
            </w:r>
          </w:p>
        </w:tc>
        <w:tc>
          <w:tcPr>
            <w:tcW w:w="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92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and 2012</w:t>
            </w:r>
          </w:p>
        </w:tc>
        <w:tc>
          <w:tcPr>
            <w:tcW w:w="680" w:type="dxa"/>
            <w:vAlign w:val="bottom"/>
            <w:gridSpan w:val="2"/>
            <w:shd w:val="clear" w:color="auto" w:fill="EEEEEE"/>
          </w:tcPr>
          <w:p>
            <w:pPr>
              <w:jc w:val="center"/>
              <w:ind w:left="230"/>
              <w:spacing w:after="0"/>
              <w:rPr>
                <w:sz w:val="20"/>
                <w:szCs w:val="20"/>
                <w:color w:val="auto"/>
              </w:rPr>
            </w:pPr>
            <w:r>
              <w:rPr>
                <w:rFonts w:ascii="Arial" w:cs="Arial" w:eastAsia="Arial" w:hAnsi="Arial"/>
                <w:sz w:val="18"/>
                <w:szCs w:val="18"/>
                <w:color w:val="auto"/>
                <w:w w:val="79"/>
              </w:rPr>
              <w:t>6</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2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Notes to Unaudited Condensed Consolidated Financial Statements</w:t>
            </w:r>
          </w:p>
        </w:tc>
        <w:tc>
          <w:tcPr>
            <w:tcW w:w="680" w:type="dxa"/>
            <w:vAlign w:val="bottom"/>
            <w:gridSpan w:val="2"/>
            <w:shd w:val="clear" w:color="auto" w:fill="EEEEEE"/>
          </w:tcPr>
          <w:p>
            <w:pPr>
              <w:jc w:val="center"/>
              <w:ind w:left="230"/>
              <w:spacing w:after="0"/>
              <w:rPr>
                <w:sz w:val="20"/>
                <w:szCs w:val="20"/>
                <w:color w:val="auto"/>
              </w:rPr>
            </w:pPr>
            <w:r>
              <w:rPr>
                <w:rFonts w:ascii="Arial" w:cs="Arial" w:eastAsia="Arial" w:hAnsi="Arial"/>
                <w:sz w:val="18"/>
                <w:szCs w:val="18"/>
                <w:color w:val="auto"/>
                <w:w w:val="79"/>
              </w:rPr>
              <w:t>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2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80" w:type="dxa"/>
            <w:vAlign w:val="bottom"/>
            <w:gridSpan w:val="2"/>
            <w:shd w:val="clear" w:color="auto" w:fill="EEEEEE"/>
          </w:tcPr>
          <w:p>
            <w:pPr>
              <w:jc w:val="center"/>
              <w:ind w:left="250"/>
              <w:spacing w:after="0"/>
              <w:rPr>
                <w:sz w:val="20"/>
                <w:szCs w:val="20"/>
                <w:color w:val="auto"/>
              </w:rPr>
            </w:pPr>
            <w:r>
              <w:rPr>
                <w:rFonts w:ascii="Arial" w:cs="Arial" w:eastAsia="Arial" w:hAnsi="Arial"/>
                <w:sz w:val="18"/>
                <w:szCs w:val="18"/>
                <w:color w:val="auto"/>
                <w:w w:val="89"/>
              </w:rPr>
              <w:t>24</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92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Controls and Procedures</w:t>
            </w:r>
          </w:p>
        </w:tc>
        <w:tc>
          <w:tcPr>
            <w:tcW w:w="680" w:type="dxa"/>
            <w:vAlign w:val="bottom"/>
            <w:gridSpan w:val="2"/>
            <w:shd w:val="clear" w:color="auto" w:fill="EEEEEE"/>
          </w:tcPr>
          <w:p>
            <w:pPr>
              <w:jc w:val="center"/>
              <w:ind w:left="250"/>
              <w:spacing w:after="0"/>
              <w:rPr>
                <w:sz w:val="20"/>
                <w:szCs w:val="20"/>
                <w:color w:val="auto"/>
              </w:rPr>
            </w:pPr>
            <w:r>
              <w:rPr>
                <w:rFonts w:ascii="Arial" w:cs="Arial" w:eastAsia="Arial" w:hAnsi="Arial"/>
                <w:sz w:val="18"/>
                <w:szCs w:val="18"/>
                <w:color w:val="auto"/>
                <w:w w:val="89"/>
              </w:rPr>
              <w:t>48</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80" w:type="dxa"/>
            <w:vAlign w:val="bottom"/>
          </w:tcPr>
          <w:p>
            <w:pPr>
              <w:ind w:left="3380"/>
              <w:spacing w:after="0"/>
              <w:rPr>
                <w:sz w:val="20"/>
                <w:szCs w:val="20"/>
                <w:color w:val="auto"/>
              </w:rPr>
            </w:pPr>
            <w:r>
              <w:rPr>
                <w:rFonts w:ascii="Arial" w:cs="Arial" w:eastAsia="Arial" w:hAnsi="Arial"/>
                <w:sz w:val="18"/>
                <w:szCs w:val="18"/>
                <w:b w:val="1"/>
                <w:bCs w:val="1"/>
                <w:color w:val="auto"/>
              </w:rPr>
              <w:t>PART II. OTHER INFORMATION</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7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Legal Proceedings</w:t>
            </w:r>
          </w:p>
        </w:tc>
        <w:tc>
          <w:tcPr>
            <w:tcW w:w="2580" w:type="dxa"/>
            <w:vAlign w:val="bottom"/>
            <w:shd w:val="clear" w:color="auto" w:fill="EEEEEE"/>
          </w:tcPr>
          <w:p>
            <w:pPr>
              <w:jc w:val="right"/>
              <w:ind w:right="55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1A.</w:t>
            </w:r>
          </w:p>
        </w:tc>
        <w:tc>
          <w:tcPr>
            <w:tcW w:w="7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Risk Factors</w:t>
            </w:r>
          </w:p>
        </w:tc>
        <w:tc>
          <w:tcPr>
            <w:tcW w:w="2580" w:type="dxa"/>
            <w:vAlign w:val="bottom"/>
            <w:shd w:val="clear" w:color="auto" w:fill="EEEEEE"/>
          </w:tcPr>
          <w:p>
            <w:pPr>
              <w:jc w:val="right"/>
              <w:ind w:right="55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7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Unregistered Sales of Equity Securities and Use of Proceeds</w:t>
            </w:r>
          </w:p>
        </w:tc>
        <w:tc>
          <w:tcPr>
            <w:tcW w:w="2580" w:type="dxa"/>
            <w:vAlign w:val="bottom"/>
            <w:shd w:val="clear" w:color="auto" w:fill="EEEEEE"/>
          </w:tcPr>
          <w:p>
            <w:pPr>
              <w:jc w:val="right"/>
              <w:ind w:right="55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6.</w:t>
            </w:r>
          </w:p>
        </w:tc>
        <w:tc>
          <w:tcPr>
            <w:tcW w:w="7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Exhibits</w:t>
            </w:r>
          </w:p>
        </w:tc>
        <w:tc>
          <w:tcPr>
            <w:tcW w:w="2580" w:type="dxa"/>
            <w:vAlign w:val="bottom"/>
            <w:shd w:val="clear" w:color="auto" w:fill="EEEEEE"/>
          </w:tcPr>
          <w:p>
            <w:pPr>
              <w:jc w:val="right"/>
              <w:ind w:right="55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Signatures</w:t>
            </w:r>
          </w:p>
        </w:tc>
        <w:tc>
          <w:tcPr>
            <w:tcW w:w="2580" w:type="dxa"/>
            <w:vAlign w:val="bottom"/>
            <w:shd w:val="clear" w:color="auto" w:fill="EEEEEE"/>
          </w:tcPr>
          <w:p>
            <w:pPr>
              <w:jc w:val="right"/>
              <w:ind w:right="55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080"/>
        </w:trPr>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ind w:left="4700"/>
              <w:spacing w:after="0"/>
              <w:rPr>
                <w:sz w:val="20"/>
                <w:szCs w:val="20"/>
                <w:color w:val="auto"/>
              </w:rPr>
            </w:pPr>
            <w:r>
              <w:rPr>
                <w:rFonts w:ascii="Arial" w:cs="Arial" w:eastAsia="Arial" w:hAnsi="Arial"/>
                <w:sz w:val="18"/>
                <w:szCs w:val="18"/>
                <w:color w:val="auto"/>
              </w:rPr>
              <w:t>2</w:t>
            </w: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EEEEEE"/>
            </w:tcBorders>
          </w:tcPr>
          <w:p>
            <w:pPr>
              <w:spacing w:after="0"/>
              <w:rPr>
                <w:sz w:val="20"/>
                <w:szCs w:val="20"/>
                <w:color w:val="auto"/>
              </w:rPr>
            </w:pPr>
          </w:p>
        </w:tc>
        <w:tc>
          <w:tcPr>
            <w:tcW w:w="20" w:type="dxa"/>
            <w:vAlign w:val="bottom"/>
            <w:tcBorders>
              <w:bottom w:val="single" w:sz="8" w:color="EEEEE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24,128</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12,966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129,450</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104,445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1,081,282</w:t>
            </w: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764,343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160" w:type="dxa"/>
            <w:vAlign w:val="bottom"/>
          </w:tcPr>
          <w:p>
            <w:pPr>
              <w:spacing w:after="0"/>
              <w:rPr>
                <w:sz w:val="19"/>
                <w:szCs w:val="19"/>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(34,464)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(19,594)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1,046,818</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744,749</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21,217</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59,668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in securitizations</w:t>
            </w:r>
          </w:p>
        </w:tc>
        <w:tc>
          <w:tcPr>
            <w:tcW w:w="160" w:type="dxa"/>
            <w:vAlign w:val="bottom"/>
          </w:tcPr>
          <w:p>
            <w:pPr>
              <w:spacing w:after="0"/>
              <w:rPr>
                <w:sz w:val="18"/>
                <w:szCs w:val="18"/>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1,426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4,824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 net</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607</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11,163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9,140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66,166</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75,640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15,146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10,411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17,391</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15,051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1,333,512</w:t>
            </w:r>
          </w:p>
        </w:tc>
        <w:tc>
          <w:tcPr>
            <w:tcW w:w="36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1,037,620</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33,817</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17,785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26,959</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21,731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tcPr>
          <w:p>
            <w:pPr>
              <w:spacing w:after="0"/>
              <w:rPr>
                <w:sz w:val="18"/>
                <w:szCs w:val="18"/>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13,773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16,888</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57,107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1,094,559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792,497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38,963</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50,135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19"/>
                <w:szCs w:val="19"/>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20,640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23,281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1,251,826</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976,309</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160" w:type="dxa"/>
            <w:vAlign w:val="bottom"/>
          </w:tcPr>
          <w:p>
            <w:pPr>
              <w:spacing w:after="0"/>
              <w:rPr>
                <w:sz w:val="18"/>
                <w:szCs w:val="18"/>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160" w:type="dxa"/>
            <w:vAlign w:val="bottom"/>
          </w:tcPr>
          <w:p>
            <w:pPr>
              <w:spacing w:after="0"/>
              <w:rPr>
                <w:sz w:val="18"/>
                <w:szCs w:val="18"/>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22,150,560 and 19,838,913 shares issued</w:t>
            </w: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and outstanding at September 30, 2013 and December 31, 2012, respectively</w:t>
            </w:r>
          </w:p>
        </w:tc>
        <w:tc>
          <w:tcPr>
            <w:tcW w:w="160" w:type="dxa"/>
            <w:vAlign w:val="bottom"/>
            <w:shd w:val="clear" w:color="auto" w:fill="EEEEEE"/>
          </w:tcPr>
          <w:p>
            <w:pPr>
              <w:spacing w:after="0"/>
              <w:rPr>
                <w:sz w:val="20"/>
                <w:szCs w:val="20"/>
                <w:color w:val="auto"/>
              </w:rPr>
            </w:pPr>
          </w:p>
        </w:tc>
        <w:tc>
          <w:tcPr>
            <w:tcW w:w="1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71,570</w:t>
            </w:r>
          </w:p>
        </w:tc>
        <w:tc>
          <w:tcPr>
            <w:tcW w:w="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65,678</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15,753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(5,637)</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81,686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4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1,333,512</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1,037,620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880" w:type="dxa"/>
            <w:vAlign w:val="bottom"/>
            <w:tcBorders>
              <w:bottom w:val="single" w:sz="8" w:color="EEEEEE"/>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income</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60,462</w:t>
            </w:r>
          </w:p>
        </w:tc>
        <w:tc>
          <w:tcPr>
            <w:tcW w:w="840" w:type="dxa"/>
            <w:vAlign w:val="bottom"/>
            <w:gridSpan w:val="2"/>
          </w:tcPr>
          <w:p>
            <w:pPr>
              <w:jc w:val="right"/>
              <w:ind w:right="5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45,053</w:t>
            </w:r>
          </w:p>
        </w:tc>
        <w:tc>
          <w:tcPr>
            <w:tcW w:w="5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167,426</w:t>
            </w:r>
          </w:p>
        </w:tc>
        <w:tc>
          <w:tcPr>
            <w:tcW w:w="80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Servicing fees</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2,484</w:t>
            </w: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2,904</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2,365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8,284</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Gain on cancellation of debt</w:t>
            </w: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10,947</w:t>
            </w:r>
          </w:p>
        </w:tc>
        <w:tc>
          <w:tcPr>
            <w:tcW w:w="18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64,066</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47,920</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189,141</w:t>
            </w:r>
          </w:p>
        </w:tc>
        <w:tc>
          <w:tcPr>
            <w:tcW w:w="16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136,588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11,199</w:t>
            </w:r>
          </w:p>
        </w:tc>
        <w:tc>
          <w:tcPr>
            <w:tcW w:w="1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8,730</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31,675</w:t>
            </w: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4,074</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3,690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12,346</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13,853</w:t>
            </w:r>
          </w:p>
        </w:tc>
        <w:tc>
          <w:tcPr>
            <w:tcW w:w="1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19,560</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44,800</w:t>
            </w: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20,220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9,465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52,739</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contingent liabilities</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9,650</w:t>
            </w: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Marketing</w:t>
            </w: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3,378</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2,906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10,032</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723</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1,921</w:t>
            </w: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53,507</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660" w:type="dxa"/>
            <w:vAlign w:val="bottom"/>
            <w:tcBorders>
              <w:top w:val="single" w:sz="8" w:color="auto"/>
              <w:bottom w:val="single" w:sz="8" w:color="auto"/>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45,192</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163,508</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620" w:type="dxa"/>
            <w:vAlign w:val="bottom"/>
            <w:tcBorders>
              <w:top w:val="single" w:sz="8" w:color="auto"/>
              <w:bottom w:val="single" w:sz="8" w:color="auto"/>
            </w:tcBorders>
            <w:shd w:val="clear" w:color="auto" w:fill="EEEEEE"/>
          </w:tcPr>
          <w:p>
            <w:pPr>
              <w:spacing w:after="0"/>
              <w:rPr>
                <w:sz w:val="18"/>
                <w:szCs w:val="18"/>
                <w:color w:val="auto"/>
              </w:rPr>
            </w:pP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132,008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4,686</w:t>
            </w:r>
          </w:p>
        </w:tc>
        <w:tc>
          <w:tcPr>
            <w:tcW w:w="18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11,150</w:t>
            </w:r>
          </w:p>
        </w:tc>
        <w:tc>
          <w:tcPr>
            <w:tcW w:w="18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5,873</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14,483</w:t>
            </w:r>
          </w:p>
        </w:tc>
        <w:tc>
          <w:tcPr>
            <w:tcW w:w="16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4,580</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Earnings per share: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0.27</w:t>
            </w:r>
          </w:p>
        </w:tc>
        <w:tc>
          <w:tcPr>
            <w:tcW w:w="840" w:type="dxa"/>
            <w:vAlign w:val="bottom"/>
            <w:gridSpan w:val="2"/>
            <w:shd w:val="clear" w:color="auto" w:fill="EEEEEE"/>
          </w:tcPr>
          <w:p>
            <w:pPr>
              <w:jc w:val="right"/>
              <w:ind w:right="5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0.14</w:t>
            </w:r>
          </w:p>
        </w:tc>
        <w:tc>
          <w:tcPr>
            <w:tcW w:w="560" w:type="dxa"/>
            <w:vAlign w:val="bottom"/>
            <w:gridSpan w:val="2"/>
            <w:shd w:val="clear" w:color="auto" w:fill="EEEEEE"/>
          </w:tcPr>
          <w:p>
            <w:pPr>
              <w:jc w:val="right"/>
              <w:ind w:right="22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0.69</w:t>
            </w:r>
          </w:p>
        </w:tc>
        <w:tc>
          <w:tcPr>
            <w:tcW w:w="800" w:type="dxa"/>
            <w:vAlign w:val="bottom"/>
            <w:gridSpan w:val="2"/>
            <w:shd w:val="clear" w:color="auto" w:fill="EEEEEE"/>
          </w:tcPr>
          <w:p>
            <w:pPr>
              <w:jc w:val="right"/>
              <w:ind w:right="4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w w:val="96"/>
              </w:rPr>
              <w:t>Number of shares used in computing earnings per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share:</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21,795</w:t>
            </w:r>
          </w:p>
        </w:tc>
        <w:tc>
          <w:tcPr>
            <w:tcW w:w="1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19,495</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20,959</w:t>
            </w: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19,406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31,217</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25,695</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31,550</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5,873</w:t>
            </w:r>
          </w:p>
        </w:tc>
        <w:tc>
          <w:tcPr>
            <w:tcW w:w="840" w:type="dxa"/>
            <w:vAlign w:val="bottom"/>
            <w:gridSpan w:val="2"/>
            <w:shd w:val="clear" w:color="auto" w:fill="EEEEEE"/>
          </w:tcPr>
          <w:p>
            <w:pPr>
              <w:jc w:val="right"/>
              <w:ind w:right="5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2,728</w:t>
            </w:r>
          </w:p>
        </w:tc>
        <w:tc>
          <w:tcPr>
            <w:tcW w:w="560" w:type="dxa"/>
            <w:vAlign w:val="bottom"/>
            <w:gridSpan w:val="2"/>
            <w:shd w:val="clear" w:color="auto" w:fill="EEEEEE"/>
          </w:tcPr>
          <w:p>
            <w:pPr>
              <w:jc w:val="right"/>
              <w:ind w:right="2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14,483</w:t>
            </w:r>
          </w:p>
        </w:tc>
        <w:tc>
          <w:tcPr>
            <w:tcW w:w="620" w:type="dxa"/>
            <w:vAlign w:val="bottom"/>
            <w:gridSpan w:val="2"/>
            <w:shd w:val="clear" w:color="auto" w:fill="EEEEEE"/>
          </w:tcPr>
          <w:p>
            <w:pPr>
              <w:jc w:val="right"/>
              <w:ind w:right="49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4,580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Other comprehensive income/(loss); change in</w:t>
            </w:r>
          </w:p>
        </w:tc>
        <w:tc>
          <w:tcPr>
            <w:tcW w:w="38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funded status of pension plan</w:t>
            </w:r>
          </w:p>
        </w:tc>
        <w:tc>
          <w:tcPr>
            <w:tcW w:w="380" w:type="dxa"/>
            <w:vAlign w:val="bottom"/>
            <w:shd w:val="clear" w:color="auto" w:fill="EEEEEE"/>
          </w:tcPr>
          <w:p>
            <w:pPr>
              <w:spacing w:after="0"/>
              <w:rPr>
                <w:sz w:val="21"/>
                <w:szCs w:val="21"/>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66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380" w:type="dxa"/>
            <w:vAlign w:val="bottom"/>
            <w:shd w:val="clear" w:color="auto" w:fill="EEEEEE"/>
          </w:tcPr>
          <w:p>
            <w:pPr>
              <w:spacing w:after="0"/>
              <w:rPr>
                <w:sz w:val="21"/>
                <w:szCs w:val="21"/>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600" w:type="dxa"/>
            <w:vAlign w:val="bottom"/>
            <w:shd w:val="clear" w:color="auto" w:fill="EEEEEE"/>
          </w:tcPr>
          <w:p>
            <w:pPr>
              <w:spacing w:after="0"/>
              <w:rPr>
                <w:sz w:val="21"/>
                <w:szCs w:val="21"/>
                <w:color w:val="auto"/>
              </w:rPr>
            </w:pPr>
          </w:p>
        </w:tc>
        <w:tc>
          <w:tcPr>
            <w:tcW w:w="10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14,483</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14,483</w:t>
            </w:r>
          </w:p>
        </w:tc>
        <w:tc>
          <w:tcPr>
            <w:tcW w:w="7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Accretion of deferred acquisition fees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(15,543)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Accretion of purchase discount on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(1,247)</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Amortization of discount on securitization trust debt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Amortization of discount on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1,681</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Accretion of premium on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2,079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Mark to fair value on debt secured by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(933)</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Mark to fair value of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2,874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52,739</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Provision for contingent liabilities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9,650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2,939</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Interest income on residual assets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Gain on cancellation of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(10,947)</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Accrued interest receivable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(4,735)</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9,474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680</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6,965</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71,152</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16,429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(592,327)</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253,062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receivables portfolio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39,103</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Proceeds received on residual interest in securitizations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3,398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(3,020)</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Decreases (increases) in restricted cash and cash equivalents, net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(25,005)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51,988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6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(325,015</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(31,207</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595,000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443,500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1,380</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(4,021)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proceeds from (repayments of) warehouse lines of credit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5,228</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Net proceeds from (repayments of) residual interest financing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6,227</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(282,044)</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(306,540)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Repayment of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(41,365)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(97,703)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(12,852)</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Payment of financing costs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(4,898)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(2,484)</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4,854</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265,025</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15,152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12,966</w:t>
            </w: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10,094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24,128</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10,468</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paid during the period for:</w:t>
            </w:r>
          </w:p>
        </w:tc>
        <w:tc>
          <w:tcPr>
            <w:tcW w:w="360" w:type="dxa"/>
            <w:vAlign w:val="bottom"/>
            <w:shd w:val="clear" w:color="auto" w:fill="EEEEEE"/>
          </w:tcPr>
          <w:p>
            <w:pPr>
              <w:spacing w:after="0"/>
              <w:rPr>
                <w:sz w:val="19"/>
                <w:szCs w:val="19"/>
                <w:color w:val="auto"/>
              </w:rPr>
            </w:pPr>
          </w:p>
        </w:tc>
        <w:tc>
          <w:tcPr>
            <w:tcW w:w="12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41,936</w:t>
            </w:r>
          </w:p>
        </w:tc>
        <w:tc>
          <w:tcPr>
            <w:tcW w:w="7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63,258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2,058</w:t>
            </w:r>
          </w:p>
        </w:tc>
        <w:tc>
          <w:tcPr>
            <w:tcW w:w="740" w:type="dxa"/>
            <w:vAlign w:val="bottom"/>
            <w:gridSpan w:val="2"/>
            <w:shd w:val="clear" w:color="auto" w:fill="EEEEEE"/>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Non-cash financing activities: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Derivative warrants reclassified from accounts payable to common stock</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583</w:t>
            </w:r>
          </w:p>
        </w:tc>
        <w:tc>
          <w:tcPr>
            <w:tcW w:w="740" w:type="dxa"/>
            <w:vAlign w:val="bottom"/>
            <w:gridSpan w:val="2"/>
            <w:shd w:val="clear" w:color="auto" w:fill="EEEEEE"/>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6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low incomes or past credit problems (“sub-prime customers”). We serve as an alternative source of financing for dealers, allowing sales to customers who otherwise might not be able to obtain financing. In addition to purchasing installment purchase contracts directly from dealers, we have also</w:t>
      </w:r>
    </w:p>
    <w:p>
      <w:pPr>
        <w:spacing w:after="0" w:line="2" w:lineRule="exact"/>
        <w:rPr>
          <w:sz w:val="20"/>
          <w:szCs w:val="20"/>
          <w:color w:val="auto"/>
        </w:rPr>
      </w:pPr>
    </w:p>
    <w:p>
      <w:pPr>
        <w:jc w:val="both"/>
        <w:ind w:firstLine="8"/>
        <w:spacing w:after="0" w:line="255" w:lineRule="auto"/>
        <w:tabs>
          <w:tab w:leader="none" w:pos="228"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8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nine-month period ended September 30, 2013 are not necessarily indicative of the operating results to be expected for the full year.</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Specifically, a number of estimates were made in connection with determining an appropriate allowance for finance credit losses, valuing finance receivables measured at fair value and the related debt, valuing residual interest in securitizations, accreting net acquisition fees, amortizing deferred costs, valuing stock options and warrants issued, and recording deferred tax assets and reserves for uncertain tax positions. These are material estimates that could be susceptible to changes in the near term and, accordingly, actual results could differ from those estimates.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presents the primary components of Other Income for the three-month and nine-month periods ending September 30, 2013 and 2012: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3040" w:type="dxa"/>
            <w:vAlign w:val="bottom"/>
            <w:gridSpan w:val="5"/>
          </w:tcPr>
          <w:p>
            <w:pPr>
              <w:jc w:val="center"/>
              <w:ind w:left="437"/>
              <w:spacing w:after="0"/>
              <w:rPr>
                <w:sz w:val="20"/>
                <w:szCs w:val="20"/>
                <w:color w:val="auto"/>
              </w:rPr>
            </w:pPr>
            <w:r>
              <w:rPr>
                <w:rFonts w:ascii="Arial" w:cs="Arial" w:eastAsia="Arial" w:hAnsi="Arial"/>
                <w:sz w:val="18"/>
                <w:szCs w:val="18"/>
                <w:b w:val="1"/>
                <w:bCs w:val="1"/>
                <w:color w:val="auto"/>
                <w:w w:val="92"/>
              </w:rPr>
              <w:t>Three Months Ended</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right="485"/>
              <w:spacing w:after="0"/>
              <w:rPr>
                <w:sz w:val="20"/>
                <w:szCs w:val="20"/>
                <w:color w:val="auto"/>
              </w:rPr>
            </w:pPr>
            <w:r>
              <w:rPr>
                <w:rFonts w:ascii="Arial" w:cs="Arial" w:eastAsia="Arial" w:hAnsi="Arial"/>
                <w:sz w:val="18"/>
                <w:szCs w:val="18"/>
                <w:b w:val="1"/>
                <w:bCs w:val="1"/>
                <w:color w:val="auto"/>
                <w:w w:val="89"/>
              </w:rPr>
              <w:t>September 30,</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2013</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gridSpan w:val="4"/>
          </w:tcPr>
          <w:p>
            <w:pPr>
              <w:jc w:val="center"/>
              <w:ind w:right="505"/>
              <w:spacing w:after="0"/>
              <w:rPr>
                <w:sz w:val="20"/>
                <w:szCs w:val="20"/>
                <w:color w:val="auto"/>
              </w:rPr>
            </w:pPr>
            <w:r>
              <w:rPr>
                <w:rFonts w:ascii="Arial" w:cs="Arial" w:eastAsia="Arial" w:hAnsi="Arial"/>
                <w:sz w:val="18"/>
                <w:szCs w:val="18"/>
                <w:b w:val="1"/>
                <w:bCs w:val="1"/>
                <w:color w:val="auto"/>
                <w:w w:val="90"/>
              </w:rPr>
              <w:t>(In thousands)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1100" w:type="dxa"/>
            <w:vAlign w:val="bottom"/>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1,691</w:t>
            </w:r>
          </w:p>
        </w:tc>
        <w:tc>
          <w:tcPr>
            <w:tcW w:w="1260" w:type="dxa"/>
            <w:vAlign w:val="bottom"/>
            <w:gridSpan w:val="2"/>
            <w:shd w:val="clear" w:color="auto" w:fill="EEEEEE"/>
          </w:tcPr>
          <w:p>
            <w:pPr>
              <w:jc w:val="right"/>
              <w:ind w:right="92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1,617</w:t>
            </w:r>
          </w:p>
        </w:tc>
        <w:tc>
          <w:tcPr>
            <w:tcW w:w="1140" w:type="dxa"/>
            <w:vAlign w:val="bottom"/>
            <w:gridSpan w:val="2"/>
            <w:shd w:val="clear" w:color="auto" w:fill="EEEEEE"/>
          </w:tcPr>
          <w:p>
            <w:pPr>
              <w:jc w:val="right"/>
              <w:ind w:right="81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5,418</w:t>
            </w:r>
          </w:p>
        </w:tc>
        <w:tc>
          <w:tcPr>
            <w:tcW w:w="600" w:type="dxa"/>
            <w:vAlign w:val="bottom"/>
            <w:gridSpan w:val="2"/>
            <w:shd w:val="clear" w:color="auto" w:fill="EEEEEE"/>
          </w:tcPr>
          <w:p>
            <w:pPr>
              <w:jc w:val="right"/>
              <w:ind w:right="47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4,468</w:t>
            </w:r>
          </w:p>
        </w:tc>
        <w:tc>
          <w:tcPr>
            <w:tcW w:w="8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1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715</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2,235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2,237</w:t>
            </w:r>
          </w:p>
        </w:tc>
        <w:tc>
          <w:tcPr>
            <w:tcW w:w="8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153</w:t>
            </w: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Sales tax refunds</w:t>
            </w:r>
          </w:p>
        </w:tc>
        <w:tc>
          <w:tcPr>
            <w:tcW w:w="1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394</w:t>
            </w:r>
          </w:p>
        </w:tc>
        <w:tc>
          <w:tcPr>
            <w:tcW w:w="2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EEEEEE"/>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8,284</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For the nine months ended September 30, 2013 and 2012, we recorded stock-based compensation costs in the amount of $2,939,000 and $801,000, respectively. As of September 30, 2013, unrecognized stock-based compensation costs to be recognized over future periods equaled $13.5 million. This amount will be recognized as expense over a weighted-average period of 3.6 years.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represents stock option activity for the nine months ended September 30,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Weighted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Weighted 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9"/>
                <w:szCs w:val="19"/>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Average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Exercise Price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8,652</w:t>
            </w:r>
          </w:p>
        </w:tc>
        <w:tc>
          <w:tcPr>
            <w:tcW w:w="3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1.58</w:t>
            </w:r>
          </w:p>
        </w:tc>
        <w:tc>
          <w:tcPr>
            <w:tcW w:w="320" w:type="dxa"/>
            <w:vAlign w:val="bottom"/>
            <w:tcBorders>
              <w:top w:val="single" w:sz="8" w:color="EEEEEE"/>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3,040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7.43</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(1,116)</w:t>
            </w:r>
          </w:p>
        </w:tc>
        <w:tc>
          <w:tcPr>
            <w:tcW w:w="18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1.52</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4.64</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10,425</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700" w:type="dxa"/>
            <w:vAlign w:val="bottom"/>
            <w:tcBorders>
              <w:top w:val="single" w:sz="8" w:color="auto"/>
              <w:bottom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6.63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5,769</w:t>
            </w:r>
          </w:p>
        </w:tc>
        <w:tc>
          <w:tcPr>
            <w:tcW w:w="360" w:type="dxa"/>
            <w:vAlign w:val="bottom"/>
            <w:shd w:val="clear" w:color="auto" w:fill="EEEEEE"/>
          </w:tcPr>
          <w:p>
            <w:pPr>
              <w:spacing w:after="0"/>
              <w:rPr>
                <w:sz w:val="21"/>
                <w:szCs w:val="21"/>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1.95</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4.90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September 30, 2013, the aggregate intrinsic value of options outstanding and exercisable was $32.5 million and $23.3 million, respectively. There were 1,116,000 options exercised for the nine months ended September 30, 2013 compared to 356,000 for the comparable period in 2012. There were 4.0 million shares available for future stock option grants under existing plans as of September 30,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During the nine-month period ended September 30, 2013 and 2012, we purchased 323,674 and 320,154 shares, respectively, of our common stock, at average prices of $7.68 and $1.36,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prior year net income or total shareholders’ equity.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We do not use derivative financial instruments to hedge exposures to cash flow or market risks. However, from 2008 to 2010, we issued warrants to purchase the Company’s common stock in conjunction with various debt financing transactions. At the time of issuance, five of these warrants issued contained "down round," or price reset, features that are subject to classification as liabilities for financial statement purposes. These liabilities were measured at fair value, with the changes in fair value at the end of each period reflected as current period income or loss. Accordingly, changes to the market price per share of our common stock underlying these warrants with "down round," or price reset, features directly affected the fair value computations for these derivative financial instruments. The effect was that any increase in the market price per share of our common stock would also increase the related liability, which in turn would result in a current period loss. Conversely, any decrease in the market price per share of our common stock would also decrease the related liability, which in turn would result in a current period gain. We used a binomial pricing model to compute the fair value of the liabilities associated with the outstanding warrants. In computing the fair value of the warrant liabilities at the end of each period, we used significant judgments with respect to the risk free interest rate, the volatility of our stock price, and the estimated life of the warrants. The warrant liabilities were included in Accounts payable and accrued expenses on our consolidated balance sheets. On March 29, 2012 we agreed with the holders to amend three of the five warrants that contained the “down round” features, removing those specific price reset terms. On the date of the amendment, we valued each of the three warrants using a binomial pricing model as described above. The aggregate value of the three amended warrants of $1.1 million was then reclassified from Accounts payable to Common Stock. On June 25, 2012 we agreed with the holder to amend one other warrant that contained the “down round” features, removing those specific price reset terms. The $250,000 aggregate value of this amended warrant was reclassified from Accounts payable to Common stock on the date of the amendment. The fifth warrant with the “down round” feature was exercised on February 22, 2013. The $583,000 intrinsic value of this warrant was reclassified from Accounts payable to Common stock on the date of the exercise. As of September 30, 2013 all five of the warrants issued that previously contained price reset features have either been amended or exercised and are no longer subject to quarterly valuations.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130"/>
        <w:spacing w:after="0" w:line="302"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September 30, 2013, we were in compliance with all such covenants. In addition, certain securitization and non-securitization related debt agreements contain cross-default provisions that would allow certain creditors to declare a default if a default occurred under a different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and Related Debt Measured at Fair Value</w:t>
      </w:r>
    </w:p>
    <w:p>
      <w:pPr>
        <w:spacing w:after="0" w:line="229"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In September 2011 we purchased approximately $217.8 million of finance receivables from Fireside Bank. These receivables and the related acquisition debt are recorded on our balance sheet at fair value. There are no level 1 or level 2 inputs (as described by ASC 820) available to us for measurement of such receivables, or for the related debt. Our level 3, unobservable inputs reflect our own assumptions about the factors that market participants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Cancellation of Debt</w:t>
      </w:r>
    </w:p>
    <w:p>
      <w:pPr>
        <w:spacing w:after="0" w:line="229"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In April 2013, we repurchased the outstanding Class D notes from our first 2008 securitization for a cash payment of $6.1 million and a new 5% note for $5.3 million due in June 2014. The Class D notes were held by the same related party that holds our senior secured debt. On the date we repurchased the Class D notes, the Class D note holder owned 10.5% of our outstanding common stock and warrants to purchase an additional 1.9 million shares of common stock. We subsequently exercised our “clean-up call” option and repurchased the remaining collateral from the related securitization trust. The aggregate value of our consideration for the Class D notes was $10.9 million less than our carrying value of the Class D notes at the time of the repurchase. As a result of the repurchase of the Class D notes and the termination of the securitization trust, we realized a gain of $10.9 million.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During the nine months ended September 30, 2013, we recognized $9.7 million in contingent liability expenses to either record or increase the amounts we believe we may incur related to various pending litigation. The amount was allocated in part to a long running case we refer to as the Stanwich litigation, and also to more recent matters including two California class action suits where we are the defendant, and a governmental inquiry, in which the United States Federal Trade Commission (“FTC”) has informally proposed that the we refrain from certain allegedly unfair trade practices, and make restitutionary payments into a consumer relief fund.</w:t>
      </w:r>
    </w:p>
    <w:p>
      <w:pPr>
        <w:spacing w:after="0" w:line="188" w:lineRule="exact"/>
        <w:rPr>
          <w:sz w:val="20"/>
          <w:szCs w:val="20"/>
          <w:color w:val="auto"/>
        </w:rPr>
      </w:pPr>
    </w:p>
    <w:p>
      <w:pPr>
        <w:ind w:left="400" w:hanging="26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ectPr>
          <w:pgSz w:w="11900" w:h="16838" w:orient="portrait"/>
          <w:cols w:equalWidth="0" w:num="1">
            <w:col w:w="11420"/>
          </w:cols>
          <w:pgMar w:left="240" w:top="661" w:right="239" w:bottom="1440" w:gutter="0" w:footer="0" w:header="0"/>
        </w:sectPr>
      </w:pPr>
    </w:p>
    <w:p>
      <w:pPr>
        <w:spacing w:after="0" w:line="17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presents the components of Finance Receivables, net of unearned interest: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5" w:lineRule="exact"/>
        <w:rPr>
          <w:sz w:val="20"/>
          <w:szCs w:val="20"/>
          <w:color w:val="auto"/>
        </w:rPr>
      </w:pPr>
    </w:p>
    <w:p>
      <w:pPr>
        <w:jc w:val="right"/>
        <w:ind w:right="2980"/>
        <w:spacing w:after="0" w:line="291" w:lineRule="auto"/>
        <w:rPr>
          <w:sz w:val="20"/>
          <w:szCs w:val="20"/>
          <w:color w:val="auto"/>
        </w:rPr>
      </w:pPr>
      <w:r>
        <w:rPr>
          <w:rFonts w:ascii="Arial" w:cs="Arial" w:eastAsia="Arial" w:hAnsi="Arial"/>
          <w:sz w:val="16"/>
          <w:szCs w:val="16"/>
          <w:color w:val="auto"/>
        </w:rPr>
        <w:t>Automobile finance receivables, net of unearned interest Less: Unearned acquisition fees and originations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8"/>
        </w:trPr>
        <w:tc>
          <w:tcPr>
            <w:tcW w:w="160" w:type="dxa"/>
            <w:vAlign w:val="bottom"/>
          </w:tcPr>
          <w:p>
            <w:pPr>
              <w:spacing w:after="0"/>
              <w:rPr>
                <w:sz w:val="19"/>
                <w:szCs w:val="19"/>
                <w:color w:val="auto"/>
              </w:rPr>
            </w:pPr>
          </w:p>
        </w:tc>
        <w:tc>
          <w:tcPr>
            <w:tcW w:w="3380" w:type="dxa"/>
            <w:vAlign w:val="bottom"/>
            <w:gridSpan w:val="5"/>
          </w:tcPr>
          <w:p>
            <w:pPr>
              <w:jc w:val="right"/>
              <w:ind w:right="1070"/>
              <w:spacing w:after="0"/>
              <w:rPr>
                <w:sz w:val="20"/>
                <w:szCs w:val="20"/>
                <w:color w:val="auto"/>
              </w:rPr>
            </w:pPr>
            <w:r>
              <w:rPr>
                <w:rFonts w:ascii="Arial" w:cs="Arial" w:eastAsia="Arial" w:hAnsi="Arial"/>
                <w:sz w:val="18"/>
                <w:szCs w:val="18"/>
                <w:b w:val="1"/>
                <w:bCs w:val="1"/>
                <w:color w:val="auto"/>
              </w:rPr>
              <w:t>(In thousands)</w:t>
            </w:r>
          </w:p>
        </w:tc>
        <w:tc>
          <w:tcPr>
            <w:tcW w:w="60" w:type="dxa"/>
            <w:vAlign w:val="bottom"/>
            <w:gridSpan w:val="2"/>
          </w:tcPr>
          <w:p>
            <w:pPr>
              <w:spacing w:after="0"/>
              <w:rPr>
                <w:sz w:val="19"/>
                <w:szCs w:val="19"/>
                <w:color w:val="auto"/>
              </w:rPr>
            </w:pPr>
          </w:p>
        </w:tc>
      </w:tr>
      <w:tr>
        <w:trPr>
          <w:trHeight w:val="400"/>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1,111,773</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795,786</w:t>
            </w:r>
          </w:p>
        </w:tc>
        <w:tc>
          <w:tcPr>
            <w:tcW w:w="40" w:type="dxa"/>
            <w:vAlign w:val="bottom"/>
          </w:tcPr>
          <w:p>
            <w:pPr>
              <w:spacing w:after="0"/>
              <w:rPr>
                <w:sz w:val="24"/>
                <w:szCs w:val="24"/>
                <w:color w:val="auto"/>
              </w:rPr>
            </w:pPr>
          </w:p>
        </w:tc>
      </w:tr>
      <w:tr>
        <w:trPr>
          <w:trHeight w:val="244"/>
        </w:trPr>
        <w:tc>
          <w:tcPr>
            <w:tcW w:w="160" w:type="dxa"/>
            <w:vAlign w:val="bottom"/>
          </w:tcPr>
          <w:p>
            <w:pPr>
              <w:spacing w:after="0"/>
              <w:rPr>
                <w:sz w:val="21"/>
                <w:szCs w:val="21"/>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(30,491)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(31,443)</w:t>
            </w:r>
          </w:p>
        </w:tc>
      </w:tr>
      <w:tr>
        <w:trPr>
          <w:trHeight w:val="223"/>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1,081,282</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764,343</w:t>
            </w:r>
          </w:p>
        </w:tc>
        <w:tc>
          <w:tcPr>
            <w:tcW w:w="4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640"/>
          </w:cols>
          <w:pgMar w:left="240" w:top="661" w:right="239" w:bottom="1440" w:gutter="0" w:footer="0" w:header="0"/>
          <w:type w:val="continuous"/>
        </w:sectPr>
      </w:pPr>
    </w:p>
    <w:p>
      <w:pPr>
        <w:spacing w:after="0" w:line="2"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September 30, 2013 and December 31, 2012: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5"/>
          </w:tcPr>
          <w:p>
            <w:pPr>
              <w:jc w:val="right"/>
              <w:ind w:right="107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4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1,061,090</w:t>
            </w:r>
          </w:p>
        </w:tc>
        <w:tc>
          <w:tcPr>
            <w:tcW w:w="180" w:type="dxa"/>
            <w:vAlign w:val="bottom"/>
          </w:tcPr>
          <w:p>
            <w:pPr>
              <w:spacing w:after="0"/>
              <w:rPr>
                <w:sz w:val="18"/>
                <w:szCs w:val="18"/>
                <w:color w:val="auto"/>
              </w:rPr>
            </w:pP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764,741</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330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- 61 days</w:t>
            </w:r>
          </w:p>
        </w:tc>
        <w:tc>
          <w:tcPr>
            <w:tcW w:w="4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26,335</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16,925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3300" w:type="dxa"/>
            <w:vAlign w:val="bottom"/>
          </w:tcPr>
          <w:p>
            <w:pPr>
              <w:ind w:left="20"/>
              <w:spacing w:after="0"/>
              <w:rPr>
                <w:sz w:val="20"/>
                <w:szCs w:val="20"/>
                <w:color w:val="auto"/>
              </w:rPr>
            </w:pPr>
            <w:r>
              <w:rPr>
                <w:rFonts w:ascii="Arial" w:cs="Arial" w:eastAsia="Arial" w:hAnsi="Arial"/>
                <w:sz w:val="18"/>
                <w:szCs w:val="18"/>
                <w:color w:val="auto"/>
              </w:rPr>
              <w:t>- 90 days</w:t>
            </w: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16,084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9,019</w:t>
            </w:r>
          </w:p>
        </w:tc>
        <w:tc>
          <w:tcPr>
            <w:tcW w:w="0" w:type="dxa"/>
            <w:vAlign w:val="bottom"/>
          </w:tcPr>
          <w:p>
            <w:pPr>
              <w:spacing w:after="0"/>
              <w:rPr>
                <w:sz w:val="1"/>
                <w:szCs w:val="1"/>
                <w:color w:val="auto"/>
              </w:rPr>
            </w:pP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330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42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8,264</w:t>
            </w:r>
          </w:p>
        </w:tc>
        <w:tc>
          <w:tcPr>
            <w:tcW w:w="1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1,111,773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60" w:type="dxa"/>
            <w:vAlign w:val="bottom"/>
            <w:vMerge w:val="restart"/>
          </w:tcPr>
          <w:p>
            <w:pPr>
              <w:jc w:val="right"/>
              <w:ind w:right="18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Finance receivables totaling $8.3 million and $5.1 million at September 30, 2013 and December 31, 2012,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credit losses that can be reasonably estimated in our portfolio of automobile contracts. The estimate for probable credit losses is reduced by our estimate for future recoveries on previously incurred losses. Provision for losses is charged to our consolidated statement of operations. Net losses incurred on finance receivables are charged to the allowance. For finance receivables originated through December 31, 2010 we established the allowance at the time of the acquisition of the receivable. Beginning January 1, 2011, we establish the allowance for new receivables over the 12-month period following their acquisition.</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a summary of the activity for the allowance for finance credit losses for the three-month and nine-month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3000" w:type="dxa"/>
            <w:vAlign w:val="bottom"/>
            <w:gridSpan w:val="5"/>
          </w:tcPr>
          <w:p>
            <w:pPr>
              <w:jc w:val="center"/>
              <w:ind w:left="477"/>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right="365"/>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2012</w:t>
            </w:r>
          </w:p>
        </w:tc>
        <w:tc>
          <w:tcPr>
            <w:tcW w:w="10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80" w:type="dxa"/>
            <w:vAlign w:val="bottom"/>
            <w:gridSpan w:val="4"/>
          </w:tcPr>
          <w:p>
            <w:pPr>
              <w:jc w:val="center"/>
              <w:ind w:right="385"/>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020" w:type="dxa"/>
            <w:vAlign w:val="bottom"/>
            <w:shd w:val="clear" w:color="auto" w:fill="EEEEEE"/>
          </w:tcPr>
          <w:p>
            <w:pPr>
              <w:jc w:val="right"/>
              <w:ind w:right="85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32,101</w:t>
            </w:r>
          </w:p>
        </w:tc>
        <w:tc>
          <w:tcPr>
            <w:tcW w:w="1180" w:type="dxa"/>
            <w:vAlign w:val="bottom"/>
            <w:gridSpan w:val="2"/>
            <w:shd w:val="clear" w:color="auto" w:fill="EEEEEE"/>
          </w:tcPr>
          <w:p>
            <w:pPr>
              <w:jc w:val="right"/>
              <w:ind w:right="88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8"/>
              </w:rPr>
              <w:t>14,093</w:t>
            </w:r>
          </w:p>
        </w:tc>
        <w:tc>
          <w:tcPr>
            <w:tcW w:w="1140" w:type="dxa"/>
            <w:vAlign w:val="bottom"/>
            <w:gridSpan w:val="2"/>
            <w:shd w:val="clear" w:color="auto" w:fill="EEEEEE"/>
          </w:tcPr>
          <w:p>
            <w:pPr>
              <w:jc w:val="right"/>
              <w:ind w:right="81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19,594</w:t>
            </w:r>
          </w:p>
        </w:tc>
        <w:tc>
          <w:tcPr>
            <w:tcW w:w="740" w:type="dxa"/>
            <w:vAlign w:val="bottom"/>
            <w:gridSpan w:val="2"/>
            <w:shd w:val="clear" w:color="auto" w:fill="EEEEEE"/>
          </w:tcPr>
          <w:p>
            <w:pPr>
              <w:jc w:val="right"/>
              <w:ind w:right="4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10,351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9"/>
              </w:rPr>
              <w:t>Provision for credit losses on finance receivables</w:t>
            </w:r>
          </w:p>
        </w:tc>
        <w:tc>
          <w:tcPr>
            <w:tcW w:w="10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20,220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9,465</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52,739</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22,012</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10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2"/>
              </w:rPr>
              <w:t>(20,952)</w:t>
            </w:r>
          </w:p>
        </w:tc>
        <w:tc>
          <w:tcPr>
            <w:tcW w:w="1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(9,578)</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5"/>
              </w:rPr>
              <w:t>(47,229)</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(26,158)</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Recoveries</w:t>
            </w:r>
          </w:p>
        </w:tc>
        <w:tc>
          <w:tcPr>
            <w:tcW w:w="10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3,095</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2,966</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9,360</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10,741</w:t>
            </w: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020" w:type="dxa"/>
            <w:vAlign w:val="bottom"/>
            <w:tcBorders>
              <w:top w:val="single" w:sz="8" w:color="auto"/>
              <w:bottom w:val="single" w:sz="8" w:color="auto"/>
            </w:tcBorders>
            <w:shd w:val="clear" w:color="auto" w:fill="EEEEEE"/>
          </w:tcPr>
          <w:p>
            <w:pPr>
              <w:jc w:val="right"/>
              <w:ind w:right="85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34,464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16,946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81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34,464</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shd w:val="clear" w:color="auto" w:fill="EEEEEE"/>
          </w:tcPr>
          <w:p>
            <w:pPr>
              <w:jc w:val="right"/>
              <w:ind w:right="4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16,946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Gross balance of repossessions in inventory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Allowance for losses on repossessed inventory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repossessed inventory included in other assets</w:t>
      </w:r>
    </w:p>
    <w:p>
      <w:pPr>
        <w:spacing w:after="0" w:line="315"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Finance Receivables Measured at Fair Value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160" w:type="dxa"/>
            <w:vAlign w:val="bottom"/>
          </w:tcPr>
          <w:p>
            <w:pPr>
              <w:spacing w:after="0"/>
              <w:rPr>
                <w:sz w:val="16"/>
                <w:szCs w:val="16"/>
                <w:color w:val="auto"/>
              </w:rPr>
            </w:pPr>
          </w:p>
        </w:tc>
        <w:tc>
          <w:tcPr>
            <w:tcW w:w="3380" w:type="dxa"/>
            <w:vAlign w:val="bottom"/>
            <w:gridSpan w:val="5"/>
          </w:tcPr>
          <w:p>
            <w:pPr>
              <w:jc w:val="right"/>
              <w:ind w:right="1130"/>
              <w:spacing w:after="0" w:line="195" w:lineRule="exact"/>
              <w:rPr>
                <w:sz w:val="20"/>
                <w:szCs w:val="20"/>
                <w:color w:val="auto"/>
              </w:rPr>
            </w:pPr>
            <w:r>
              <w:rPr>
                <w:rFonts w:ascii="Arial" w:cs="Arial" w:eastAsia="Arial" w:hAnsi="Arial"/>
                <w:sz w:val="18"/>
                <w:szCs w:val="18"/>
                <w:b w:val="1"/>
                <w:bCs w:val="1"/>
                <w:color w:val="auto"/>
              </w:rPr>
              <w:t>(In thousands)</w:t>
            </w:r>
          </w:p>
        </w:tc>
        <w:tc>
          <w:tcPr>
            <w:tcW w:w="60" w:type="dxa"/>
            <w:vAlign w:val="bottom"/>
            <w:gridSpan w:val="2"/>
          </w:tcPr>
          <w:p>
            <w:pPr>
              <w:spacing w:after="0"/>
              <w:rPr>
                <w:sz w:val="16"/>
                <w:szCs w:val="16"/>
                <w:color w:val="auto"/>
              </w:rPr>
            </w:pPr>
          </w:p>
        </w:tc>
      </w:tr>
      <w:tr>
        <w:trPr>
          <w:trHeight w:val="216"/>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20,718</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12,102</w:t>
            </w:r>
          </w:p>
        </w:tc>
        <w:tc>
          <w:tcPr>
            <w:tcW w:w="40" w:type="dxa"/>
            <w:vAlign w:val="bottom"/>
          </w:tcPr>
          <w:p>
            <w:pPr>
              <w:spacing w:after="0"/>
              <w:rPr>
                <w:sz w:val="18"/>
                <w:szCs w:val="18"/>
                <w:color w:val="auto"/>
              </w:rPr>
            </w:pPr>
          </w:p>
        </w:tc>
      </w:tr>
      <w:tr>
        <w:trPr>
          <w:trHeight w:val="244"/>
        </w:trPr>
        <w:tc>
          <w:tcPr>
            <w:tcW w:w="160" w:type="dxa"/>
            <w:vAlign w:val="bottom"/>
          </w:tcPr>
          <w:p>
            <w:pPr>
              <w:spacing w:after="0"/>
              <w:rPr>
                <w:sz w:val="21"/>
                <w:szCs w:val="21"/>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(11,980)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(6,384)</w:t>
            </w:r>
          </w:p>
        </w:tc>
      </w:tr>
      <w:tr>
        <w:trPr>
          <w:trHeight w:val="223"/>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8,738</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5,718</w:t>
            </w:r>
          </w:p>
        </w:tc>
        <w:tc>
          <w:tcPr>
            <w:tcW w:w="4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74" w:lineRule="exact"/>
        <w:rPr>
          <w:sz w:val="20"/>
          <w:szCs w:val="20"/>
          <w:color w:val="auto"/>
        </w:rPr>
      </w:pPr>
    </w:p>
    <w:p>
      <w:pPr>
        <w:sectPr>
          <w:pgSz w:w="11900" w:h="16838" w:orient="portrait"/>
          <w:cols w:equalWidth="0" w:num="2">
            <w:col w:w="7060" w:space="720"/>
            <w:col w:w="3640"/>
          </w:cols>
          <w:pgMar w:left="240" w:top="661" w:right="239" w:bottom="1440" w:gutter="0" w:footer="0" w:header="0"/>
          <w:type w:val="continuous"/>
        </w:sectPr>
      </w:pPr>
    </w:p>
    <w:p>
      <w:pPr>
        <w:spacing w:after="0" w:line="6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September 2011 we purchased approximately $217.8 million of finance receivables from Fireside Bank. These receivables are recorded on our balance sheet at fair value.</w:t>
      </w:r>
    </w:p>
    <w:p>
      <w:pPr>
        <w:sectPr>
          <w:pgSz w:w="11900" w:h="16838" w:orient="portrait"/>
          <w:cols w:equalWidth="0" w:num="1">
            <w:col w:w="11420"/>
          </w:cols>
          <w:pgMar w:left="240" w:top="661" w:right="239" w:bottom="1440" w:gutter="0" w:footer="0" w:header="0"/>
          <w:type w:val="continuous"/>
        </w:sectPr>
      </w:pP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presents the components of Finance Receivables measured at fair value: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Finance Receivables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receivables and accrued interest, net of unearned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Less: Fair value adjustment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Finance receivables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8"/>
        </w:trPr>
        <w:tc>
          <w:tcPr>
            <w:tcW w:w="160" w:type="dxa"/>
            <w:vAlign w:val="bottom"/>
          </w:tcPr>
          <w:p>
            <w:pPr>
              <w:spacing w:after="0"/>
              <w:rPr>
                <w:sz w:val="19"/>
                <w:szCs w:val="19"/>
                <w:color w:val="auto"/>
              </w:rPr>
            </w:pPr>
          </w:p>
        </w:tc>
        <w:tc>
          <w:tcPr>
            <w:tcW w:w="3380" w:type="dxa"/>
            <w:vAlign w:val="bottom"/>
            <w:gridSpan w:val="5"/>
          </w:tcPr>
          <w:p>
            <w:pPr>
              <w:jc w:val="right"/>
              <w:ind w:right="1070"/>
              <w:spacing w:after="0"/>
              <w:rPr>
                <w:sz w:val="20"/>
                <w:szCs w:val="20"/>
                <w:color w:val="auto"/>
              </w:rPr>
            </w:pPr>
            <w:r>
              <w:rPr>
                <w:rFonts w:ascii="Arial" w:cs="Arial" w:eastAsia="Arial" w:hAnsi="Arial"/>
                <w:sz w:val="18"/>
                <w:szCs w:val="18"/>
                <w:b w:val="1"/>
                <w:bCs w:val="1"/>
                <w:color w:val="auto"/>
              </w:rPr>
              <w:t>(In thousands)</w:t>
            </w:r>
          </w:p>
        </w:tc>
        <w:tc>
          <w:tcPr>
            <w:tcW w:w="60" w:type="dxa"/>
            <w:vAlign w:val="bottom"/>
            <w:gridSpan w:val="2"/>
          </w:tcPr>
          <w:p>
            <w:pPr>
              <w:spacing w:after="0"/>
              <w:rPr>
                <w:sz w:val="19"/>
                <w:szCs w:val="19"/>
                <w:color w:val="auto"/>
              </w:rPr>
            </w:pPr>
          </w:p>
        </w:tc>
      </w:tr>
      <w:tr>
        <w:trPr>
          <w:trHeight w:val="400"/>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21,701</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60,804</w:t>
            </w:r>
          </w:p>
        </w:tc>
        <w:tc>
          <w:tcPr>
            <w:tcW w:w="40" w:type="dxa"/>
            <w:vAlign w:val="bottom"/>
          </w:tcPr>
          <w:p>
            <w:pPr>
              <w:spacing w:after="0"/>
              <w:rPr>
                <w:sz w:val="24"/>
                <w:szCs w:val="24"/>
                <w:color w:val="auto"/>
              </w:rPr>
            </w:pPr>
          </w:p>
        </w:tc>
      </w:tr>
      <w:tr>
        <w:trPr>
          <w:trHeight w:val="244"/>
        </w:trPr>
        <w:tc>
          <w:tcPr>
            <w:tcW w:w="160" w:type="dxa"/>
            <w:vAlign w:val="bottom"/>
          </w:tcPr>
          <w:p>
            <w:pPr>
              <w:spacing w:after="0"/>
              <w:rPr>
                <w:sz w:val="21"/>
                <w:szCs w:val="21"/>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(1,136)</w:t>
            </w:r>
          </w:p>
        </w:tc>
      </w:tr>
      <w:tr>
        <w:trPr>
          <w:trHeight w:val="223"/>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21,217</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59,668</w:t>
            </w:r>
          </w:p>
        </w:tc>
        <w:tc>
          <w:tcPr>
            <w:tcW w:w="4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640"/>
          </w:cols>
          <w:pgMar w:left="240" w:top="661"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delinquency status of finance receivables measured at fair value as of September 30, 2013 and December 31, 2012:</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Deliquency Status</w:t>
            </w:r>
          </w:p>
        </w:tc>
        <w:tc>
          <w:tcPr>
            <w:tcW w:w="2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19,795</w:t>
            </w:r>
          </w:p>
        </w:tc>
        <w:tc>
          <w:tcPr>
            <w:tcW w:w="300" w:type="dxa"/>
            <w:vAlign w:val="bottom"/>
          </w:tcPr>
          <w:p>
            <w:pPr>
              <w:spacing w:after="0"/>
              <w:rPr>
                <w:sz w:val="18"/>
                <w:szCs w:val="18"/>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57,557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31</w:t>
            </w:r>
          </w:p>
        </w:tc>
        <w:tc>
          <w:tcPr>
            <w:tcW w:w="31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1,218</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61</w:t>
            </w:r>
          </w:p>
        </w:tc>
        <w:tc>
          <w:tcPr>
            <w:tcW w:w="3180" w:type="dxa"/>
            <w:vAlign w:val="bottom"/>
          </w:tcPr>
          <w:p>
            <w:pPr>
              <w:ind w:left="20"/>
              <w:spacing w:after="0"/>
              <w:rPr>
                <w:sz w:val="20"/>
                <w:szCs w:val="20"/>
                <w:color w:val="auto"/>
              </w:rPr>
            </w:pPr>
            <w:r>
              <w:rPr>
                <w:rFonts w:ascii="Arial" w:cs="Arial" w:eastAsia="Arial" w:hAnsi="Arial"/>
                <w:sz w:val="18"/>
                <w:szCs w:val="18"/>
                <w:color w:val="auto"/>
              </w:rPr>
              <w:t>- 90 days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91</w:t>
            </w:r>
          </w:p>
        </w:tc>
        <w:tc>
          <w:tcPr>
            <w:tcW w:w="31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10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252</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60,804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We have completed a number of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Receivables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Outstanding</w:t>
            </w:r>
          </w:p>
        </w:tc>
        <w:tc>
          <w:tcPr>
            <w:tcW w:w="1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Final Scheduled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Pledged at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Principal at</w:t>
            </w:r>
          </w:p>
        </w:tc>
        <w:tc>
          <w:tcPr>
            <w:tcW w:w="1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Principal at</w:t>
            </w:r>
          </w:p>
        </w:tc>
        <w:tc>
          <w:tcPr>
            <w:tcW w:w="1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Rate at</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Payment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Initial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17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Series</w:t>
            </w:r>
          </w:p>
        </w:tc>
        <w:tc>
          <w:tcPr>
            <w:tcW w:w="17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Date (1)</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4"/>
              </w:rPr>
              <w:t>Principal</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6"/>
          </w:tcPr>
          <w:p>
            <w:pPr>
              <w:ind w:left="1120"/>
              <w:spacing w:after="0"/>
              <w:rPr>
                <w:sz w:val="20"/>
                <w:szCs w:val="20"/>
                <w:color w:val="auto"/>
              </w:rPr>
            </w:pPr>
            <w:r>
              <w:rPr>
                <w:rFonts w:ascii="Arial" w:cs="Arial" w:eastAsia="Arial" w:hAnsi="Arial"/>
                <w:sz w:val="18"/>
                <w:szCs w:val="18"/>
                <w:b w:val="1"/>
                <w:bCs w:val="1"/>
                <w:color w:val="auto"/>
                <w:w w:val="98"/>
              </w:rPr>
              <w:t>(Dollars 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EEEEE"/>
          </w:tcPr>
          <w:p>
            <w:pPr>
              <w:spacing w:after="0"/>
              <w:rPr>
                <w:sz w:val="20"/>
                <w:szCs w:val="20"/>
                <w:color w:val="auto"/>
              </w:rPr>
            </w:pPr>
            <w:r>
              <w:rPr>
                <w:rFonts w:ascii="Arial" w:cs="Arial" w:eastAsia="Arial" w:hAnsi="Arial"/>
                <w:sz w:val="18"/>
                <w:szCs w:val="18"/>
                <w:color w:val="auto"/>
              </w:rPr>
              <w:t>CPS 2008-A</w:t>
            </w:r>
          </w:p>
        </w:tc>
        <w:tc>
          <w:tcPr>
            <w:tcW w:w="1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October 2014</w:t>
            </w: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EEEEE"/>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310,359</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40,713</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Page Five Funding</w:t>
            </w:r>
          </w:p>
        </w:tc>
        <w:tc>
          <w:tcPr>
            <w:tcW w:w="1760" w:type="dxa"/>
            <w:vAlign w:val="bottom"/>
          </w:tcPr>
          <w:p>
            <w:pPr>
              <w:jc w:val="right"/>
              <w:spacing w:after="0"/>
              <w:rPr>
                <w:sz w:val="20"/>
                <w:szCs w:val="20"/>
                <w:color w:val="auto"/>
              </w:rPr>
            </w:pPr>
            <w:r>
              <w:rPr>
                <w:rFonts w:ascii="Arial" w:cs="Arial" w:eastAsia="Arial" w:hAnsi="Arial"/>
                <w:sz w:val="18"/>
                <w:szCs w:val="18"/>
                <w:color w:val="auto"/>
              </w:rPr>
              <w:t>January 2018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13,244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46,058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11,500</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21,251</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1760" w:type="dxa"/>
            <w:vAlign w:val="bottom"/>
            <w:shd w:val="clear" w:color="auto" w:fill="EEEEEE"/>
          </w:tcPr>
          <w:p>
            <w:pPr>
              <w:spacing w:after="0"/>
              <w:rPr>
                <w:sz w:val="20"/>
                <w:szCs w:val="20"/>
                <w:color w:val="auto"/>
              </w:rPr>
            </w:pPr>
            <w:r>
              <w:rPr>
                <w:rFonts w:ascii="Arial" w:cs="Arial" w:eastAsia="Arial" w:hAnsi="Arial"/>
                <w:sz w:val="18"/>
                <w:szCs w:val="18"/>
                <w:color w:val="auto"/>
              </w:rPr>
              <w:t>CPS 2011-A</w:t>
            </w:r>
          </w:p>
        </w:tc>
        <w:tc>
          <w:tcPr>
            <w:tcW w:w="1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April 2018</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33,088</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100,364</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29,533</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48,368</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CPS 2011-B</w:t>
            </w:r>
          </w:p>
        </w:tc>
        <w:tc>
          <w:tcPr>
            <w:tcW w:w="1760" w:type="dxa"/>
            <w:vAlign w:val="bottom"/>
          </w:tcPr>
          <w:p>
            <w:pPr>
              <w:jc w:val="right"/>
              <w:spacing w:after="0"/>
              <w:rPr>
                <w:sz w:val="20"/>
                <w:szCs w:val="20"/>
                <w:color w:val="auto"/>
              </w:rPr>
            </w:pPr>
            <w:r>
              <w:rPr>
                <w:rFonts w:ascii="Arial" w:cs="Arial" w:eastAsia="Arial" w:hAnsi="Arial"/>
                <w:sz w:val="18"/>
                <w:szCs w:val="18"/>
                <w:color w:val="auto"/>
              </w:rPr>
              <w:t>September 2018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50,758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109,936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50,286</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70,863</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1760" w:type="dxa"/>
            <w:vAlign w:val="bottom"/>
            <w:shd w:val="clear" w:color="auto" w:fill="EEEEEE"/>
          </w:tcPr>
          <w:p>
            <w:pPr>
              <w:spacing w:after="0"/>
              <w:rPr>
                <w:sz w:val="20"/>
                <w:szCs w:val="20"/>
                <w:color w:val="auto"/>
              </w:rPr>
            </w:pPr>
            <w:r>
              <w:rPr>
                <w:rFonts w:ascii="Arial" w:cs="Arial" w:eastAsia="Arial" w:hAnsi="Arial"/>
                <w:sz w:val="18"/>
                <w:szCs w:val="18"/>
                <w:color w:val="auto"/>
              </w:rPr>
              <w:t>CPS 2011-C</w:t>
            </w:r>
          </w:p>
        </w:tc>
        <w:tc>
          <w:tcPr>
            <w:tcW w:w="1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March 2019</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63,410</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119,400</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63,429</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88,269</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CPS 2012-A</w:t>
            </w:r>
          </w:p>
        </w:tc>
        <w:tc>
          <w:tcPr>
            <w:tcW w:w="1760" w:type="dxa"/>
            <w:vAlign w:val="bottom"/>
          </w:tcPr>
          <w:p>
            <w:pPr>
              <w:jc w:val="right"/>
              <w:spacing w:after="0"/>
              <w:rPr>
                <w:sz w:val="20"/>
                <w:szCs w:val="20"/>
                <w:color w:val="auto"/>
              </w:rPr>
            </w:pPr>
            <w:r>
              <w:rPr>
                <w:rFonts w:ascii="Arial" w:cs="Arial" w:eastAsia="Arial" w:hAnsi="Arial"/>
                <w:sz w:val="18"/>
                <w:szCs w:val="18"/>
                <w:color w:val="auto"/>
              </w:rPr>
              <w:t>June 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73,288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155,000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72,964</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105,485</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1760" w:type="dxa"/>
            <w:vAlign w:val="bottom"/>
            <w:shd w:val="clear" w:color="auto" w:fill="EEEEEE"/>
          </w:tcPr>
          <w:p>
            <w:pPr>
              <w:spacing w:after="0"/>
              <w:rPr>
                <w:sz w:val="20"/>
                <w:szCs w:val="20"/>
                <w:color w:val="auto"/>
              </w:rPr>
            </w:pPr>
            <w:r>
              <w:rPr>
                <w:rFonts w:ascii="Arial" w:cs="Arial" w:eastAsia="Arial" w:hAnsi="Arial"/>
                <w:sz w:val="18"/>
                <w:szCs w:val="18"/>
                <w:color w:val="auto"/>
              </w:rPr>
              <w:t>CPS 2012-B</w:t>
            </w:r>
          </w:p>
        </w:tc>
        <w:tc>
          <w:tcPr>
            <w:tcW w:w="1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September 2019</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96,641</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141,500</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95,324</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122,329</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CPS 2012-C</w:t>
            </w:r>
          </w:p>
        </w:tc>
        <w:tc>
          <w:tcPr>
            <w:tcW w:w="1760" w:type="dxa"/>
            <w:vAlign w:val="bottom"/>
          </w:tcPr>
          <w:p>
            <w:pPr>
              <w:jc w:val="right"/>
              <w:spacing w:after="0"/>
              <w:rPr>
                <w:sz w:val="20"/>
                <w:szCs w:val="20"/>
                <w:color w:val="auto"/>
              </w:rPr>
            </w:pPr>
            <w:r>
              <w:rPr>
                <w:rFonts w:ascii="Arial" w:cs="Arial" w:eastAsia="Arial" w:hAnsi="Arial"/>
                <w:sz w:val="18"/>
                <w:szCs w:val="18"/>
                <w:color w:val="auto"/>
              </w:rPr>
              <w:t>December 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103,877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147,000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101,575</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135,219</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1760" w:type="dxa"/>
            <w:vAlign w:val="bottom"/>
            <w:shd w:val="clear" w:color="auto" w:fill="EEEEEE"/>
          </w:tcPr>
          <w:p>
            <w:pPr>
              <w:spacing w:after="0"/>
              <w:rPr>
                <w:sz w:val="20"/>
                <w:szCs w:val="20"/>
                <w:color w:val="auto"/>
              </w:rPr>
            </w:pPr>
            <w:r>
              <w:rPr>
                <w:rFonts w:ascii="Arial" w:cs="Arial" w:eastAsia="Arial" w:hAnsi="Arial"/>
                <w:sz w:val="18"/>
                <w:szCs w:val="18"/>
                <w:color w:val="auto"/>
              </w:rPr>
              <w:t>CPS 2012-D</w:t>
            </w:r>
          </w:p>
        </w:tc>
        <w:tc>
          <w:tcPr>
            <w:tcW w:w="1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March 2020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124,318</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160,000</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118,237</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160,000</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CPS 2013-A</w:t>
            </w:r>
          </w:p>
        </w:tc>
        <w:tc>
          <w:tcPr>
            <w:tcW w:w="1760" w:type="dxa"/>
            <w:vAlign w:val="bottom"/>
          </w:tcPr>
          <w:p>
            <w:pPr>
              <w:jc w:val="right"/>
              <w:spacing w:after="0"/>
              <w:rPr>
                <w:sz w:val="20"/>
                <w:szCs w:val="20"/>
                <w:color w:val="auto"/>
              </w:rPr>
            </w:pPr>
            <w:r>
              <w:rPr>
                <w:rFonts w:ascii="Arial" w:cs="Arial" w:eastAsia="Arial" w:hAnsi="Arial"/>
                <w:sz w:val="18"/>
                <w:szCs w:val="18"/>
                <w:color w:val="auto"/>
              </w:rPr>
              <w:t>June 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165,276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185,000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157,015</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1760" w:type="dxa"/>
            <w:vAlign w:val="bottom"/>
            <w:shd w:val="clear" w:color="auto" w:fill="EEEEEE"/>
          </w:tcPr>
          <w:p>
            <w:pPr>
              <w:spacing w:after="0"/>
              <w:rPr>
                <w:sz w:val="20"/>
                <w:szCs w:val="20"/>
                <w:color w:val="auto"/>
              </w:rPr>
            </w:pPr>
            <w:r>
              <w:rPr>
                <w:rFonts w:ascii="Arial" w:cs="Arial" w:eastAsia="Arial" w:hAnsi="Arial"/>
                <w:sz w:val="18"/>
                <w:szCs w:val="18"/>
                <w:color w:val="auto"/>
              </w:rPr>
              <w:t>CPS 2013-B</w:t>
            </w:r>
          </w:p>
        </w:tc>
        <w:tc>
          <w:tcPr>
            <w:tcW w:w="1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September 2020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192,628</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205,000</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189,696</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CPS 2013-C</w:t>
            </w:r>
          </w:p>
        </w:tc>
        <w:tc>
          <w:tcPr>
            <w:tcW w:w="1760" w:type="dxa"/>
            <w:vAlign w:val="bottom"/>
          </w:tcPr>
          <w:p>
            <w:pPr>
              <w:jc w:val="right"/>
              <w:spacing w:after="0"/>
              <w:rPr>
                <w:sz w:val="20"/>
                <w:szCs w:val="20"/>
                <w:color w:val="auto"/>
              </w:rPr>
            </w:pPr>
            <w:r>
              <w:rPr>
                <w:rFonts w:ascii="Arial" w:cs="Arial" w:eastAsia="Arial" w:hAnsi="Arial"/>
                <w:sz w:val="18"/>
                <w:szCs w:val="18"/>
                <w:color w:val="auto"/>
              </w:rPr>
              <w:t>December 2020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137,989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205,000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205,000</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3"/>
        </w:trPr>
        <w:tc>
          <w:tcPr>
            <w:tcW w:w="1760" w:type="dxa"/>
            <w:vAlign w:val="bottom"/>
            <w:tcBorders>
              <w:top w:val="single" w:sz="8" w:color="EEEEEE"/>
              <w:bottom w:val="single" w:sz="8" w:color="EEEEEE"/>
            </w:tcBorders>
            <w:shd w:val="clear" w:color="auto" w:fill="EEEEEE"/>
          </w:tcPr>
          <w:p>
            <w:pPr>
              <w:spacing w:after="0"/>
              <w:rPr>
                <w:sz w:val="19"/>
                <w:szCs w:val="19"/>
                <w:color w:val="auto"/>
              </w:rPr>
            </w:pPr>
          </w:p>
        </w:tc>
        <w:tc>
          <w:tcPr>
            <w:tcW w:w="176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1,054,517</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1,884,617</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1,094,559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792,497</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6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54"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$104.7 million in 2013, $393.4 million in 2014, $292.0 million in 2015, $181.0 million in 2016, $96.8 million in 2017 and $26.6 million in 2018.</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In addition, certain securitization and non-securitization related debt contain cross-default provisions, which would allow certain creditors to declare a default if a default were declared under a different facility. As of September 30, 2013, we were in compliance with all such covenants.</w:t>
      </w:r>
    </w:p>
    <w:p>
      <w:pPr>
        <w:spacing w:after="0" w:line="188"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September 30, 2013, restricted cash under the various agreements totaled approximately $129.5 million, of which $65.8 million represented pre-funding proceeds.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6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terms and amounts of our other debt outstanding at September 30, 2013 and December 31, 2012 are summarized below:</w:t>
      </w:r>
    </w:p>
    <w:p>
      <w:pPr>
        <w:spacing w:after="0" w:line="235" w:lineRule="exact"/>
        <w:rPr>
          <w:sz w:val="20"/>
          <w:szCs w:val="20"/>
          <w:color w:val="auto"/>
        </w:rPr>
      </w:pPr>
    </w:p>
    <w:p>
      <w:pPr>
        <w:jc w:val="right"/>
        <w:ind w:right="960"/>
        <w:spacing w:after="0"/>
        <w:rPr>
          <w:sz w:val="20"/>
          <w:szCs w:val="20"/>
          <w:color w:val="auto"/>
        </w:rPr>
      </w:pPr>
      <w:r>
        <w:rPr>
          <w:rFonts w:ascii="Arial" w:cs="Arial" w:eastAsia="Arial" w:hAnsi="Arial"/>
          <w:sz w:val="18"/>
          <w:szCs w:val="18"/>
          <w:b w:val="1"/>
          <w:bCs w:val="1"/>
          <w:color w:val="auto"/>
        </w:rPr>
        <w:t>Amount Outstanding at</w:t>
      </w:r>
    </w:p>
    <w:p>
      <w:pPr>
        <w:spacing w:after="0" w:line="27" w:lineRule="exact"/>
        <w:rPr>
          <w:sz w:val="20"/>
          <w:szCs w:val="20"/>
          <w:color w:val="auto"/>
        </w:rPr>
      </w:pPr>
    </w:p>
    <w:tbl>
      <w:tblPr>
        <w:tblLayout w:type="fixed"/>
        <w:tblInd w:w="7780" w:type="dxa"/>
        <w:tblCellMar>
          <w:top w:w="0" w:type="dxa"/>
          <w:left w:w="0" w:type="dxa"/>
          <w:bottom w:w="0" w:type="dxa"/>
          <w:right w:w="0" w:type="dxa"/>
        </w:tblCellMar>
      </w:tblPr>
      <w:tr>
        <w:trPr>
          <w:trHeight w:val="205"/>
        </w:trPr>
        <w:tc>
          <w:tcPr>
            <w:tcW w:w="1780" w:type="dxa"/>
            <w:vAlign w:val="bottom"/>
            <w:tcBorders>
              <w:top w:val="single" w:sz="8" w:color="auto"/>
            </w:tcBorders>
          </w:tcPr>
          <w:p>
            <w:pPr>
              <w:jc w:val="center"/>
              <w:ind w:right="70"/>
              <w:spacing w:after="0" w:line="205" w:lineRule="exact"/>
              <w:rPr>
                <w:sz w:val="20"/>
                <w:szCs w:val="20"/>
                <w:color w:val="auto"/>
              </w:rPr>
            </w:pPr>
            <w:r>
              <w:rPr>
                <w:rFonts w:ascii="Arial" w:cs="Arial" w:eastAsia="Arial" w:hAnsi="Arial"/>
                <w:sz w:val="18"/>
                <w:szCs w:val="18"/>
                <w:b w:val="1"/>
                <w:bCs w:val="1"/>
                <w:color w:val="auto"/>
                <w:w w:val="89"/>
              </w:rPr>
              <w:t>September 30,</w:t>
            </w:r>
          </w:p>
        </w:tc>
        <w:tc>
          <w:tcPr>
            <w:tcW w:w="1760" w:type="dxa"/>
            <w:vAlign w:val="bottom"/>
            <w:tcBorders>
              <w:top w:val="single" w:sz="8" w:color="auto"/>
            </w:tcBorders>
          </w:tcPr>
          <w:p>
            <w:pPr>
              <w:jc w:val="center"/>
              <w:ind w:left="70"/>
              <w:spacing w:after="0" w:line="205"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17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7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bl>
    <w:p>
      <w:pPr>
        <w:ind w:left="900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-130810</wp:posOffset>
            </wp:positionV>
            <wp:extent cx="22383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auto"/>
        </w:rPr>
        <w:t>Description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Senior secured debt,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Subordinated renewable notes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Interest Rate</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12.875% over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-114300</wp:posOffset>
            </wp:positionV>
            <wp:extent cx="72466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month Libor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11.75% over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-121920</wp:posOffset>
            </wp:positionV>
            <wp:extent cx="72466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month Libor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 and 16.0%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-114300</wp:posOffset>
            </wp:positionV>
            <wp:extent cx="7246620"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2012, respectively</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-121920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152400</wp:posOffset>
            </wp:positionV>
            <wp:extent cx="7246620" cy="823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Weighted average rate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 12.7% and 14.4%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September 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2013 and December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 2012, respectively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460" w:type="dxa"/>
            <w:vAlign w:val="bottom"/>
          </w:tcPr>
          <w:p>
            <w:pPr>
              <w:spacing w:after="0"/>
              <w:rPr>
                <w:sz w:val="17"/>
                <w:szCs w:val="17"/>
                <w:color w:val="auto"/>
              </w:rPr>
            </w:pPr>
          </w:p>
        </w:tc>
        <w:tc>
          <w:tcPr>
            <w:tcW w:w="1220" w:type="dxa"/>
            <w:vAlign w:val="bottom"/>
            <w:gridSpan w:val="2"/>
          </w:tcPr>
          <w:p>
            <w:pPr>
              <w:jc w:val="center"/>
              <w:ind w:right="600"/>
              <w:spacing w:after="0" w:line="198" w:lineRule="exact"/>
              <w:rPr>
                <w:sz w:val="20"/>
                <w:szCs w:val="20"/>
                <w:color w:val="auto"/>
              </w:rPr>
            </w:pPr>
            <w:r>
              <w:rPr>
                <w:rFonts w:ascii="Arial" w:cs="Arial" w:eastAsia="Arial" w:hAnsi="Arial"/>
                <w:sz w:val="18"/>
                <w:szCs w:val="18"/>
                <w:color w:val="auto"/>
                <w:w w:val="96"/>
              </w:rPr>
              <w:t>Maturity</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68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September 2013</w:t>
            </w:r>
          </w:p>
        </w:tc>
        <w:tc>
          <w:tcPr>
            <w:tcW w:w="72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108"/>
        </w:trPr>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1680" w:type="dxa"/>
            <w:vAlign w:val="bottom"/>
            <w:gridSpan w:val="3"/>
          </w:tcPr>
          <w:p>
            <w:pPr>
              <w:jc w:val="center"/>
              <w:ind w:right="140"/>
              <w:spacing w:after="0"/>
              <w:rPr>
                <w:sz w:val="20"/>
                <w:szCs w:val="20"/>
                <w:color w:val="auto"/>
              </w:rPr>
            </w:pPr>
            <w:r>
              <w:rPr>
                <w:rFonts w:ascii="Arial" w:cs="Arial" w:eastAsia="Arial" w:hAnsi="Arial"/>
                <w:sz w:val="18"/>
                <w:szCs w:val="18"/>
                <w:color w:val="auto"/>
                <w:w w:val="96"/>
              </w:rPr>
              <w:t>April 2018</w:t>
            </w:r>
          </w:p>
        </w:tc>
        <w:tc>
          <w:tcPr>
            <w:tcW w:w="720" w:type="dxa"/>
            <w:vAlign w:val="bottom"/>
          </w:tcPr>
          <w:p>
            <w:pPr>
              <w:spacing w:after="0"/>
              <w:rPr>
                <w:sz w:val="24"/>
                <w:szCs w:val="24"/>
                <w:color w:val="auto"/>
              </w:rPr>
            </w:pP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20,000</w:t>
            </w:r>
          </w:p>
        </w:tc>
        <w:tc>
          <w:tcPr>
            <w:tcW w:w="76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168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June 2014</w:t>
            </w: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36,816</w:t>
            </w:r>
          </w:p>
        </w:tc>
        <w:tc>
          <w:tcPr>
            <w:tcW w:w="7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50,135</w:t>
            </w:r>
          </w:p>
        </w:tc>
        <w:tc>
          <w:tcPr>
            <w:tcW w:w="0" w:type="dxa"/>
            <w:vAlign w:val="bottom"/>
          </w:tcPr>
          <w:p>
            <w:pPr>
              <w:spacing w:after="0"/>
              <w:rPr>
                <w:sz w:val="1"/>
                <w:szCs w:val="1"/>
                <w:color w:val="auto"/>
              </w:rPr>
            </w:pPr>
          </w:p>
        </w:tc>
      </w:tr>
      <w:tr>
        <w:trPr>
          <w:trHeight w:val="432"/>
        </w:trPr>
        <w:tc>
          <w:tcPr>
            <w:tcW w:w="168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June 2014</w:t>
            </w:r>
          </w:p>
        </w:tc>
        <w:tc>
          <w:tcPr>
            <w:tcW w:w="72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2,147</w:t>
            </w:r>
          </w:p>
        </w:tc>
        <w:tc>
          <w:tcPr>
            <w:tcW w:w="7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168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Weighted average</w:t>
            </w: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maturity of July 2016</w:t>
            </w: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and June 2015 at</w:t>
            </w: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September 30, 2013</w:t>
            </w: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and December 31,</w:t>
            </w: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2012, respectively</w:t>
            </w:r>
          </w:p>
        </w:tc>
        <w:tc>
          <w:tcPr>
            <w:tcW w:w="72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20,640</w:t>
            </w: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23,281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3280" w:space="720"/>
            <w:col w:w="1600" w:space="380"/>
            <w:col w:w="5440"/>
          </w:cols>
          <w:pgMar w:left="240" w:top="661" w:right="2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250"/>
              <w:spacing w:after="0"/>
              <w:rPr>
                <w:sz w:val="20"/>
                <w:szCs w:val="20"/>
                <w:color w:val="auto"/>
              </w:rPr>
            </w:pPr>
            <w:r>
              <w:rPr>
                <w:rFonts w:ascii="Arial" w:cs="Arial" w:eastAsia="Arial" w:hAnsi="Arial"/>
                <w:sz w:val="18"/>
                <w:szCs w:val="18"/>
                <w:color w:val="auto"/>
                <w:w w:val="87"/>
              </w:rPr>
              <w:t>Repayment is based</w:t>
            </w: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230"/>
              <w:spacing w:after="0"/>
              <w:rPr>
                <w:sz w:val="20"/>
                <w:szCs w:val="20"/>
                <w:color w:val="auto"/>
              </w:rPr>
            </w:pPr>
            <w:r>
              <w:rPr>
                <w:rFonts w:ascii="Arial" w:cs="Arial" w:eastAsia="Arial" w:hAnsi="Arial"/>
                <w:sz w:val="18"/>
                <w:szCs w:val="18"/>
                <w:color w:val="auto"/>
                <w:w w:val="90"/>
              </w:rPr>
              <w:t>on payments from</w:t>
            </w: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230"/>
              <w:spacing w:after="0"/>
              <w:rPr>
                <w:sz w:val="20"/>
                <w:szCs w:val="20"/>
                <w:color w:val="auto"/>
              </w:rPr>
            </w:pPr>
            <w:r>
              <w:rPr>
                <w:rFonts w:ascii="Arial" w:cs="Arial" w:eastAsia="Arial" w:hAnsi="Arial"/>
                <w:sz w:val="18"/>
                <w:szCs w:val="18"/>
                <w:color w:val="auto"/>
                <w:w w:val="93"/>
              </w:rPr>
              <w:t>underlying</w:t>
            </w: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230"/>
              <w:spacing w:after="0"/>
              <w:rPr>
                <w:sz w:val="20"/>
                <w:szCs w:val="20"/>
                <w:color w:val="auto"/>
              </w:rPr>
            </w:pPr>
            <w:r>
              <w:rPr>
                <w:rFonts w:ascii="Arial" w:cs="Arial" w:eastAsia="Arial" w:hAnsi="Arial"/>
                <w:sz w:val="18"/>
                <w:szCs w:val="18"/>
                <w:color w:val="auto"/>
                <w:w w:val="89"/>
              </w:rPr>
              <w:t>receivables. Final</w:t>
            </w: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w:t>
            </w:r>
          </w:p>
        </w:tc>
        <w:tc>
          <w:tcPr>
            <w:tcW w:w="1780" w:type="dxa"/>
            <w:vAlign w:val="bottom"/>
            <w:vMerge w:val="restart"/>
            <w:shd w:val="clear" w:color="auto" w:fill="EEEEEE"/>
          </w:tcPr>
          <w:p>
            <w:pPr>
              <w:ind w:left="1040"/>
              <w:spacing w:after="0"/>
              <w:rPr>
                <w:sz w:val="20"/>
                <w:szCs w:val="20"/>
                <w:color w:val="auto"/>
              </w:rPr>
            </w:pPr>
            <w:r>
              <w:rPr>
                <w:rFonts w:ascii="Arial" w:cs="Arial" w:eastAsia="Arial" w:hAnsi="Arial"/>
                <w:sz w:val="18"/>
                <w:szCs w:val="18"/>
                <w:color w:val="auto"/>
              </w:rPr>
              <w:t>n/a</w:t>
            </w:r>
          </w:p>
        </w:tc>
        <w:tc>
          <w:tcPr>
            <w:tcW w:w="2940" w:type="dxa"/>
            <w:vAlign w:val="bottom"/>
            <w:gridSpan w:val="2"/>
            <w:shd w:val="clear" w:color="auto" w:fill="EEEEEE"/>
          </w:tcPr>
          <w:p>
            <w:pPr>
              <w:jc w:val="center"/>
              <w:ind w:right="230"/>
              <w:spacing w:after="0"/>
              <w:rPr>
                <w:sz w:val="20"/>
                <w:szCs w:val="20"/>
                <w:color w:val="auto"/>
              </w:rPr>
            </w:pPr>
            <w:r>
              <w:rPr>
                <w:rFonts w:ascii="Arial" w:cs="Arial" w:eastAsia="Arial" w:hAnsi="Arial"/>
                <w:sz w:val="18"/>
                <w:szCs w:val="18"/>
                <w:color w:val="auto"/>
                <w:w w:val="90"/>
              </w:rPr>
              <w:t>payment of the 8.00%</w:t>
            </w: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660" w:type="dxa"/>
            <w:vAlign w:val="bottom"/>
            <w:vMerge w:val="restart"/>
            <w:shd w:val="clear" w:color="auto" w:fill="EEEEEE"/>
          </w:tcPr>
          <w:p>
            <w:pPr>
              <w:spacing w:after="0"/>
              <w:rPr>
                <w:sz w:val="20"/>
                <w:szCs w:val="20"/>
                <w:color w:val="auto"/>
              </w:rPr>
            </w:pPr>
            <w:r>
              <w:rPr>
                <w:rFonts w:ascii="Arial" w:cs="Arial" w:eastAsia="Arial" w:hAnsi="Arial"/>
                <w:sz w:val="18"/>
                <w:szCs w:val="18"/>
                <w:color w:val="auto"/>
              </w:rPr>
              <w:t>value</w:t>
            </w:r>
          </w:p>
        </w:tc>
        <w:tc>
          <w:tcPr>
            <w:tcW w:w="1780" w:type="dxa"/>
            <w:vAlign w:val="bottom"/>
            <w:vMerge w:val="continue"/>
            <w:shd w:val="clear" w:color="auto" w:fill="EEEEEE"/>
          </w:tcPr>
          <w:p>
            <w:pPr>
              <w:spacing w:after="0"/>
              <w:rPr>
                <w:sz w:val="10"/>
                <w:szCs w:val="10"/>
                <w:color w:val="auto"/>
              </w:rPr>
            </w:pPr>
          </w:p>
        </w:tc>
        <w:tc>
          <w:tcPr>
            <w:tcW w:w="2940" w:type="dxa"/>
            <w:vAlign w:val="bottom"/>
            <w:gridSpan w:val="2"/>
            <w:vMerge w:val="restart"/>
            <w:shd w:val="clear" w:color="auto" w:fill="EEEEEE"/>
          </w:tcPr>
          <w:p>
            <w:pPr>
              <w:jc w:val="center"/>
              <w:ind w:right="230"/>
              <w:spacing w:after="0"/>
              <w:rPr>
                <w:sz w:val="20"/>
                <w:szCs w:val="20"/>
                <w:color w:val="auto"/>
              </w:rPr>
            </w:pPr>
            <w:r>
              <w:rPr>
                <w:rFonts w:ascii="Arial" w:cs="Arial" w:eastAsia="Arial" w:hAnsi="Arial"/>
                <w:sz w:val="18"/>
                <w:szCs w:val="18"/>
                <w:color w:val="auto"/>
                <w:w w:val="89"/>
              </w:rPr>
              <w:t>note was made in</w:t>
            </w:r>
          </w:p>
        </w:tc>
        <w:tc>
          <w:tcPr>
            <w:tcW w:w="102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10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60" w:type="dxa"/>
            <w:vAlign w:val="bottom"/>
            <w:vMerge w:val="continue"/>
            <w:shd w:val="clear" w:color="auto" w:fill="EEEEEE"/>
          </w:tcPr>
          <w:p>
            <w:pPr>
              <w:spacing w:after="0"/>
              <w:rPr>
                <w:sz w:val="8"/>
                <w:szCs w:val="8"/>
                <w:color w:val="auto"/>
              </w:rPr>
            </w:pPr>
          </w:p>
        </w:tc>
        <w:tc>
          <w:tcPr>
            <w:tcW w:w="1780" w:type="dxa"/>
            <w:vAlign w:val="bottom"/>
            <w:shd w:val="clear" w:color="auto" w:fill="EEEEEE"/>
          </w:tcPr>
          <w:p>
            <w:pPr>
              <w:spacing w:after="0"/>
              <w:rPr>
                <w:sz w:val="8"/>
                <w:szCs w:val="8"/>
                <w:color w:val="auto"/>
              </w:rPr>
            </w:pPr>
          </w:p>
        </w:tc>
        <w:tc>
          <w:tcPr>
            <w:tcW w:w="2940" w:type="dxa"/>
            <w:vAlign w:val="bottom"/>
            <w:gridSpan w:val="2"/>
            <w:vMerge w:val="continue"/>
            <w:shd w:val="clear" w:color="auto" w:fill="EEEEEE"/>
          </w:tcPr>
          <w:p>
            <w:pPr>
              <w:spacing w:after="0"/>
              <w:rPr>
                <w:sz w:val="8"/>
                <w:szCs w:val="8"/>
                <w:color w:val="auto"/>
              </w:rPr>
            </w:pPr>
          </w:p>
        </w:tc>
        <w:tc>
          <w:tcPr>
            <w:tcW w:w="10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10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230"/>
              <w:spacing w:after="0"/>
              <w:rPr>
                <w:sz w:val="20"/>
                <w:szCs w:val="20"/>
                <w:color w:val="auto"/>
              </w:rPr>
            </w:pPr>
            <w:r>
              <w:rPr>
                <w:rFonts w:ascii="Arial" w:cs="Arial" w:eastAsia="Arial" w:hAnsi="Arial"/>
                <w:sz w:val="18"/>
                <w:szCs w:val="18"/>
                <w:color w:val="auto"/>
                <w:w w:val="90"/>
              </w:rPr>
              <w:t>September 2013, with</w:t>
            </w: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230"/>
              <w:spacing w:after="0"/>
              <w:rPr>
                <w:sz w:val="20"/>
                <w:szCs w:val="20"/>
                <w:color w:val="auto"/>
              </w:rPr>
            </w:pPr>
            <w:r>
              <w:rPr>
                <w:rFonts w:ascii="Arial" w:cs="Arial" w:eastAsia="Arial" w:hAnsi="Arial"/>
                <w:sz w:val="18"/>
                <w:szCs w:val="18"/>
                <w:color w:val="auto"/>
                <w:w w:val="88"/>
              </w:rPr>
              <w:t>residual payments</w:t>
            </w: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230"/>
              <w:spacing w:after="0"/>
              <w:rPr>
                <w:sz w:val="20"/>
                <w:szCs w:val="20"/>
                <w:color w:val="auto"/>
              </w:rPr>
            </w:pPr>
            <w:r>
              <w:rPr>
                <w:rFonts w:ascii="Arial" w:cs="Arial" w:eastAsia="Arial" w:hAnsi="Arial"/>
                <w:sz w:val="18"/>
                <w:szCs w:val="18"/>
                <w:color w:val="auto"/>
                <w:w w:val="90"/>
              </w:rPr>
              <w:t>extending through</w:t>
            </w: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EEEEEE"/>
          </w:tcPr>
          <w:p>
            <w:pPr>
              <w:spacing w:after="0"/>
              <w:rPr>
                <w:sz w:val="21"/>
                <w:szCs w:val="21"/>
                <w:color w:val="auto"/>
              </w:rPr>
            </w:pPr>
          </w:p>
        </w:tc>
        <w:tc>
          <w:tcPr>
            <w:tcW w:w="1780" w:type="dxa"/>
            <w:vAlign w:val="bottom"/>
            <w:shd w:val="clear" w:color="auto" w:fill="EEEEEE"/>
          </w:tcPr>
          <w:p>
            <w:pPr>
              <w:spacing w:after="0"/>
              <w:rPr>
                <w:sz w:val="21"/>
                <w:szCs w:val="21"/>
                <w:color w:val="auto"/>
              </w:rPr>
            </w:pPr>
          </w:p>
        </w:tc>
        <w:tc>
          <w:tcPr>
            <w:tcW w:w="2340" w:type="dxa"/>
            <w:vAlign w:val="bottom"/>
            <w:shd w:val="clear" w:color="auto" w:fill="EEEEEE"/>
          </w:tcPr>
          <w:p>
            <w:pPr>
              <w:jc w:val="center"/>
              <w:ind w:left="170"/>
              <w:spacing w:after="0"/>
              <w:rPr>
                <w:sz w:val="20"/>
                <w:szCs w:val="20"/>
                <w:color w:val="auto"/>
              </w:rPr>
            </w:pPr>
            <w:r>
              <w:rPr>
                <w:rFonts w:ascii="Arial" w:cs="Arial" w:eastAsia="Arial" w:hAnsi="Arial"/>
                <w:sz w:val="18"/>
                <w:szCs w:val="18"/>
                <w:color w:val="auto"/>
                <w:w w:val="89"/>
              </w:rPr>
              <w:t>2016</w:t>
            </w:r>
          </w:p>
        </w:tc>
        <w:tc>
          <w:tcPr>
            <w:tcW w:w="600" w:type="dxa"/>
            <w:vAlign w:val="bottom"/>
            <w:shd w:val="clear" w:color="auto" w:fill="EEEEEE"/>
          </w:tcPr>
          <w:p>
            <w:pPr>
              <w:spacing w:after="0"/>
              <w:rPr>
                <w:sz w:val="21"/>
                <w:szCs w:val="21"/>
                <w:color w:val="auto"/>
              </w:rPr>
            </w:pPr>
          </w:p>
        </w:tc>
        <w:tc>
          <w:tcPr>
            <w:tcW w:w="13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16,888</w:t>
            </w:r>
          </w:p>
        </w:tc>
        <w:tc>
          <w:tcPr>
            <w:tcW w:w="540" w:type="dxa"/>
            <w:vAlign w:val="bottom"/>
            <w:shd w:val="clear" w:color="auto" w:fill="EEEEEE"/>
          </w:tcPr>
          <w:p>
            <w:pPr>
              <w:spacing w:after="0"/>
              <w:rPr>
                <w:sz w:val="21"/>
                <w:szCs w:val="21"/>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r>
        <w:trPr>
          <w:trHeight w:val="223"/>
        </w:trPr>
        <w:tc>
          <w:tcPr>
            <w:tcW w:w="3660" w:type="dxa"/>
            <w:vAlign w:val="bottom"/>
            <w:tcBorders>
              <w:top w:val="single" w:sz="8" w:color="EEEEEE"/>
              <w:bottom w:val="single" w:sz="8" w:color="EEEEEE"/>
            </w:tcBorders>
            <w:shd w:val="clear" w:color="auto" w:fill="EEEEEE"/>
          </w:tcPr>
          <w:p>
            <w:pPr>
              <w:spacing w:after="0"/>
              <w:rPr>
                <w:sz w:val="19"/>
                <w:szCs w:val="19"/>
                <w:color w:val="auto"/>
              </w:rPr>
            </w:pPr>
          </w:p>
        </w:tc>
        <w:tc>
          <w:tcPr>
            <w:tcW w:w="1780" w:type="dxa"/>
            <w:vAlign w:val="bottom"/>
            <w:tcBorders>
              <w:top w:val="single" w:sz="8" w:color="EEEEEE"/>
              <w:bottom w:val="single" w:sz="8" w:color="EEEEEE"/>
            </w:tcBorders>
            <w:shd w:val="clear" w:color="auto" w:fill="EEEEEE"/>
          </w:tcPr>
          <w:p>
            <w:pPr>
              <w:spacing w:after="0"/>
              <w:rPr>
                <w:sz w:val="19"/>
                <w:szCs w:val="19"/>
                <w:color w:val="auto"/>
              </w:rPr>
            </w:pPr>
          </w:p>
        </w:tc>
        <w:tc>
          <w:tcPr>
            <w:tcW w:w="2340" w:type="dxa"/>
            <w:vAlign w:val="bottom"/>
            <w:tcBorders>
              <w:top w:val="single" w:sz="8" w:color="EEEEEE"/>
              <w:bottom w:val="single" w:sz="8" w:color="EEEEEE"/>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shd w:val="clear" w:color="auto" w:fill="EEEEEE"/>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96,491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540" w:type="dxa"/>
            <w:vAlign w:val="bottom"/>
            <w:tcBorders>
              <w:top w:val="single" w:sz="8" w:color="auto"/>
              <w:bottom w:val="single" w:sz="8" w:color="auto"/>
            </w:tcBorders>
            <w:shd w:val="clear" w:color="auto" w:fill="EEEEEE"/>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144,296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2013 we entered into a new $20 million five-year residual financing facility secured by eligible residual assets in two previously securitized pools of automobile receivables. We also prepaid $15 million of our senior secured debt in April 2013 and reduced the interest rate on the remaining outstanding amount from 16.00% to 13.00%. The maturity date on the remaining outstanding amount was extended from December 2013 to June 2014.</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i w:val="1"/>
                <w:iCs w:val="1"/>
                <w:color w:val="auto"/>
              </w:rPr>
              <w:t>Interest Income and Interest Expense</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w w:val="94"/>
              </w:rPr>
              <w:t>The following table presents the components of interest income: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60,462</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44,808</w:t>
            </w:r>
          </w:p>
        </w:tc>
        <w:tc>
          <w:tcPr>
            <w:tcW w:w="46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167,416</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126,029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Residual interest income</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60,462</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45,053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167,426</w:t>
            </w: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w w:val="92"/>
              </w:rPr>
              <w:t>The following table presents the components of interest expense:</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140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8,357</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9,398</w:t>
            </w:r>
          </w:p>
        </w:tc>
        <w:tc>
          <w:tcPr>
            <w:tcW w:w="46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25,725</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1,447</w:t>
            </w: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2,179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4,026</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1,599</w:t>
            </w:r>
          </w:p>
        </w:tc>
        <w:tc>
          <w:tcPr>
            <w:tcW w:w="4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3,077</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6,474</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Debt secured by receivables at fair value</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623</w:t>
            </w: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3,275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3,435</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1,079</w:t>
            </w:r>
          </w:p>
        </w:tc>
        <w:tc>
          <w:tcPr>
            <w:tcW w:w="4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731</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2,666</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748</w:t>
            </w:r>
          </w:p>
        </w:tc>
        <w:tc>
          <w:tcPr>
            <w:tcW w:w="4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2,474</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13,853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19,560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44,800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61,696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Earnings per share for the three-month and nine-month periods ended September 30, 2013 and 2012 were calculated using the weighted average number of shares outstanding for the related period. The following table reconciles the number of shares used in the computations of basic and diluted earnings per share for the three-month and nine-month periods ended September 30, 2013 and 2012:</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0" w:right="120" w:hanging="158"/>
        <w:spacing w:after="0" w:line="256" w:lineRule="auto"/>
        <w:rPr>
          <w:sz w:val="20"/>
          <w:szCs w:val="20"/>
          <w:color w:val="auto"/>
        </w:rPr>
      </w:pPr>
      <w:r>
        <w:rPr>
          <w:rFonts w:ascii="Arial" w:cs="Arial" w:eastAsia="Arial" w:hAnsi="Arial"/>
          <w:sz w:val="18"/>
          <w:szCs w:val="18"/>
          <w:color w:val="auto"/>
        </w:rPr>
        <w:t>Weighted average number of common shares outstanding during the period used to compute basic earnings per share</w:t>
      </w:r>
    </w:p>
    <w:p>
      <w:pPr>
        <w:ind w:left="160" w:right="260" w:hanging="158"/>
        <w:spacing w:after="0" w:line="281" w:lineRule="auto"/>
        <w:rPr>
          <w:sz w:val="20"/>
          <w:szCs w:val="20"/>
          <w:color w:val="auto"/>
        </w:rPr>
      </w:pPr>
      <w:r>
        <w:rPr>
          <w:rFonts w:ascii="Arial" w:cs="Arial" w:eastAsia="Arial" w:hAnsi="Arial"/>
          <w:sz w:val="16"/>
          <w:szCs w:val="16"/>
          <w:color w:val="auto"/>
        </w:rPr>
        <w:t>Incremental common shares attributable to exercise of outstanding options and warrants</w:t>
      </w:r>
    </w:p>
    <w:p>
      <w:pPr>
        <w:spacing w:after="0" w:line="1" w:lineRule="exact"/>
        <w:rPr>
          <w:sz w:val="20"/>
          <w:szCs w:val="20"/>
          <w:color w:val="auto"/>
        </w:rPr>
      </w:pPr>
    </w:p>
    <w:p>
      <w:pPr>
        <w:ind w:left="160" w:hanging="158"/>
        <w:spacing w:after="0" w:line="307" w:lineRule="auto"/>
        <w:rPr>
          <w:sz w:val="20"/>
          <w:szCs w:val="20"/>
          <w:color w:val="auto"/>
        </w:rPr>
      </w:pPr>
      <w:r>
        <w:rPr>
          <w:rFonts w:ascii="Arial" w:cs="Arial" w:eastAsia="Arial" w:hAnsi="Arial"/>
          <w:sz w:val="17"/>
          <w:szCs w:val="17"/>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288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19"/>
                <w:szCs w:val="19"/>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20"/>
                <w:szCs w:val="20"/>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2012</w:t>
            </w:r>
          </w:p>
        </w:tc>
      </w:tr>
      <w:tr>
        <w:trPr>
          <w:trHeight w:val="228"/>
        </w:trPr>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(In thousands)</w:t>
            </w:r>
          </w:p>
        </w:tc>
        <w:tc>
          <w:tcPr>
            <w:tcW w:w="980" w:type="dxa"/>
            <w:vAlign w:val="bottom"/>
          </w:tcPr>
          <w:p>
            <w:pPr>
              <w:spacing w:after="0"/>
              <w:rPr>
                <w:sz w:val="19"/>
                <w:szCs w:val="19"/>
                <w:color w:val="auto"/>
              </w:rPr>
            </w:pPr>
          </w:p>
        </w:tc>
      </w:tr>
      <w:tr>
        <w:trPr>
          <w:trHeight w:val="630"/>
        </w:trPr>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21,795</w:t>
            </w:r>
          </w:p>
        </w:tc>
        <w:tc>
          <w:tcPr>
            <w:tcW w:w="9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19,495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20,959</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19,406</w:t>
            </w:r>
          </w:p>
        </w:tc>
      </w:tr>
      <w:tr>
        <w:trPr>
          <w:trHeight w:val="446"/>
        </w:trPr>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9,422</w:t>
            </w:r>
          </w:p>
        </w:tc>
        <w:tc>
          <w:tcPr>
            <w:tcW w:w="9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10,591</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4,620</w:t>
            </w:r>
          </w:p>
        </w:tc>
      </w:tr>
      <w:tr>
        <w:trPr>
          <w:trHeight w:val="20"/>
        </w:trPr>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31,217</w:t>
            </w:r>
          </w:p>
        </w:tc>
        <w:tc>
          <w:tcPr>
            <w:tcW w:w="9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25,695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31,550</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24,026</w:t>
            </w:r>
          </w:p>
        </w:tc>
      </w:tr>
      <w:tr>
        <w:trPr>
          <w:trHeight w:val="20"/>
        </w:trPr>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-1011555</wp:posOffset>
            </wp:positionV>
            <wp:extent cx="724662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-316865</wp:posOffset>
            </wp:positionV>
            <wp:extent cx="724662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260"/>
            <w:col w:w="7520"/>
          </w:cols>
          <w:pgMar w:left="240" w:top="877" w:right="239" w:bottom="1440" w:gutter="0" w:footer="0" w:header="0"/>
          <w:type w:val="continuous"/>
        </w:sectPr>
      </w:pPr>
    </w:p>
    <w:p>
      <w:pPr>
        <w:spacing w:after="0" w:line="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nine-month periods ended September 30, 2013 would have included an additional 3.1 million and 1.9 million shares, respectively, attributable to the exercise of outstanding options and warrants. For the three-month and nine-month periods ended September 30, 2012, the anti-dilutive shares were 1.3 million and 2.3 million, respectively.</w:t>
      </w:r>
    </w:p>
    <w:p>
      <w:pPr>
        <w:spacing w:after="0" w:line="18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2008.</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do not anticipate that total unrecognized tax benefits will significantly change due to any settlements of audits or expirations of statutes of limitations over the next 12 months.</w:t>
      </w:r>
    </w:p>
    <w:p>
      <w:pPr>
        <w:spacing w:after="0" w:line="170"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As a result of the unprecedented adverse changes in the market for securitizations, the recession and the resulting high levels of unemployment that occurred in 2008 and 2009, we incurred substantial operating losses from 2009 through 2011 which led us to establish a valuation allowance against a substantial portion of our deferred tax assets. However, since the fourth quarter of 2011, we have reported eight consecutive quarters of increasing profitability, observed improvement in credit metrics, and produced reliable internal financial projections. Furthermore, we have demonstrated an ability to increase our volumes of contract purchases, grow our managed portfolio and obtain cost effective short-term and long-term financing for our finance receivables. As a result of these and other factors, we determined at December 31, 2012 that, based on the weight of the available objective evidence, it was more likely than not that we would generate sufficient future taxable income to utilize our net deferred tax assets. Accordingly, we reversed the related valuation allowance of $62.8 million in the fourth quarter of 2012.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Although realization is not assured, we believe that the realization of the recognized net deferred tax asset of $66.2 million as of September 30, 2013 is more likely than not based on forecasted future net earnings. Our net deferred tax asset of $66.2 million consists of approximately $54.5 million of net U.S. federal deferred tax assets and $11.7 million of net state deferred tax assets. The major components of the deferred tax asset are $46.4 million in net operating loss carryforwards and built in losses and $19.8 million in net deductions which have not yet been taken on a tax return. We estimate that we would need to generate approximately $165 million of taxable income during the applicable carryforward periods to realize fully our federal and state net deferred tax assets.</w:t>
      </w:r>
    </w:p>
    <w:p>
      <w:pPr>
        <w:spacing w:after="0" w:line="15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Income tax expense was $4.7 million and $11.2 million for the three and nine months ended September 30, 2013 and represents an effective income tax rate of 44.4% and 43.5%, respectively.</w:t>
      </w:r>
    </w:p>
    <w:p>
      <w:pPr>
        <w:spacing w:after="0" w:line="17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i w:val="1"/>
          <w:iCs w:val="1"/>
          <w:color w:val="auto"/>
        </w:rPr>
        <w:t xml:space="preserve">Stanwich Litigation. </w:t>
      </w:r>
      <w:r>
        <w:rPr>
          <w:rFonts w:ascii="Arial" w:cs="Arial" w:eastAsia="Arial" w:hAnsi="Arial"/>
          <w:sz w:val="18"/>
          <w:szCs w:val="18"/>
          <w:color w:val="auto"/>
        </w:rPr>
        <w:t>We were for some time a defendant in a class action (the “Stanwich Case”) brought in the California Superior Court, Los Angeles</w:t>
      </w:r>
      <w:r>
        <w:rPr>
          <w:rFonts w:ascii="Arial" w:cs="Arial" w:eastAsia="Arial" w:hAnsi="Arial"/>
          <w:sz w:val="18"/>
          <w:szCs w:val="18"/>
          <w:i w:val="1"/>
          <w:iCs w:val="1"/>
          <w:color w:val="auto"/>
        </w:rPr>
        <w:t xml:space="preserve"> </w:t>
      </w:r>
      <w:r>
        <w:rPr>
          <w:rFonts w:ascii="Arial" w:cs="Arial" w:eastAsia="Arial" w:hAnsi="Arial"/>
          <w:sz w:val="18"/>
          <w:szCs w:val="18"/>
          <w:color w:val="auto"/>
        </w:rPr>
        <w:t>County. The original plaintiffs in that case were persons entitled to receive regular payments (the “Settlement Payments”) pursuant to earlier settlements of claims, generally personal injury claims, against unrelated defendants. Stanwich Financial Services Corp. (“Stanwich”), an affiliate of the former chairman of our board of directors, is the entity that was obligated to pay the Settlement Payments. Stanwich defaulted on its payment obligations to the plaintiffs and in June 2001 filed for reorganization under the Bankruptcy Code, in the federal bankruptcy court in Connecticut. By February 2005, we had settled all claims brought against us in the Stanwich Case.</w:t>
      </w:r>
    </w:p>
    <w:p>
      <w:pPr>
        <w:spacing w:after="0" w:line="193" w:lineRule="exact"/>
        <w:rPr>
          <w:sz w:val="20"/>
          <w:szCs w:val="20"/>
          <w:color w:val="auto"/>
        </w:rPr>
      </w:pPr>
    </w:p>
    <w:p>
      <w:pPr>
        <w:jc w:val="both"/>
        <w:ind w:firstLine="130"/>
        <w:spacing w:after="0" w:line="302" w:lineRule="auto"/>
        <w:rPr>
          <w:sz w:val="20"/>
          <w:szCs w:val="20"/>
          <w:color w:val="auto"/>
        </w:rPr>
      </w:pPr>
      <w:r>
        <w:rPr>
          <w:rFonts w:ascii="Arial" w:cs="Arial" w:eastAsia="Arial" w:hAnsi="Arial"/>
          <w:sz w:val="16"/>
          <w:szCs w:val="16"/>
          <w:color w:val="auto"/>
        </w:rPr>
        <w:t>In November 2001, one of the defendants in the Stanwich Case, Jonathan Pardee, asserted claims for indemnity against us in a separate action, which is now pending in federal district court in Rhode Island. We have filed counterclaims in the Rhode Island federal court against Mr. Pardee, and have filed a separate action against Mr. Pardee's Rhode Island attorneys, in the same court. The litigation between Mr. Pardee and us was stayed for several years through September 2011, awaiting resolution of an adversary action brought against Mr. Pardee in the bankruptcy court, which is hearing the bankruptcy of Stanwich.</w:t>
      </w:r>
    </w:p>
    <w:p>
      <w:pPr>
        <w:spacing w:after="0" w:line="154"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Pursuant to an agreement with the representative of creditors in the Stanwich bankruptcy, that adversary action has been dismissed. Under that agreement, we paid the bankruptcy estate $800,000 and abandoned our claims against the estate, while the estate has abandoned its adversary action against Mr. Pardee. With the dismissal of the adversary action, all known claims asserted against Mr. Pardee have been resolved without his incurring any liability. Accordingly, we believe that this resolution of the adversary action will result in limitation of our exposure to Mr. Pardee to no more than some portion of his attorneys fees incurred. The stay in the action against us in Rhode Island has been lifted, and both we and Mr. Pardee filed motions for summary judgment. The court ruled on those motions in February 2013, denying our motion, and granting Mr. Pardee’s motion as to liability. The issues remaining for trial are the extent of our obligation to indemnify Mr. Pardee. There is no trial date set, but our expectation is that the court may, not earlier than December 2013, set the matter for trial in 2014.</w:t>
      </w:r>
    </w:p>
    <w:p>
      <w:pPr>
        <w:spacing w:after="0" w:line="192"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discontinued. Consumers can and do initiate lawsuits against us alleging violations of law applicable to collection of receivables, and such lawsuits sometimes allege that resolution as a class action is appropriate. We are currently defending two such class actions. For the most part, we have legal and factual defenses to such claims, which we routinely contest or settle (for immaterial amounts) depending on the particular circumstances of each case. We have recorded a liability as of September 30, 2013 with respect to such matters, in the aggregate.</w:t>
      </w:r>
    </w:p>
    <w:p>
      <w:pPr>
        <w:spacing w:after="0" w:line="188"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i w:val="1"/>
          <w:iCs w:val="1"/>
          <w:color w:val="auto"/>
        </w:rPr>
        <w:t>FTC Action</w:t>
      </w:r>
      <w:r>
        <w:rPr>
          <w:rFonts w:ascii="Arial" w:cs="Arial" w:eastAsia="Arial" w:hAnsi="Arial"/>
          <w:sz w:val="17"/>
          <w:szCs w:val="17"/>
          <w:color w:val="auto"/>
        </w:rPr>
        <w:t>. On July 17, 2013, the staff of the Federal Trade Commission (“FTC”) advised us that they are prepared to recommend that the FTC initiate a</w:t>
      </w:r>
      <w:r>
        <w:rPr>
          <w:rFonts w:ascii="Arial" w:cs="Arial" w:eastAsia="Arial" w:hAnsi="Arial"/>
          <w:sz w:val="17"/>
          <w:szCs w:val="17"/>
          <w:i w:val="1"/>
          <w:iCs w:val="1"/>
          <w:color w:val="auto"/>
        </w:rPr>
        <w:t xml:space="preserve"> </w:t>
      </w:r>
      <w:r>
        <w:rPr>
          <w:rFonts w:ascii="Arial" w:cs="Arial" w:eastAsia="Arial" w:hAnsi="Arial"/>
          <w:sz w:val="17"/>
          <w:szCs w:val="17"/>
          <w:color w:val="auto"/>
        </w:rPr>
        <w:t>lawsuit against us relating to allegedly unfair trade practices, and simultaneously advised that settlement of such issues by consent decree may be possible. Based on our review of the FTC’s allegations, of past practices of the FTC, of our records of our collection and servicing activities, and of other companies’ settlements with the FTC, we expect that we will reach such a settlement, and that such a settlement will require that we make restitutionary payments and that we implement procedural changes under a consent decree. There can be no assurance, however, that we will reach agreement regarding any such settlement, and we may choose to contest the allegations of the FTC. Whether we reach such an agreement or not, the cost to us of contesting or settling the matter may be material. We have recorded a liability as of September 30, 2013 with respect to this matter.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130"/>
        <w:spacing w:after="0" w:line="276" w:lineRule="auto"/>
        <w:rPr>
          <w:sz w:val="20"/>
          <w:szCs w:val="20"/>
          <w:color w:val="auto"/>
        </w:rPr>
      </w:pPr>
      <w:r>
        <w:rPr>
          <w:rFonts w:ascii="Arial" w:cs="Arial" w:eastAsia="Arial" w:hAnsi="Arial"/>
          <w:sz w:val="17"/>
          <w:szCs w:val="17"/>
          <w:i w:val="1"/>
          <w:iCs w:val="1"/>
          <w:color w:val="auto"/>
        </w:rPr>
        <w:t>In General</w:t>
      </w:r>
      <w:r>
        <w:rPr>
          <w:rFonts w:ascii="Arial" w:cs="Arial" w:eastAsia="Arial" w:hAnsi="Arial"/>
          <w:sz w:val="17"/>
          <w:szCs w:val="17"/>
          <w:color w:val="auto"/>
        </w:rPr>
        <w:t>. There can be no assurance as to the outcomes of any of the matters referenced above. We have recorded a liability as of September 30, 2013 that</w:t>
      </w:r>
      <w:r>
        <w:rPr>
          <w:rFonts w:ascii="Arial" w:cs="Arial" w:eastAsia="Arial" w:hAnsi="Arial"/>
          <w:sz w:val="17"/>
          <w:szCs w:val="17"/>
          <w:i w:val="1"/>
          <w:iCs w:val="1"/>
          <w:color w:val="auto"/>
        </w:rPr>
        <w:t xml:space="preserve"> </w:t>
      </w:r>
      <w:r>
        <w:rPr>
          <w:rFonts w:ascii="Arial" w:cs="Arial" w:eastAsia="Arial" w:hAnsi="Arial"/>
          <w:sz w:val="17"/>
          <w:szCs w:val="17"/>
          <w:color w:val="auto"/>
        </w:rPr>
        <w:t>we believe 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described or referenced above does not include an amount that would materially exceed the reserves established at September 30, 2013.</w:t>
      </w:r>
    </w:p>
    <w:p>
      <w:pPr>
        <w:spacing w:after="0" w:line="173"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and nine-month periods ended September 30, 2013 and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3080" w:type="dxa"/>
            <w:vAlign w:val="bottom"/>
            <w:gridSpan w:val="5"/>
          </w:tcPr>
          <w:p>
            <w:pPr>
              <w:jc w:val="center"/>
              <w:ind w:left="397"/>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right="525"/>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2013</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2012</w:t>
            </w:r>
          </w:p>
        </w:tc>
        <w:tc>
          <w:tcPr>
            <w:tcW w:w="10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80" w:type="dxa"/>
            <w:vAlign w:val="bottom"/>
            <w:gridSpan w:val="4"/>
          </w:tcPr>
          <w:p>
            <w:pPr>
              <w:jc w:val="center"/>
              <w:ind w:right="545"/>
              <w:spacing w:after="0"/>
              <w:rPr>
                <w:sz w:val="20"/>
                <w:szCs w:val="20"/>
                <w:color w:val="auto"/>
              </w:rPr>
            </w:pPr>
            <w:r>
              <w:rPr>
                <w:rFonts w:ascii="Arial" w:cs="Arial" w:eastAsia="Arial" w:hAnsi="Arial"/>
                <w:sz w:val="18"/>
                <w:szCs w:val="18"/>
                <w:b w:val="1"/>
                <w:bCs w:val="1"/>
                <w:color w:val="auto"/>
                <w:w w:val="90"/>
              </w:rPr>
              <w:t>(In thousands)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Service cost</w:t>
            </w:r>
          </w:p>
        </w:tc>
        <w:tc>
          <w:tcPr>
            <w:tcW w:w="1100" w:type="dxa"/>
            <w:vAlign w:val="bottom"/>
          </w:tcPr>
          <w:p>
            <w:pPr>
              <w:jc w:val="right"/>
              <w:ind w:right="93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6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Interest cost</w:t>
            </w:r>
          </w:p>
        </w:tc>
        <w:tc>
          <w:tcPr>
            <w:tcW w:w="11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660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(702)</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transition (asset)/obligation</w:t>
            </w:r>
          </w:p>
        </w:tc>
        <w:tc>
          <w:tcPr>
            <w:tcW w:w="11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Amortization of net (gain) / loss</w:t>
            </w:r>
          </w:p>
        </w:tc>
        <w:tc>
          <w:tcPr>
            <w:tcW w:w="1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r>
      <w:tr>
        <w:trPr>
          <w:trHeight w:val="223"/>
        </w:trPr>
        <w:tc>
          <w:tcPr>
            <w:tcW w:w="390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periodic cost (benefit)</w:t>
            </w:r>
          </w:p>
        </w:tc>
        <w:tc>
          <w:tcPr>
            <w:tcW w:w="1100" w:type="dxa"/>
            <w:vAlign w:val="bottom"/>
            <w:tcBorders>
              <w:top w:val="single" w:sz="8" w:color="auto"/>
              <w:bottom w:val="single" w:sz="8" w:color="auto"/>
            </w:tcBorders>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EEEEEE"/>
              <w:bottom w:val="single" w:sz="8" w:color="EEEEEE"/>
            </w:tcBorders>
            <w:shd w:val="clear" w:color="auto" w:fill="EEEEEE"/>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ind w:right="96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shd w:val="clear" w:color="auto" w:fill="EEEEEE"/>
          </w:tcPr>
          <w:p>
            <w:pPr>
              <w:jc w:val="right"/>
              <w:ind w:right="4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contributed $112,000 and $277,000 to the Plan during the three and nine-month periods ended September 30, 2013 and we anticipate making contributions in the amount of $112,000 for the remainder of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Fair Value Measurements</w:t>
      </w:r>
    </w:p>
    <w:p>
      <w:pPr>
        <w:spacing w:after="0" w:line="225"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1" w:lineRule="exact"/>
        <w:rPr>
          <w:sz w:val="20"/>
          <w:szCs w:val="20"/>
          <w:color w:val="auto"/>
        </w:rPr>
      </w:pPr>
    </w:p>
    <w:p>
      <w:pPr>
        <w:jc w:val="both"/>
        <w:ind w:firstLine="130"/>
        <w:spacing w:after="0" w:line="297"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At the time of issuance, five warrants issued between 2008 and 2010 in conjunction with various debt financing transactions contained features that make them subject to derivative accounting. We valued these warrants using a binomial valuation model using a weighted average volatility assumption of 41%, weighted average term of 8 years and a risk free rate of 3.3%. On March 29, 2012 we agreed with the holders to amend three of the five warrants to remove the price reset features that resulted in derivative accounting. On the date of the amendment, we valued each of the three warrants using a binomial pricing model as described above. The aggregate value of the three amended warrants of $1.1 million was then reclassified from Accounts Payable to Common Stock. On June 25, 2012 we agreed with the holder to amend one other warrant that contained the “down round,” or price reset, features to remove those specific price reset terms. The $250,000 aggregate value of this amended warrant was reclassified from Accounts Payable to Common Stock on the date of the amendment. The fifth warrant with the “down round” feature was exercised on February 22, 2013. The $583,000 intrinsic value of this warrant was reclassified from Accounts Payable to Common Stock on the date of the exercise. As of September 30, 2013 all five of the warrants issued that previously contained price reset features have either been amended or exercised and are no longer subject to quarterly valuations.</w:t>
      </w:r>
    </w:p>
    <w:p>
      <w:pPr>
        <w:spacing w:after="0" w:line="169"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7"/>
          <w:szCs w:val="17"/>
          <w:color w:val="auto"/>
        </w:rPr>
        <w:t>In September 2008 we sold automobile contracts in a securitization that was structured as a sale for financial accounting purposes. In that sale, we retained both securities and a residual interest in the transaction that are measured at fair value. In September 2010 we took advantage of improvement in the market for asset-backed securities by re-securitizing the underlying receivables from our unrated September 2008 securitization. We also sold the securities retained from the September 2008 transaction. No gain or loss was recorded as a result of the re-securitization transaction described above. We describe below the valuation methodologies we use for the securities retained and the residual interest in the cash flows of the transaction, as well as the general classification of such instruments pursuant to the valuation hierarchy. The residual interest in such securitization is $1.4 million as of September 30, 2013 and $4.8 million as of December 31, 2012 and is classified as level 3 in the three-level valuation hierarchy. We determine the value of that residual interest using a discounted cash flow model that includes estimates for prepayments and losses. We used a discount rate of 20% per annum and a cumulative net loss rate of 15% at September 30, 2013 and 14% at December 31, 2012. The assumptions we used are based on historical performance of automobile contracts we have originated and serviced in the past, adjusted for current market conditions.</w:t>
      </w:r>
    </w:p>
    <w:p>
      <w:pPr>
        <w:spacing w:after="0" w:line="178" w:lineRule="exact"/>
        <w:rPr>
          <w:sz w:val="20"/>
          <w:szCs w:val="20"/>
          <w:color w:val="auto"/>
        </w:rPr>
      </w:pPr>
    </w:p>
    <w:p>
      <w:pPr>
        <w:jc w:val="both"/>
        <w:ind w:firstLine="130"/>
        <w:spacing w:after="0" w:line="288" w:lineRule="auto"/>
        <w:rPr>
          <w:sz w:val="20"/>
          <w:szCs w:val="20"/>
          <w:color w:val="auto"/>
        </w:rPr>
      </w:pPr>
      <w:r>
        <w:rPr>
          <w:rFonts w:ascii="Arial" w:cs="Arial" w:eastAsia="Arial" w:hAnsi="Arial"/>
          <w:sz w:val="16"/>
          <w:szCs w:val="16"/>
          <w:color w:val="auto"/>
        </w:rPr>
        <w:t>In September 2011, we acquired $217.8 million of finance receivables from Fireside Bank for a purchase price of $199.6 million. The receivables were acquired by our wholly-owned special purpose subsidiary, CPS Fender Receivables, LLC, which issued a note for $197.3 million, with a fair value of $196.5 million.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Interest income from the receivables and interest expense on the note are included in interest income and interest expense, respectively. Changes to the fair value of the receivables and debt are included in other income. Our level 3, unobservable inputs reflect our own assumptions about the factors that market participants use in pricing similar receivables and debt, and are based on the best information available in the circumstances. They include such inputs as estimated net charge-offs and timing of the amortization of the portfolio of finance receivables. Our estimate of the fair value of the Fireside receivables is performed on a pool basis, rather than separately on each individual receivable. The table below presents a reconciliation of the acquired finance receivables and related debt measured at fair value on a recurring basis using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960" w:type="dxa"/>
            <w:vAlign w:val="bottom"/>
            <w:gridSpan w:val="5"/>
          </w:tcPr>
          <w:p>
            <w:pPr>
              <w:jc w:val="right"/>
              <w:ind w:right="285"/>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545"/>
              <w:spacing w:after="0"/>
              <w:rPr>
                <w:sz w:val="20"/>
                <w:szCs w:val="20"/>
                <w:color w:val="auto"/>
              </w:rPr>
            </w:pPr>
            <w:r>
              <w:rPr>
                <w:rFonts w:ascii="Arial" w:cs="Arial" w:eastAsia="Arial" w:hAnsi="Arial"/>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gridSpan w:val="4"/>
          </w:tcPr>
          <w:p>
            <w:pPr>
              <w:jc w:val="right"/>
              <w:ind w:right="565"/>
              <w:spacing w:after="0"/>
              <w:rPr>
                <w:sz w:val="20"/>
                <w:szCs w:val="20"/>
                <w:color w:val="auto"/>
              </w:rPr>
            </w:pPr>
            <w:r>
              <w:rPr>
                <w:rFonts w:ascii="Arial" w:cs="Arial" w:eastAsia="Arial" w:hAnsi="Arial"/>
                <w:sz w:val="18"/>
                <w:szCs w:val="18"/>
                <w:b w:val="1"/>
                <w:bCs w:val="1"/>
                <w:color w:val="auto"/>
              </w:rPr>
              <w:t>(in thousands)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Finance Receivables Measured at Fair Value:</w:t>
            </w: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40" w:type="dxa"/>
            <w:vAlign w:val="bottom"/>
          </w:tcPr>
          <w:p>
            <w:pPr>
              <w:jc w:val="right"/>
              <w:ind w:right="88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30,319</w:t>
            </w:r>
          </w:p>
        </w:tc>
        <w:tc>
          <w:tcPr>
            <w:tcW w:w="114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102,366</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59,668</w:t>
            </w:r>
          </w:p>
        </w:tc>
        <w:tc>
          <w:tcPr>
            <w:tcW w:w="600" w:type="dxa"/>
            <w:vAlign w:val="bottom"/>
            <w:gridSpan w:val="2"/>
          </w:tcPr>
          <w:p>
            <w:pPr>
              <w:jc w:val="right"/>
              <w:ind w:right="47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160,253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Payments on finance receivables at fair value</w:t>
            </w:r>
          </w:p>
        </w:tc>
        <w:tc>
          <w:tcPr>
            <w:tcW w:w="10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(8,848)</w:t>
            </w: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5"/>
              </w:rPr>
              <w:t>(22,449)</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(36,828)</w:t>
            </w: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(86,556)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Charge-offs on finance receivables at fair value</w:t>
            </w:r>
          </w:p>
        </w:tc>
        <w:tc>
          <w:tcPr>
            <w:tcW w:w="10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(1,259)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(2,275)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Discount accretion</w:t>
            </w:r>
          </w:p>
        </w:tc>
        <w:tc>
          <w:tcPr>
            <w:tcW w:w="10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1,870</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1,247</w:t>
            </w: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7,272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Mark to fair value</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(3,044)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040" w:type="dxa"/>
            <w:vAlign w:val="bottom"/>
            <w:tcBorders>
              <w:top w:val="single" w:sz="8" w:color="auto"/>
              <w:bottom w:val="single" w:sz="8" w:color="auto"/>
            </w:tcBorders>
            <w:shd w:val="clear" w:color="auto" w:fill="EEEEEE"/>
          </w:tcPr>
          <w:p>
            <w:pPr>
              <w:jc w:val="right"/>
              <w:ind w:right="88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21,217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ind w:right="8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77,484</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21,217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ind w:right="4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77,484</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880" w:type="dxa"/>
            <w:vAlign w:val="bottom"/>
            <w:shd w:val="clear" w:color="auto" w:fill="EEEEEE"/>
          </w:tcPr>
          <w:p>
            <w:pPr>
              <w:spacing w:after="0" w:line="198" w:lineRule="exact"/>
              <w:rPr>
                <w:sz w:val="20"/>
                <w:szCs w:val="20"/>
                <w:color w:val="auto"/>
              </w:rPr>
            </w:pPr>
            <w:r>
              <w:rPr>
                <w:rFonts w:ascii="Arial" w:cs="Arial" w:eastAsia="Arial" w:hAnsi="Arial"/>
                <w:sz w:val="18"/>
                <w:szCs w:val="18"/>
                <w:b w:val="1"/>
                <w:bCs w:val="1"/>
                <w:color w:val="auto"/>
              </w:rPr>
              <w:t>Debt Secured by Finance Receivables</w:t>
            </w:r>
          </w:p>
        </w:tc>
        <w:tc>
          <w:tcPr>
            <w:tcW w:w="10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shd w:val="clear" w:color="auto" w:fill="EEEEEE"/>
          </w:tcPr>
          <w:p>
            <w:pPr>
              <w:ind w:left="180"/>
              <w:spacing w:after="0"/>
              <w:rPr>
                <w:sz w:val="20"/>
                <w:szCs w:val="20"/>
                <w:color w:val="auto"/>
              </w:rPr>
            </w:pPr>
            <w:r>
              <w:rPr>
                <w:rFonts w:ascii="Arial" w:cs="Arial" w:eastAsia="Arial" w:hAnsi="Arial"/>
                <w:sz w:val="18"/>
                <w:szCs w:val="18"/>
                <w:b w:val="1"/>
                <w:bCs w:val="1"/>
                <w:color w:val="auto"/>
              </w:rPr>
              <w:t>Measured at Fair Value:</w:t>
            </w:r>
          </w:p>
        </w:tc>
        <w:tc>
          <w:tcPr>
            <w:tcW w:w="10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40" w:type="dxa"/>
            <w:vAlign w:val="bottom"/>
          </w:tcPr>
          <w:p>
            <w:pPr>
              <w:jc w:val="right"/>
              <w:ind w:right="88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21,907</w:t>
            </w:r>
          </w:p>
        </w:tc>
        <w:tc>
          <w:tcPr>
            <w:tcW w:w="114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104,662</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57,107</w:t>
            </w:r>
          </w:p>
        </w:tc>
        <w:tc>
          <w:tcPr>
            <w:tcW w:w="600" w:type="dxa"/>
            <w:vAlign w:val="bottom"/>
            <w:gridSpan w:val="2"/>
          </w:tcPr>
          <w:p>
            <w:pPr>
              <w:jc w:val="right"/>
              <w:ind w:right="47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166,828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Principal payments on debt at fair value</w:t>
            </w:r>
          </w:p>
        </w:tc>
        <w:tc>
          <w:tcPr>
            <w:tcW w:w="10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(5,107)</w:t>
            </w: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5"/>
              </w:rPr>
              <w:t>(26,902)</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(41,365)</w:t>
            </w: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(97,703)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Premium accretion</w:t>
            </w:r>
          </w:p>
        </w:tc>
        <w:tc>
          <w:tcPr>
            <w:tcW w:w="10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1,687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2,079</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104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(2,817)</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(933)</w:t>
            </w:r>
          </w:p>
        </w:tc>
        <w:tc>
          <w:tcPr>
            <w:tcW w:w="2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1,953</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16,888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Reduction for payments collected and payable</w:t>
            </w:r>
          </w:p>
        </w:tc>
        <w:tc>
          <w:tcPr>
            <w:tcW w:w="104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(570)</w:t>
            </w:r>
          </w:p>
        </w:tc>
        <w:tc>
          <w:tcPr>
            <w:tcW w:w="14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(7,002)</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(570)</w:t>
            </w:r>
          </w:p>
        </w:tc>
        <w:tc>
          <w:tcPr>
            <w:tcW w:w="2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(7,002)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Adjusted balance at end of period</w:t>
            </w:r>
          </w:p>
        </w:tc>
        <w:tc>
          <w:tcPr>
            <w:tcW w:w="1040" w:type="dxa"/>
            <w:vAlign w:val="bottom"/>
            <w:tcBorders>
              <w:top w:val="single" w:sz="8" w:color="auto"/>
              <w:bottom w:val="single" w:sz="8" w:color="auto"/>
            </w:tcBorders>
          </w:tcPr>
          <w:p>
            <w:pPr>
              <w:jc w:val="right"/>
              <w:ind w:right="88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16,318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16,318</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table below compares the fair values of the Fireside receivables and the related secured debt to their contractual balances for the periods shown: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September 30, 2013</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2012</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ind w:right="430"/>
              <w:spacing w:after="0" w:line="205" w:lineRule="exact"/>
              <w:rPr>
                <w:sz w:val="20"/>
                <w:szCs w:val="20"/>
                <w:color w:val="auto"/>
              </w:rPr>
            </w:pPr>
            <w:r>
              <w:rPr>
                <w:rFonts w:ascii="Arial" w:cs="Arial" w:eastAsia="Arial" w:hAnsi="Arial"/>
                <w:sz w:val="18"/>
                <w:szCs w:val="18"/>
                <w:b w:val="1"/>
                <w:bCs w:val="1"/>
                <w:color w:val="auto"/>
              </w:rPr>
              <w:t>Contractual</w:t>
            </w:r>
          </w:p>
        </w:tc>
        <w:tc>
          <w:tcPr>
            <w:tcW w:w="1240" w:type="dxa"/>
            <w:vAlign w:val="bottom"/>
          </w:tcPr>
          <w:p>
            <w:pPr>
              <w:jc w:val="center"/>
              <w:ind w:left="630"/>
              <w:spacing w:after="0" w:line="205" w:lineRule="exact"/>
              <w:rPr>
                <w:sz w:val="20"/>
                <w:szCs w:val="20"/>
                <w:color w:val="auto"/>
              </w:rPr>
            </w:pPr>
            <w:r>
              <w:rPr>
                <w:rFonts w:ascii="Arial" w:cs="Arial" w:eastAsia="Arial" w:hAnsi="Arial"/>
                <w:sz w:val="18"/>
                <w:szCs w:val="18"/>
                <w:b w:val="1"/>
                <w:bCs w:val="1"/>
                <w:color w:val="auto"/>
                <w:w w:val="96"/>
              </w:rPr>
              <w:t>Fair</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90"/>
              <w:spacing w:after="0" w:line="205" w:lineRule="exact"/>
              <w:rPr>
                <w:sz w:val="20"/>
                <w:szCs w:val="20"/>
                <w:color w:val="auto"/>
              </w:rPr>
            </w:pPr>
            <w:r>
              <w:rPr>
                <w:rFonts w:ascii="Arial" w:cs="Arial" w:eastAsia="Arial" w:hAnsi="Arial"/>
                <w:sz w:val="18"/>
                <w:szCs w:val="18"/>
                <w:b w:val="1"/>
                <w:bCs w:val="1"/>
                <w:color w:val="auto"/>
              </w:rPr>
              <w:t>Contractual</w:t>
            </w:r>
          </w:p>
        </w:tc>
        <w:tc>
          <w:tcPr>
            <w:tcW w:w="740" w:type="dxa"/>
            <w:vAlign w:val="bottom"/>
          </w:tcPr>
          <w:p>
            <w:pPr>
              <w:spacing w:after="0"/>
              <w:rPr>
                <w:sz w:val="17"/>
                <w:szCs w:val="17"/>
                <w:color w:val="auto"/>
              </w:rPr>
            </w:pPr>
          </w:p>
        </w:tc>
        <w:tc>
          <w:tcPr>
            <w:tcW w:w="1020" w:type="dxa"/>
            <w:vAlign w:val="bottom"/>
          </w:tcPr>
          <w:p>
            <w:pPr>
              <w:jc w:val="center"/>
              <w:ind w:right="4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b w:val="1"/>
                <w:bCs w:val="1"/>
                <w:color w:val="auto"/>
              </w:rPr>
              <w:t>Balance</w:t>
            </w:r>
          </w:p>
        </w:tc>
        <w:tc>
          <w:tcPr>
            <w:tcW w:w="124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Value</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b w:val="1"/>
                <w:bCs w:val="1"/>
                <w:color w:val="auto"/>
              </w:rPr>
              <w:t>Balance</w:t>
            </w:r>
          </w:p>
        </w:tc>
        <w:tc>
          <w:tcPr>
            <w:tcW w:w="740" w:type="dxa"/>
            <w:vAlign w:val="bottom"/>
          </w:tcPr>
          <w:p>
            <w:pPr>
              <w:spacing w:after="0"/>
              <w:rPr>
                <w:sz w:val="20"/>
                <w:szCs w:val="20"/>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5"/>
          </w:tcPr>
          <w:p>
            <w:pPr>
              <w:jc w:val="right"/>
              <w:ind w:right="1310"/>
              <w:spacing w:after="0"/>
              <w:rPr>
                <w:sz w:val="20"/>
                <w:szCs w:val="20"/>
                <w:color w:val="auto"/>
              </w:rPr>
            </w:pPr>
            <w:r>
              <w:rPr>
                <w:rFonts w:ascii="Arial" w:cs="Arial" w:eastAsia="Arial" w:hAnsi="Arial"/>
                <w:sz w:val="18"/>
                <w:szCs w:val="18"/>
                <w:b w:val="1"/>
                <w:bCs w:val="1"/>
                <w:color w:val="auto"/>
                <w:w w:val="98"/>
              </w:rPr>
              <w:t>(In thousands)</w:t>
            </w:r>
          </w:p>
        </w:tc>
        <w:tc>
          <w:tcPr>
            <w:tcW w:w="7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Fireside receivables portfolio</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21,701</w:t>
            </w:r>
          </w:p>
        </w:tc>
        <w:tc>
          <w:tcPr>
            <w:tcW w:w="1240" w:type="dxa"/>
            <w:vAlign w:val="bottom"/>
            <w:shd w:val="clear" w:color="auto" w:fill="EEEEEE"/>
          </w:tcPr>
          <w:p>
            <w:pPr>
              <w:jc w:val="right"/>
              <w:ind w:right="8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4"/>
              </w:rPr>
              <w:t>21,217</w:t>
            </w:r>
          </w:p>
        </w:tc>
        <w:tc>
          <w:tcPr>
            <w:tcW w:w="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60,804</w:t>
            </w:r>
          </w:p>
        </w:tc>
        <w:tc>
          <w:tcPr>
            <w:tcW w:w="74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59,668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Fireside receivables portfolio</w:t>
            </w:r>
          </w:p>
        </w:tc>
        <w:tc>
          <w:tcPr>
            <w:tcW w:w="22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4"/>
              </w:rPr>
              <w:t>16,888</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41,365</w:t>
            </w:r>
          </w:p>
        </w:tc>
        <w:tc>
          <w:tcPr>
            <w:tcW w:w="7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The fair value of the debt secured by the Fireside receivables portfolio represents the discounted value of future cash flows that we estimate will become due to the lender in accordance with the terms of our financing for the Fireside portfolio.</w:t>
      </w:r>
    </w:p>
    <w:p>
      <w:pPr>
        <w:spacing w:after="0" w:line="170"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Repossessed vehicle inventory, which is included in Other Assets on our balance sheet, is measured at fair value using level 2 assumptions based on our actual loss experience on sale of repossessed vehicles. At September 30, 2013, the finance receivables related to the repossessed vehicles in inventory totaled $20.7 million. We have applied a valuation adjustment, or loss allowance, of $12.0 million, which is based on a recovery rate of 42%, resulting in an estimated fair value and carrying amount of $8.7 million. The fair value and carrying amount of the repossessed inventory at December 31, 2012 was $5.7 million after applying a valuation adjustment of $6.4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There were no transfers in or out of level 1 or level 2 assets and liabilities for the three or nine months ended September 30, 2013 and 2012. We have no level 3 assets that are measured at fair value on a non-recurring basis. The table below presents a reconciliation for level 3 assets measured at fair value on a recurring basis using significant unobservable inputs: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040" w:type="dxa"/>
            <w:vAlign w:val="bottom"/>
            <w:gridSpan w:val="5"/>
          </w:tcPr>
          <w:p>
            <w:pPr>
              <w:jc w:val="right"/>
              <w:ind w:right="365"/>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8"/>
                <w:szCs w:val="18"/>
                <w:b w:val="1"/>
                <w:bCs w:val="1"/>
                <w:color w:val="auto"/>
                <w:w w:val="99"/>
              </w:rPr>
              <w:t>September 30,</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2013</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gridSpan w:val="4"/>
          </w:tcPr>
          <w:p>
            <w:pPr>
              <w:jc w:val="right"/>
              <w:ind w:right="645"/>
              <w:spacing w:after="0"/>
              <w:rPr>
                <w:sz w:val="20"/>
                <w:szCs w:val="20"/>
                <w:color w:val="auto"/>
              </w:rPr>
            </w:pPr>
            <w:r>
              <w:rPr>
                <w:rFonts w:ascii="Arial" w:cs="Arial" w:eastAsia="Arial" w:hAnsi="Arial"/>
                <w:sz w:val="18"/>
                <w:szCs w:val="18"/>
                <w:b w:val="1"/>
                <w:bCs w:val="1"/>
                <w:color w:val="auto"/>
                <w:w w:val="96"/>
              </w:rPr>
              <w:t>(in thousands)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in Securitizations:</w:t>
            </w: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100" w:type="dxa"/>
            <w:vAlign w:val="bottom"/>
          </w:tcPr>
          <w:p>
            <w:pPr>
              <w:jc w:val="right"/>
              <w:ind w:right="9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2,246</w:t>
            </w:r>
          </w:p>
        </w:tc>
        <w:tc>
          <w:tcPr>
            <w:tcW w:w="122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4,850</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4,824</w:t>
            </w:r>
          </w:p>
        </w:tc>
        <w:tc>
          <w:tcPr>
            <w:tcW w:w="600" w:type="dxa"/>
            <w:vAlign w:val="bottom"/>
            <w:gridSpan w:val="2"/>
          </w:tcPr>
          <w:p>
            <w:pPr>
              <w:jc w:val="right"/>
              <w:ind w:right="47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Cash paid (received) during period</w:t>
            </w:r>
          </w:p>
        </w:tc>
        <w:tc>
          <w:tcPr>
            <w:tcW w:w="11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(820)</w:t>
            </w: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(3,398)</w:t>
            </w: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Included in earnings</w:t>
            </w:r>
          </w:p>
        </w:tc>
        <w:tc>
          <w:tcPr>
            <w:tcW w:w="1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100" w:type="dxa"/>
            <w:vAlign w:val="bottom"/>
            <w:tcBorders>
              <w:top w:val="single" w:sz="8" w:color="auto"/>
              <w:bottom w:val="single" w:sz="8" w:color="auto"/>
            </w:tcBorders>
            <w:shd w:val="clear" w:color="auto" w:fill="EEEEEE"/>
          </w:tcPr>
          <w:p>
            <w:pPr>
              <w:jc w:val="right"/>
              <w:ind w:right="94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1,426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ind w:right="9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4,895</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1,426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ind w:right="4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4,895</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Warrant Derivative Liability:</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100" w:type="dxa"/>
            <w:vAlign w:val="bottom"/>
            <w:shd w:val="clear" w:color="auto" w:fill="EEEEEE"/>
          </w:tcPr>
          <w:p>
            <w:pPr>
              <w:jc w:val="right"/>
              <w:ind w:right="94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9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51</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355</w:t>
            </w:r>
          </w:p>
        </w:tc>
        <w:tc>
          <w:tcPr>
            <w:tcW w:w="600" w:type="dxa"/>
            <w:vAlign w:val="bottom"/>
            <w:gridSpan w:val="2"/>
            <w:shd w:val="clear" w:color="auto" w:fill="EEEEEE"/>
          </w:tcPr>
          <w:p>
            <w:pPr>
              <w:jc w:val="right"/>
              <w:ind w:right="47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967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Included in earnings</w:t>
            </w:r>
          </w:p>
        </w:tc>
        <w:tc>
          <w:tcPr>
            <w:tcW w:w="1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Reclassification to equity</w:t>
            </w:r>
          </w:p>
        </w:tc>
        <w:tc>
          <w:tcPr>
            <w:tcW w:w="110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(583)</w:t>
            </w:r>
          </w:p>
        </w:tc>
        <w:tc>
          <w:tcPr>
            <w:tcW w:w="2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100" w:type="dxa"/>
            <w:vAlign w:val="bottom"/>
            <w:tcBorders>
              <w:top w:val="single" w:sz="8" w:color="auto"/>
              <w:bottom w:val="single" w:sz="8" w:color="auto"/>
            </w:tcBorders>
          </w:tcPr>
          <w:p>
            <w:pPr>
              <w:jc w:val="right"/>
              <w:ind w:right="94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following table provides certain qualitative information about our level 3 fair value measurements for assets and liabilities carried at fair value: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Financial Instrument</w:t>
            </w:r>
          </w:p>
        </w:tc>
        <w:tc>
          <w:tcPr>
            <w:tcW w:w="24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Fair Values as of</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Valuation</w:t>
            </w: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Unobservable</w:t>
            </w:r>
          </w:p>
        </w:tc>
        <w:tc>
          <w:tcPr>
            <w:tcW w:w="2600" w:type="dxa"/>
            <w:vAlign w:val="bottom"/>
            <w:gridSpan w:val="4"/>
          </w:tcPr>
          <w:p>
            <w:pPr>
              <w:ind w:left="80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top w:val="single" w:sz="8" w:color="auto"/>
            </w:tcBorders>
            <w:gridSpan w:val="2"/>
          </w:tcPr>
          <w:p>
            <w:pPr>
              <w:jc w:val="right"/>
              <w:ind w:right="70"/>
              <w:spacing w:after="0" w:line="205" w:lineRule="exact"/>
              <w:rPr>
                <w:sz w:val="20"/>
                <w:szCs w:val="20"/>
                <w:color w:val="auto"/>
              </w:rPr>
            </w:pPr>
            <w:r>
              <w:rPr>
                <w:rFonts w:ascii="Arial" w:cs="Arial" w:eastAsia="Arial" w:hAnsi="Arial"/>
                <w:sz w:val="18"/>
                <w:szCs w:val="18"/>
                <w:b w:val="1"/>
                <w:bCs w:val="1"/>
                <w:color w:val="auto"/>
                <w:w w:val="89"/>
              </w:rPr>
              <w:t>September 30,</w:t>
            </w:r>
          </w:p>
        </w:tc>
        <w:tc>
          <w:tcPr>
            <w:tcW w:w="1280" w:type="dxa"/>
            <w:vAlign w:val="bottom"/>
            <w:tcBorders>
              <w:top w:val="single" w:sz="8" w:color="auto"/>
            </w:tcBorders>
            <w:gridSpan w:val="2"/>
          </w:tcPr>
          <w:p>
            <w:pPr>
              <w:jc w:val="center"/>
              <w:ind w:left="3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7"/>
                <w:szCs w:val="17"/>
                <w:color w:val="auto"/>
              </w:rPr>
            </w:pPr>
          </w:p>
        </w:tc>
        <w:tc>
          <w:tcPr>
            <w:tcW w:w="2260" w:type="dxa"/>
            <w:vAlign w:val="bottom"/>
            <w:gridSpan w:val="2"/>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360" w:type="dxa"/>
            <w:vAlign w:val="bottom"/>
            <w:tcBorders>
              <w:top w:val="single" w:sz="8" w:color="auto"/>
            </w:tcBorders>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89"/>
              </w:rPr>
              <w:t>September 30,</w:t>
            </w:r>
          </w:p>
        </w:tc>
        <w:tc>
          <w:tcPr>
            <w:tcW w:w="11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Techniques</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Inputs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(In thousands)</w:t>
            </w: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w:t>
            </w:r>
          </w:p>
        </w:tc>
        <w:tc>
          <w:tcPr>
            <w:tcW w:w="2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measured at fair value</w:t>
            </w:r>
          </w:p>
        </w:tc>
        <w:tc>
          <w:tcPr>
            <w:tcW w:w="240" w:type="dxa"/>
            <w:vAlign w:val="bottom"/>
            <w:shd w:val="clear" w:color="auto" w:fill="EEEEEE"/>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21,217</w:t>
            </w:r>
          </w:p>
        </w:tc>
        <w:tc>
          <w:tcPr>
            <w:tcW w:w="72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8"/>
              </w:rPr>
              <w:t>59,668</w:t>
            </w:r>
          </w:p>
        </w:tc>
        <w:tc>
          <w:tcPr>
            <w:tcW w:w="226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0"/>
              </w:rPr>
              <w:t>Discounted cash flows</w:t>
            </w:r>
          </w:p>
        </w:tc>
        <w:tc>
          <w:tcPr>
            <w:tcW w:w="17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2"/>
              </w:rPr>
              <w:t>Discount rate</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1"/>
              </w:rPr>
              <w:t>Cumulative net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2"/>
              </w:rPr>
              <w:t>losses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700" w:type="dxa"/>
            <w:vAlign w:val="bottom"/>
            <w:gridSpan w:val="2"/>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Monthly average</w:t>
            </w: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7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88"/>
              </w:rPr>
              <w:t>prepayments</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Residual interest in</w:t>
            </w:r>
          </w:p>
        </w:tc>
        <w:tc>
          <w:tcPr>
            <w:tcW w:w="2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securitizations</w:t>
            </w:r>
          </w:p>
        </w:tc>
        <w:tc>
          <w:tcPr>
            <w:tcW w:w="240" w:type="dxa"/>
            <w:vAlign w:val="bottom"/>
            <w:shd w:val="clear" w:color="auto" w:fill="EEEEEE"/>
          </w:tcPr>
          <w:p>
            <w:pPr>
              <w:spacing w:after="0"/>
              <w:rPr>
                <w:sz w:val="20"/>
                <w:szCs w:val="20"/>
                <w:color w:val="auto"/>
              </w:rPr>
            </w:pPr>
          </w:p>
        </w:tc>
        <w:tc>
          <w:tcPr>
            <w:tcW w:w="10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1,426</w:t>
            </w:r>
          </w:p>
        </w:tc>
        <w:tc>
          <w:tcPr>
            <w:tcW w:w="720" w:type="dxa"/>
            <w:vAlign w:val="bottom"/>
            <w:shd w:val="clear" w:color="auto" w:fill="EEEEEE"/>
          </w:tcPr>
          <w:p>
            <w:pPr>
              <w:spacing w:after="0"/>
              <w:rPr>
                <w:sz w:val="20"/>
                <w:szCs w:val="20"/>
                <w:color w:val="auto"/>
              </w:rPr>
            </w:pP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4,824</w:t>
            </w:r>
          </w:p>
        </w:tc>
        <w:tc>
          <w:tcPr>
            <w:tcW w:w="226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0"/>
              </w:rPr>
              <w:t>Discounted cash flows</w:t>
            </w:r>
          </w:p>
        </w:tc>
        <w:tc>
          <w:tcPr>
            <w:tcW w:w="17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2"/>
              </w:rPr>
              <w:t>Discount rate</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1"/>
              </w:rPr>
              <w:t>Cumulative net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2"/>
              </w:rPr>
              <w:t>losses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700" w:type="dxa"/>
            <w:vAlign w:val="bottom"/>
            <w:gridSpan w:val="2"/>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Monthly average</w:t>
            </w: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7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88"/>
              </w:rPr>
              <w:t>prepayments</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w w:val="99"/>
              </w:rPr>
              <w:t>Warrant derivative liability</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5"/>
              </w:rPr>
              <w:t>Binomial</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2"/>
              </w:rPr>
              <w:t>Stock price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$5.36/sh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8"/>
              </w:rPr>
              <w:t>Volatility</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1"/>
              </w:rPr>
              <w:t>Risk free rate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Debt secured by</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Arial" w:cs="Arial" w:eastAsia="Arial" w:hAnsi="Arial"/>
                <w:sz w:val="18"/>
                <w:szCs w:val="18"/>
                <w:color w:val="auto"/>
                <w:w w:val="94"/>
              </w:rPr>
              <w:t>receivables measured at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Arial" w:cs="Arial" w:eastAsia="Arial" w:hAnsi="Arial"/>
                <w:sz w:val="18"/>
                <w:szCs w:val="18"/>
                <w:color w:val="auto"/>
              </w:rPr>
              <w:t>fair value</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16,888</w:t>
            </w:r>
          </w:p>
        </w:tc>
        <w:tc>
          <w:tcPr>
            <w:tcW w:w="7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57,107</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Discounted cash flows</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0"/>
              </w:rPr>
              <w:t>Discount rate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60" w:type="dxa"/>
            <w:vAlign w:val="bottom"/>
            <w:gridSpan w:val="16"/>
          </w:tcPr>
          <w:p>
            <w:pPr>
              <w:ind w:left="140"/>
              <w:spacing w:after="0"/>
              <w:rPr>
                <w:sz w:val="20"/>
                <w:szCs w:val="20"/>
                <w:color w:val="auto"/>
              </w:rPr>
            </w:pPr>
            <w:r>
              <w:rPr>
                <w:rFonts w:ascii="Arial" w:cs="Arial" w:eastAsia="Arial" w:hAnsi="Arial"/>
                <w:sz w:val="18"/>
                <w:szCs w:val="18"/>
                <w:color w:val="auto"/>
                <w:w w:val="99"/>
              </w:rPr>
              <w:t>The estimated fair values of financial assets and liabilities at September 30, 2013 and December 31, 2012, were as follows: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8"/>
              </w:rPr>
              <w:t>As of September 30, 2013</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5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Fair Value Measurements Using:</w:t>
            </w: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24,128</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24,128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24,128</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129,450</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129,450</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129,450</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1,046,818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1,025,398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1,025,398</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21,217</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21,217</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21,217</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1,426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1,426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15,146</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15,146</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15,146</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26,959</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26,959</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26,959</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2,733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2,733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8"/>
              </w:rPr>
              <w:t>Debt secured by receivables measured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at fair value</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16,888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16,888</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16,888</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1,094,559</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1,107,865</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1,107,865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Senior secured debt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38,963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38,963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38,963</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20,640</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20,640</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20,640</w:t>
            </w:r>
          </w:p>
        </w:tc>
        <w:tc>
          <w:tcPr>
            <w:tcW w:w="0" w:type="dxa"/>
            <w:vAlign w:val="bottom"/>
          </w:tcPr>
          <w:p>
            <w:pPr>
              <w:spacing w:after="0"/>
              <w:rPr>
                <w:sz w:val="1"/>
                <w:szCs w:val="1"/>
                <w:color w:val="auto"/>
              </w:rPr>
            </w:pPr>
          </w:p>
        </w:tc>
      </w:tr>
      <w:tr>
        <w:trPr>
          <w:trHeight w:val="878"/>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9"/>
              </w:rPr>
              <w:t>As of December 31, 2012</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5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Fair Value Measurements Using:</w:t>
            </w: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12,966</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12,966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104,445</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104,445</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104,445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744,749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740,511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740,511</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59,668</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59,668</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59,668</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4,824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4,824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10,411</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10,411</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10,411</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Warrant derivative liability</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355</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355</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21,731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21,731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21,731</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2,795</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2,795</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13,773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13,773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8"/>
              </w:rPr>
              <w:t>Debt secured by receivables measured</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at fair 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57,107</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57,107</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792,497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803,290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803,290</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Senior secured debt</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50,135</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50,135</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50,135</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23,281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23,281</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23,281</w:t>
            </w:r>
          </w:p>
        </w:tc>
        <w:tc>
          <w:tcPr>
            <w:tcW w:w="0" w:type="dxa"/>
            <w:vAlign w:val="bottom"/>
          </w:tcPr>
          <w:p>
            <w:pPr>
              <w:spacing w:after="0"/>
              <w:rPr>
                <w:sz w:val="1"/>
                <w:szCs w:val="1"/>
                <w:color w:val="auto"/>
              </w:rPr>
            </w:pPr>
          </w:p>
        </w:tc>
      </w:tr>
      <w:tr>
        <w:trPr>
          <w:trHeight w:val="634"/>
        </w:trPr>
        <w:tc>
          <w:tcPr>
            <w:tcW w:w="1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September 30, 2013 and December 31, 2012,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 and Debt Secured by Receivables Measured at Fair Value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Interest in Securitizations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fair value is estimated by discounting future cash flows using credit and discount rates that we believe reflect the estimated credit, interest rate and prepayment risks associated with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Derivative Liability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method used to estimate fair value is described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Senior Secured Debt and Subordinated Renewable Notes</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reflects the current market rates.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7"/>
          <w:szCs w:val="17"/>
          <w:color w:val="auto"/>
        </w:rPr>
        <w:t>We are a specialty finance company focused on consumers who have limited credit histories, low incomes or past credit problems, whom we refer to as sub-prime customers.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sub-prime customers of dealers.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2"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September 30, 2013, we have purchased a total of approximately $10.2 billion of automobile contracts from dealers. In addition, we obtained a total of approximately $822.8 million of automobile contracts in mergers and acquisitions in 2002, 2003, 2004 and 2011. In 2004 and 2009, we were appointed as a third-party servicer for certain portfolios of automobile receivables originated and owned by non-affiliated entities. Beginning in 2008 through the third quarter of 2011, our managed portfolio decreased each year due to our strategy of limiting contract purchases in 2008 and 2009 to conserve our liquidity, as discussed further below. However, since October 2009 we have gradually increased contract purchases, which, in turn has resulted in recent increases to our managed portfolio. Recent contract purchase volumes and managed portfolio levels are shown in the table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43"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00" w:type="dxa"/>
            <w:vAlign w:val="bottom"/>
            <w:gridSpan w:val="4"/>
          </w:tcPr>
          <w:p>
            <w:pPr>
              <w:ind w:left="106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1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Contracts</w:t>
            </w:r>
          </w:p>
        </w:tc>
        <w:tc>
          <w:tcPr>
            <w:tcW w:w="4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Managed</w:t>
            </w:r>
          </w:p>
        </w:tc>
        <w:tc>
          <w:tcPr>
            <w:tcW w:w="12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in</w:t>
            </w:r>
          </w:p>
        </w:tc>
        <w:tc>
          <w:tcPr>
            <w:tcW w:w="4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Portfolio at</w:t>
            </w:r>
          </w:p>
        </w:tc>
      </w:tr>
      <w:tr>
        <w:trPr>
          <w:trHeight w:val="234"/>
        </w:trPr>
        <w:tc>
          <w:tcPr>
            <w:tcW w:w="10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c>
          <w:tcPr>
            <w:tcW w:w="4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40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 End</w:t>
            </w:r>
          </w:p>
        </w:tc>
      </w:tr>
      <w:tr>
        <w:trPr>
          <w:trHeight w:val="210"/>
        </w:trPr>
        <w:tc>
          <w:tcPr>
            <w:tcW w:w="100" w:type="dxa"/>
            <w:vAlign w:val="bottom"/>
            <w:tcBorders>
              <w:top w:val="single" w:sz="8" w:color="EEEEEE"/>
            </w:tcBorders>
            <w:shd w:val="clear" w:color="auto" w:fill="EEEEEE"/>
          </w:tcPr>
          <w:p>
            <w:pPr>
              <w:spacing w:after="0"/>
              <w:rPr>
                <w:sz w:val="18"/>
                <w:szCs w:val="18"/>
                <w:color w:val="auto"/>
              </w:rPr>
            </w:pPr>
          </w:p>
        </w:tc>
        <w:tc>
          <w:tcPr>
            <w:tcW w:w="46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2008</w:t>
            </w:r>
          </w:p>
        </w:tc>
        <w:tc>
          <w:tcPr>
            <w:tcW w:w="4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4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47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2009</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8,599</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1,194,722</w:t>
            </w:r>
          </w:p>
        </w:tc>
        <w:tc>
          <w:tcPr>
            <w:tcW w:w="120" w:type="dxa"/>
            <w:vAlign w:val="bottom"/>
          </w:tcPr>
          <w:p>
            <w:pPr>
              <w:spacing w:after="0"/>
              <w:rPr>
                <w:sz w:val="18"/>
                <w:szCs w:val="18"/>
                <w:color w:val="auto"/>
              </w:rPr>
            </w:pPr>
          </w:p>
        </w:tc>
      </w:tr>
      <w:tr>
        <w:trPr>
          <w:trHeight w:val="216"/>
        </w:trPr>
        <w:tc>
          <w:tcPr>
            <w:tcW w:w="474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89"/>
              </w:rPr>
              <w:t>2010</w:t>
            </w:r>
          </w:p>
        </w:tc>
        <w:tc>
          <w:tcPr>
            <w:tcW w:w="40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113,023</w:t>
            </w:r>
          </w:p>
        </w:tc>
        <w:tc>
          <w:tcPr>
            <w:tcW w:w="40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756,203</w:t>
            </w:r>
          </w:p>
        </w:tc>
        <w:tc>
          <w:tcPr>
            <w:tcW w:w="120" w:type="dxa"/>
            <w:vAlign w:val="bottom"/>
            <w:shd w:val="clear" w:color="auto" w:fill="EEEEEE"/>
          </w:tcPr>
          <w:p>
            <w:pPr>
              <w:spacing w:after="0"/>
              <w:rPr>
                <w:sz w:val="18"/>
                <w:szCs w:val="18"/>
                <w:color w:val="auto"/>
              </w:rPr>
            </w:pPr>
          </w:p>
        </w:tc>
      </w:tr>
      <w:tr>
        <w:trPr>
          <w:trHeight w:val="216"/>
        </w:trPr>
        <w:tc>
          <w:tcPr>
            <w:tcW w:w="4740" w:type="dxa"/>
            <w:vAlign w:val="bottom"/>
            <w:gridSpan w:val="2"/>
          </w:tcPr>
          <w:p>
            <w:pPr>
              <w:jc w:val="center"/>
              <w:spacing w:after="0"/>
              <w:rPr>
                <w:sz w:val="20"/>
                <w:szCs w:val="20"/>
                <w:color w:val="auto"/>
              </w:rPr>
            </w:pPr>
            <w:r>
              <w:rPr>
                <w:rFonts w:ascii="Arial" w:cs="Arial" w:eastAsia="Arial" w:hAnsi="Arial"/>
                <w:sz w:val="18"/>
                <w:szCs w:val="18"/>
                <w:color w:val="auto"/>
                <w:w w:val="84"/>
              </w:rPr>
              <w:t>2011</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284,236</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794,649</w:t>
            </w:r>
          </w:p>
        </w:tc>
        <w:tc>
          <w:tcPr>
            <w:tcW w:w="120" w:type="dxa"/>
            <w:vAlign w:val="bottom"/>
          </w:tcPr>
          <w:p>
            <w:pPr>
              <w:spacing w:after="0"/>
              <w:rPr>
                <w:sz w:val="18"/>
                <w:szCs w:val="18"/>
                <w:color w:val="auto"/>
              </w:rPr>
            </w:pPr>
          </w:p>
        </w:tc>
      </w:tr>
      <w:tr>
        <w:trPr>
          <w:trHeight w:val="216"/>
        </w:trPr>
        <w:tc>
          <w:tcPr>
            <w:tcW w:w="474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89"/>
              </w:rPr>
              <w:t>2012</w:t>
            </w:r>
          </w:p>
        </w:tc>
        <w:tc>
          <w:tcPr>
            <w:tcW w:w="40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551,743</w:t>
            </w:r>
          </w:p>
        </w:tc>
        <w:tc>
          <w:tcPr>
            <w:tcW w:w="40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897,575</w:t>
            </w:r>
          </w:p>
        </w:tc>
        <w:tc>
          <w:tcPr>
            <w:tcW w:w="120" w:type="dxa"/>
            <w:vAlign w:val="bottom"/>
            <w:shd w:val="clear" w:color="auto" w:fill="EEEEEE"/>
          </w:tcPr>
          <w:p>
            <w:pPr>
              <w:spacing w:after="0"/>
              <w:rPr>
                <w:sz w:val="18"/>
                <w:szCs w:val="18"/>
                <w:color w:val="auto"/>
              </w:rPr>
            </w:pPr>
          </w:p>
        </w:tc>
      </w:tr>
      <w:tr>
        <w:trPr>
          <w:trHeight w:val="230"/>
        </w:trPr>
        <w:tc>
          <w:tcPr>
            <w:tcW w:w="10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89"/>
              </w:rPr>
              <w:t>Nine months ended September 30, 2013</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592,327</w:t>
            </w: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1,166,871</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We are headquartered in Irvine, California, where most operational and administrative functions are centralized. Credit and underwriting functions are performed in our California headquarters with certain of these functions also performed in our Florida branch. We service our automobile contracts from our California headquarters and our branches in Virginia, Florida and Illinois.</w:t>
      </w:r>
    </w:p>
    <w:p>
      <w:pPr>
        <w:spacing w:after="0" w:line="181"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We purchase contracts in our own name (“CPS”) and, until July 2008, also in the name of our wholly-owned subsidiary, TFC. Programs marketed under the CPS name are intended to serve a wide range of sub-prime customers, primarily through franchised new car dealers. Our TFC program served vehicle purchasers enlisted in the U.S. Armed Forces, primarily through independent used car dealers. In July 2008, we suspended contract purchases under our TFC program. We purchase automobile contracts with the intention of financing them on a long-term basis through securitizations. Securitizations are transactions in which we sell a specified pool of contracts to a special purpose entity of ours, which in turn issues asset-backed securities to fund the purchase of the pool of contracts from 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or loans to fund the transactions. Depending on the structure, these transactions may properly be accounted for under generally accepted accounting principles as sales of the automobile contracts or as secured financings.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jc w:val="both"/>
        <w:ind w:firstLine="130"/>
        <w:spacing w:after="0" w:line="288" w:lineRule="auto"/>
        <w:rPr>
          <w:sz w:val="20"/>
          <w:szCs w:val="20"/>
          <w:color w:val="auto"/>
        </w:rPr>
      </w:pPr>
      <w:r>
        <w:rPr>
          <w:rFonts w:ascii="Arial" w:cs="Arial" w:eastAsia="Arial" w:hAnsi="Arial"/>
          <w:sz w:val="16"/>
          <w:szCs w:val="16"/>
          <w:color w:val="auto"/>
        </w:rPr>
        <w:t>Since the third quarter of 2003, we have conducted 33 term securitizations. Of these 33, 27 were periodic (generally quarterly) securitizations of automobile contracts that we purchased from automobile dealers under our regular programs. In addition, in March 2004 and November 2005, we completed securitizations of our retained interests in other securitizations that we and our affiliates previously sponsored. The debt from the March 2004 transaction was repaid in August 2005, and the debt from the November 2005 transaction was repaid in May 2007. Also, in June 2004, we completed a securitization of automobile contracts purchased under our TFC program and acquired in a bulk purchase. Further, in December 2005 and May 2007 we completed securitizations that included automobile contracts purchased under the TFC programs, automobile contracts purchased under the CPS programs and automobile contracts we repurchased upon termination of prior securitizations. Since July 2003 all such securitizations have been structured as secured financings, except our September 2008 and September 2010 securitizations. These transactions were in substance sales of the underlying receivables and were treated as sales for financial accounting purposes. The September 2010 securitization was our first securitization since 1993 that did not utilize a financial guaranty for the senior asset-backed notes. Since then we have completed 10 senior subordinate securitizations and none have utilized financial guarantees.</w:t>
      </w:r>
    </w:p>
    <w:p>
      <w:pPr>
        <w:spacing w:after="0" w:line="169" w:lineRule="exact"/>
        <w:rPr>
          <w:sz w:val="20"/>
          <w:szCs w:val="20"/>
          <w:color w:val="auto"/>
        </w:rPr>
      </w:pPr>
    </w:p>
    <w:p>
      <w:pPr>
        <w:jc w:val="both"/>
        <w:ind w:firstLine="130"/>
        <w:spacing w:after="0" w:line="302" w:lineRule="auto"/>
        <w:rPr>
          <w:sz w:val="20"/>
          <w:szCs w:val="20"/>
          <w:color w:val="auto"/>
        </w:rPr>
      </w:pPr>
      <w:r>
        <w:rPr>
          <w:rFonts w:ascii="Arial" w:cs="Arial" w:eastAsia="Arial" w:hAnsi="Arial"/>
          <w:sz w:val="16"/>
          <w:szCs w:val="16"/>
          <w:color w:val="auto"/>
        </w:rPr>
        <w:t>Since December 2011, our securitizations have included a pre-funding feature in which a portion of the receivables to be sold to the trust were not delivered until after the initial closing. As a result, our restricted cash balance at September 30, 2013 included $65.8 million from the proceeds of the sale of the asset-backed notes that were held by the trustee pending delivery of the remaining receivables. In October 2013, the requisite additional receivables were delivered to the trust and we received the related restricted cash, most of which was used to repay amounts owed under our warehouse credit facilities.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Acquisitions</w:t>
      </w:r>
    </w:p>
    <w:p>
      <w:pPr>
        <w:spacing w:after="0" w:line="229"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As stated above, we have acquired approximately $822.8 million in finance receivables through four acquisitions. These transactions took place in 2002, 2003, 2004 and September 2011. The September 2011 acquisition consisted of approximately $217.8 million of finance receivables that we purchased from Fireside Bank of Pleasanton, California.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Uncertainty of Capital Markets and General Economic Conditions</w:t>
      </w:r>
    </w:p>
    <w:p>
      <w:pPr>
        <w:spacing w:after="0" w:line="229"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We depend upon the availability of warehouse credit facilities and access to long-term financing through the issuance of asset-backed securities collateralized by our automobile contracts. Since 1994, we have completed 60 term securitizations of approximately $8.3 billion in contracts. From the fourth quarter of 2007 through the end of 2009, we observed unprecedented adverse changes in the market for securitized pools of automobile contracts. These changes included reduced liquidity, and reduced demand for asset-backed securities, particularly for securities carrying a financial guaranty and for securities backed by sub-prime automobile receivables. Moreover, during that period many of the firms that previously provided financial guarantees, which were an integral part of our securitizations, suspended offering such guarantees. These adverse changes caused us to conserve liquidity by significantly reducing our purchases of automobile contracts. However, since September 2009 we have established new funding facilities and gradually increased our contract purchases and the frequency and amount of our term securitizations. Our recent history of term securitizations is summarized in the table below:</w:t>
      </w:r>
    </w:p>
    <w:p>
      <w:pPr>
        <w:spacing w:after="0" w:line="162"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5660" w:type="dxa"/>
            <w:vAlign w:val="bottom"/>
            <w:gridSpan w:val="4"/>
          </w:tcPr>
          <w:p>
            <w:pPr>
              <w:ind w:left="2080"/>
              <w:spacing w:after="0"/>
              <w:rPr>
                <w:sz w:val="20"/>
                <w:szCs w:val="20"/>
                <w:color w:val="auto"/>
              </w:rPr>
            </w:pPr>
            <w:r>
              <w:rPr>
                <w:rFonts w:ascii="Arial" w:cs="Arial" w:eastAsia="Arial" w:hAnsi="Arial"/>
                <w:sz w:val="18"/>
                <w:szCs w:val="18"/>
                <w:b w:val="1"/>
                <w:bCs w:val="1"/>
                <w:color w:val="auto"/>
                <w:w w:val="97"/>
              </w:rPr>
              <w:t>Recent Asset-Backed Term Securitizations</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bottom w:val="single" w:sz="8" w:color="auto"/>
            </w:tcBorders>
            <w:gridSpan w:val="5"/>
          </w:tcPr>
          <w:p>
            <w:pPr>
              <w:ind w:left="128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2"/>
              </w:rPr>
              <w:t>Number of Term</w:t>
            </w:r>
          </w:p>
        </w:tc>
        <w:tc>
          <w:tcPr>
            <w:tcW w:w="140" w:type="dxa"/>
            <w:vAlign w:val="bottom"/>
          </w:tcPr>
          <w:p>
            <w:pPr>
              <w:spacing w:after="0"/>
              <w:rPr>
                <w:sz w:val="16"/>
                <w:szCs w:val="16"/>
                <w:color w:val="auto"/>
              </w:rPr>
            </w:pPr>
          </w:p>
        </w:tc>
        <w:tc>
          <w:tcPr>
            <w:tcW w:w="16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Amount of Term</w:t>
            </w:r>
          </w:p>
        </w:tc>
      </w:tr>
      <w:tr>
        <w:trPr>
          <w:trHeight w:val="234"/>
        </w:trPr>
        <w:tc>
          <w:tcPr>
            <w:tcW w:w="3820" w:type="dxa"/>
            <w:vAlign w:val="bottom"/>
            <w:gridSpan w:val="2"/>
          </w:tcPr>
          <w:p>
            <w:pPr>
              <w:ind w:left="1560"/>
              <w:spacing w:after="0"/>
              <w:rPr>
                <w:sz w:val="20"/>
                <w:szCs w:val="20"/>
                <w:color w:val="auto"/>
              </w:rPr>
            </w:pPr>
            <w:r>
              <w:rPr>
                <w:rFonts w:ascii="Arial" w:cs="Arial" w:eastAsia="Arial" w:hAnsi="Arial"/>
                <w:sz w:val="18"/>
                <w:szCs w:val="18"/>
                <w:b w:val="1"/>
                <w:bCs w:val="1"/>
                <w:color w:val="auto"/>
              </w:rPr>
              <w:t>Period</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Securitizations</w:t>
            </w:r>
          </w:p>
        </w:tc>
        <w:tc>
          <w:tcPr>
            <w:tcW w:w="14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3620" w:type="dxa"/>
            <w:vAlign w:val="bottom"/>
            <w:tcBorders>
              <w:top w:val="single" w:sz="8" w:color="auto"/>
            </w:tcBorders>
            <w:shd w:val="clear" w:color="auto" w:fill="EEEEEE"/>
          </w:tcPr>
          <w:p>
            <w:pPr>
              <w:jc w:val="right"/>
              <w:ind w:right="1490"/>
              <w:spacing w:after="0"/>
              <w:rPr>
                <w:sz w:val="20"/>
                <w:szCs w:val="20"/>
                <w:color w:val="auto"/>
              </w:rPr>
            </w:pPr>
            <w:r>
              <w:rPr>
                <w:rFonts w:ascii="Arial" w:cs="Arial" w:eastAsia="Arial" w:hAnsi="Arial"/>
                <w:sz w:val="18"/>
                <w:szCs w:val="18"/>
                <w:color w:val="auto"/>
              </w:rPr>
              <w:t>2006</w:t>
            </w:r>
          </w:p>
        </w:tc>
        <w:tc>
          <w:tcPr>
            <w:tcW w:w="200" w:type="dxa"/>
            <w:vAlign w:val="bottom"/>
            <w:tcBorders>
              <w:top w:val="single" w:sz="8" w:color="EEEEEE"/>
            </w:tcBorders>
            <w:shd w:val="clear" w:color="auto" w:fill="EEEEEE"/>
          </w:tcPr>
          <w:p>
            <w:pPr>
              <w:spacing w:after="0"/>
              <w:rPr>
                <w:sz w:val="18"/>
                <w:szCs w:val="18"/>
                <w:color w:val="auto"/>
              </w:rPr>
            </w:pPr>
          </w:p>
        </w:tc>
        <w:tc>
          <w:tcPr>
            <w:tcW w:w="1620" w:type="dxa"/>
            <w:vAlign w:val="bottom"/>
            <w:tcBorders>
              <w:top w:val="single" w:sz="8" w:color="auto"/>
            </w:tcBorders>
            <w:shd w:val="clear" w:color="auto" w:fill="EEEEEE"/>
          </w:tcPr>
          <w:p>
            <w:pPr>
              <w:jc w:val="right"/>
              <w:ind w:right="610"/>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957,681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620" w:type="dxa"/>
            <w:vAlign w:val="bottom"/>
          </w:tcPr>
          <w:p>
            <w:pPr>
              <w:jc w:val="right"/>
              <w:ind w:right="149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1,118,097</w:t>
            </w:r>
          </w:p>
        </w:tc>
      </w:tr>
      <w:tr>
        <w:trPr>
          <w:trHeight w:val="216"/>
        </w:trPr>
        <w:tc>
          <w:tcPr>
            <w:tcW w:w="3620" w:type="dxa"/>
            <w:vAlign w:val="bottom"/>
            <w:shd w:val="clear" w:color="auto" w:fill="EEEEEE"/>
          </w:tcPr>
          <w:p>
            <w:pPr>
              <w:jc w:val="right"/>
              <w:ind w:right="1490"/>
              <w:spacing w:after="0"/>
              <w:rPr>
                <w:sz w:val="20"/>
                <w:szCs w:val="20"/>
                <w:color w:val="auto"/>
              </w:rPr>
            </w:pPr>
            <w:r>
              <w:rPr>
                <w:rFonts w:ascii="Arial" w:cs="Arial" w:eastAsia="Arial" w:hAnsi="Arial"/>
                <w:sz w:val="18"/>
                <w:szCs w:val="18"/>
                <w:color w:val="333333"/>
              </w:rPr>
              <w:t>2008</w:t>
            </w:r>
          </w:p>
        </w:tc>
        <w:tc>
          <w:tcPr>
            <w:tcW w:w="20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2</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509,022</w:t>
            </w:r>
          </w:p>
        </w:tc>
      </w:tr>
      <w:tr>
        <w:trPr>
          <w:trHeight w:val="216"/>
        </w:trPr>
        <w:tc>
          <w:tcPr>
            <w:tcW w:w="3620" w:type="dxa"/>
            <w:vAlign w:val="bottom"/>
          </w:tcPr>
          <w:p>
            <w:pPr>
              <w:jc w:val="right"/>
              <w:ind w:right="1490"/>
              <w:spacing w:after="0"/>
              <w:rPr>
                <w:sz w:val="20"/>
                <w:szCs w:val="20"/>
                <w:color w:val="auto"/>
              </w:rPr>
            </w:pPr>
            <w:r>
              <w:rPr>
                <w:rFonts w:ascii="Arial" w:cs="Arial" w:eastAsia="Arial" w:hAnsi="Arial"/>
                <w:sz w:val="18"/>
                <w:szCs w:val="18"/>
                <w:color w:val="333333"/>
              </w:rPr>
              <w:t>2009</w:t>
            </w:r>
          </w:p>
        </w:tc>
        <w:tc>
          <w:tcPr>
            <w:tcW w:w="200" w:type="dxa"/>
            <w:vAlign w:val="bottom"/>
          </w:tcPr>
          <w:p>
            <w:pPr>
              <w:spacing w:after="0"/>
              <w:rPr>
                <w:sz w:val="18"/>
                <w:szCs w:val="18"/>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EEEEEE"/>
          </w:tcPr>
          <w:p>
            <w:pPr>
              <w:jc w:val="right"/>
              <w:ind w:right="1490"/>
              <w:spacing w:after="0"/>
              <w:rPr>
                <w:sz w:val="20"/>
                <w:szCs w:val="20"/>
                <w:color w:val="auto"/>
              </w:rPr>
            </w:pPr>
            <w:r>
              <w:rPr>
                <w:rFonts w:ascii="Arial" w:cs="Arial" w:eastAsia="Arial" w:hAnsi="Arial"/>
                <w:sz w:val="18"/>
                <w:szCs w:val="18"/>
                <w:color w:val="333333"/>
              </w:rPr>
              <w:t>2010</w:t>
            </w:r>
          </w:p>
        </w:tc>
        <w:tc>
          <w:tcPr>
            <w:tcW w:w="20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1</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103,772</w:t>
            </w:r>
          </w:p>
        </w:tc>
      </w:tr>
      <w:tr>
        <w:trPr>
          <w:trHeight w:val="216"/>
        </w:trPr>
        <w:tc>
          <w:tcPr>
            <w:tcW w:w="3620" w:type="dxa"/>
            <w:vAlign w:val="bottom"/>
          </w:tcPr>
          <w:p>
            <w:pPr>
              <w:jc w:val="right"/>
              <w:ind w:right="1490"/>
              <w:spacing w:after="0"/>
              <w:rPr>
                <w:sz w:val="20"/>
                <w:szCs w:val="20"/>
                <w:color w:val="auto"/>
              </w:rPr>
            </w:pPr>
            <w:r>
              <w:rPr>
                <w:rFonts w:ascii="Arial" w:cs="Arial" w:eastAsia="Arial" w:hAnsi="Arial"/>
                <w:sz w:val="18"/>
                <w:szCs w:val="18"/>
                <w:color w:val="333333"/>
              </w:rPr>
              <w:t>2011</w:t>
            </w:r>
          </w:p>
        </w:tc>
        <w:tc>
          <w:tcPr>
            <w:tcW w:w="200" w:type="dxa"/>
            <w:vAlign w:val="bottom"/>
          </w:tcPr>
          <w:p>
            <w:pPr>
              <w:spacing w:after="0"/>
              <w:rPr>
                <w:sz w:val="18"/>
                <w:szCs w:val="18"/>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335,593</w:t>
            </w:r>
          </w:p>
        </w:tc>
      </w:tr>
      <w:tr>
        <w:trPr>
          <w:trHeight w:val="216"/>
        </w:trPr>
        <w:tc>
          <w:tcPr>
            <w:tcW w:w="3620" w:type="dxa"/>
            <w:vAlign w:val="bottom"/>
            <w:shd w:val="clear" w:color="auto" w:fill="EEEEEE"/>
          </w:tcPr>
          <w:p>
            <w:pPr>
              <w:jc w:val="right"/>
              <w:ind w:right="1490"/>
              <w:spacing w:after="0"/>
              <w:rPr>
                <w:sz w:val="20"/>
                <w:szCs w:val="20"/>
                <w:color w:val="auto"/>
              </w:rPr>
            </w:pPr>
            <w:r>
              <w:rPr>
                <w:rFonts w:ascii="Arial" w:cs="Arial" w:eastAsia="Arial" w:hAnsi="Arial"/>
                <w:sz w:val="18"/>
                <w:szCs w:val="18"/>
                <w:color w:val="333333"/>
              </w:rPr>
              <w:t>2012</w:t>
            </w:r>
          </w:p>
        </w:tc>
        <w:tc>
          <w:tcPr>
            <w:tcW w:w="20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4</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603,500</w:t>
            </w:r>
          </w:p>
        </w:tc>
      </w:tr>
      <w:tr>
        <w:trPr>
          <w:trHeight w:val="230"/>
        </w:trPr>
        <w:tc>
          <w:tcPr>
            <w:tcW w:w="3820" w:type="dxa"/>
            <w:vAlign w:val="bottom"/>
            <w:gridSpan w:val="2"/>
          </w:tcPr>
          <w:p>
            <w:pPr>
              <w:ind w:left="100"/>
              <w:spacing w:after="0"/>
              <w:rPr>
                <w:sz w:val="20"/>
                <w:szCs w:val="20"/>
                <w:color w:val="auto"/>
              </w:rPr>
            </w:pPr>
            <w:r>
              <w:rPr>
                <w:rFonts w:ascii="Arial" w:cs="Arial" w:eastAsia="Arial" w:hAnsi="Arial"/>
                <w:sz w:val="18"/>
                <w:szCs w:val="18"/>
                <w:color w:val="auto"/>
              </w:rPr>
              <w:t>Nine months ended September 30, 2013</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595,000</w:t>
            </w:r>
          </w:p>
        </w:tc>
      </w:tr>
    </w:tbl>
    <w:p>
      <w:pPr>
        <w:spacing w:after="0" w:line="187"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Our 2012 securitizations included $58.2 million in contracts that were repurchased in 2012 from securitizations closed in 2006 and 2007. Our 2013 securitizations included $7.4 million in contracts that were repurchased from a securitization closed in 2008. Since 2011 all of our securitizations have been structured as secured financings and none have utilized financial guarantees.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current short-term funding capacity is $200 million, comprising two credit facilities. The first $100 million credit facility was established in December 2010. This facility was renewed in March 2013, extending the revolving period to March 2015, and adding an amortization period through March 2017. Our second $100 million credit facility was established in May 2012. This facility was renewed in June 2013, extending the revolving period to June 2015, and adding an amortization period through June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130"/>
        <w:spacing w:after="0" w:line="302"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certain minimum financial ratios and results. Such covenants include maintaining minimum levels of liquidity and net worth and not exceeding maximum leverage levels. As of September 30, 2013 we were in compliance with all such covenants. In addition, certain securitization and non-securitization related debt contain cross-default provisions that would allow certain creditors to declare a default if a default occurred under a different facility.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September 30, 2013 with the three months ended September 30, 2012</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three months ended September 30, 2013, our revenues were $64.1 million, an increase of $16.1 million, or 33.7%, from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of $47.9 million. The primary reason for the increase in revenues is an increase in interest income. Interest income for the three months ended September 30, 2013 increased $15.4 million, or 34.2%, to $60.5 million from $45.1 million in the prior year. The primary reason for the increase in interest income is the increase in finance receivables held by consolidated subsidiaries, which increased from $807.1 million at September 30, 2012 to $1,154.2 million at September 30, 2013. The table below shows the average balances of our portfolio held by consolidated subsidiaries for the three months ended September 30, 2013 and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88"/>
              </w:rPr>
              <w:t>Average Balances for the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9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0"/>
              </w:rPr>
              <w:t>September 30, 2013</w:t>
            </w:r>
          </w:p>
        </w:tc>
        <w:tc>
          <w:tcPr>
            <w:tcW w:w="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September 30, 2012</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8"/>
              </w:rPr>
              <w:t>Finance Receivables Owned by</w:t>
            </w: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4"/>
          </w:tcPr>
          <w:p>
            <w:pPr>
              <w:jc w:val="center"/>
              <w:ind w:left="70"/>
              <w:spacing w:after="0" w:line="191" w:lineRule="exact"/>
              <w:rPr>
                <w:sz w:val="20"/>
                <w:szCs w:val="20"/>
                <w:color w:val="auto"/>
              </w:rPr>
            </w:pPr>
            <w:r>
              <w:rPr>
                <w:rFonts w:ascii="Arial" w:cs="Arial" w:eastAsia="Arial" w:hAnsi="Arial"/>
                <w:sz w:val="18"/>
                <w:szCs w:val="18"/>
                <w:b w:val="1"/>
                <w:bCs w:val="1"/>
                <w:color w:val="auto"/>
                <w:w w:val="91"/>
              </w:rPr>
              <w:t>($ in millions)</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Consolidated Subsidiaries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CPS Originated Receivables</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1,098.4</w:t>
            </w:r>
          </w:p>
        </w:tc>
        <w:tc>
          <w:tcPr>
            <w:tcW w:w="3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983"/>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3"/>
              </w:rPr>
              <w:t>702.6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Fireside</w:t>
            </w:r>
          </w:p>
        </w:tc>
        <w:tc>
          <w:tcPr>
            <w:tcW w:w="2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1,124.0</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983"/>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790.3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Servicing fees totaling $700,000 in the three months ended September 30, 2013 increased $198,000, or 39.5%, from $502,000 in the prior year. We earn base servicing fees on three portfolios that are decreasing in size as we receive customer payments and, consequently, base servicing fees are decreasing also. On one of those portfolios, however, we recently began earning an incentive servicing fee. Such incentive servicing fee was $349,000 for the three months ended September 30, 2013 and more than offset the decrease of $151,000 in base servicing fees. We did not earn any incentive servicing fee in the prior year’s period. As of September 30, 2013 and 2012, our managed portfolio owned by consolidated vs. non-consolidated subsidiaries and other third parties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89"/>
              </w:rPr>
              <w:t>September 30, 2013</w:t>
            </w: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88"/>
              </w:rPr>
              <w:t>September 30, 2012</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Total Managed Portfolio</w:t>
            </w: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CPS Originated Receivables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1,132.5</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97.1%</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726.8</w:t>
            </w: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Fireside</w:t>
            </w: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21.7</w:t>
            </w: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80.3</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22.4</w:t>
            </w: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22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6.6</w:t>
            </w:r>
          </w:p>
        </w:tc>
        <w:tc>
          <w:tcPr>
            <w:tcW w:w="58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15.4</w:t>
            </w: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1,166.9</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both"/>
        <w:ind w:firstLine="162"/>
        <w:spacing w:after="0" w:line="279" w:lineRule="auto"/>
        <w:rPr>
          <w:sz w:val="20"/>
          <w:szCs w:val="20"/>
          <w:color w:val="auto"/>
        </w:rPr>
      </w:pPr>
      <w:r>
        <w:rPr>
          <w:rFonts w:ascii="Arial" w:cs="Arial" w:eastAsia="Arial" w:hAnsi="Arial"/>
          <w:sz w:val="17"/>
          <w:szCs w:val="17"/>
          <w:color w:val="auto"/>
        </w:rPr>
        <w:t>At September 30, 2013, we were generating income and fees on a managed portfolio with an outstanding principal balance of $1,166.9 million (this amount includes $6.1 million of automobile contracts on which we earn servicing fees and own a residual interest and also includes another $6.6 million of automobile contracts on which we earn base and incentive servicing fees), compared to a managed portfolio with an outstanding principal balance of $844.9 million as of September 30, 2012. At September 30, 2013 and 2012, the managed portfolio composition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3"/>
          </w:tcPr>
          <w:p>
            <w:pPr>
              <w:ind w:left="800"/>
              <w:spacing w:after="0"/>
              <w:rPr>
                <w:sz w:val="20"/>
                <w:szCs w:val="20"/>
                <w:color w:val="auto"/>
              </w:rPr>
            </w:pPr>
            <w:r>
              <w:rPr>
                <w:rFonts w:ascii="Arial" w:cs="Arial" w:eastAsia="Arial" w:hAnsi="Arial"/>
                <w:sz w:val="18"/>
                <w:szCs w:val="18"/>
                <w:b w:val="1"/>
                <w:bCs w:val="1"/>
                <w:color w:val="auto"/>
                <w:w w:val="89"/>
              </w:rPr>
              <w:t>September 30, 2013</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gridSpan w:val="4"/>
          </w:tcPr>
          <w:p>
            <w:pPr>
              <w:ind w:left="660"/>
              <w:spacing w:after="0"/>
              <w:rPr>
                <w:sz w:val="20"/>
                <w:szCs w:val="20"/>
                <w:color w:val="auto"/>
              </w:rPr>
            </w:pPr>
            <w:r>
              <w:rPr>
                <w:rFonts w:ascii="Arial" w:cs="Arial" w:eastAsia="Arial" w:hAnsi="Arial"/>
                <w:sz w:val="18"/>
                <w:szCs w:val="18"/>
                <w:b w:val="1"/>
                <w:bCs w:val="1"/>
                <w:color w:val="auto"/>
              </w:rPr>
              <w:t>September 30, 2012</w:t>
            </w:r>
          </w:p>
        </w:tc>
        <w:tc>
          <w:tcPr>
            <w:tcW w:w="0" w:type="dxa"/>
            <w:vAlign w:val="bottom"/>
          </w:tcPr>
          <w:p>
            <w:pPr>
              <w:spacing w:after="0"/>
              <w:rPr>
                <w:sz w:val="1"/>
                <w:szCs w:val="1"/>
                <w:color w:val="auto"/>
              </w:rPr>
            </w:pPr>
          </w:p>
        </w:tc>
      </w:tr>
      <w:tr>
        <w:trPr>
          <w:trHeight w:val="223"/>
        </w:trPr>
        <w:tc>
          <w:tcPr>
            <w:tcW w:w="3900" w:type="dxa"/>
            <w:vAlign w:val="bottom"/>
            <w:vMerge w:val="restart"/>
          </w:tcPr>
          <w:p>
            <w:pPr>
              <w:ind w:left="1120"/>
              <w:spacing w:after="0"/>
              <w:rPr>
                <w:sz w:val="20"/>
                <w:szCs w:val="20"/>
                <w:color w:val="auto"/>
              </w:rPr>
            </w:pPr>
            <w:r>
              <w:rPr>
                <w:rFonts w:ascii="Arial" w:cs="Arial" w:eastAsia="Arial" w:hAnsi="Arial"/>
                <w:sz w:val="18"/>
                <w:szCs w:val="18"/>
                <w:b w:val="1"/>
                <w:bCs w:val="1"/>
                <w:color w:val="auto"/>
              </w:rPr>
              <w:t>Originating Entity</w:t>
            </w:r>
          </w:p>
        </w:tc>
        <w:tc>
          <w:tcPr>
            <w:tcW w:w="220" w:type="dxa"/>
            <w:vAlign w:val="bottom"/>
            <w:tcBorders>
              <w:top w:val="single" w:sz="8" w:color="auto"/>
              <w:bottom w:val="single" w:sz="8" w:color="auto"/>
            </w:tcBorders>
          </w:tcPr>
          <w:p>
            <w:pPr>
              <w:spacing w:after="0"/>
              <w:rPr>
                <w:sz w:val="19"/>
                <w:szCs w:val="19"/>
                <w:color w:val="auto"/>
              </w:rPr>
            </w:pPr>
          </w:p>
        </w:tc>
        <w:tc>
          <w:tcPr>
            <w:tcW w:w="2320" w:type="dxa"/>
            <w:vAlign w:val="bottom"/>
            <w:tcBorders>
              <w:top w:val="single" w:sz="8" w:color="auto"/>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7"/>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w w:val="92"/>
              </w:rPr>
              <w:t>Amount (1)</w:t>
            </w:r>
          </w:p>
        </w:tc>
        <w:tc>
          <w:tcPr>
            <w:tcW w:w="15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1,141.1</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97.8%</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748.8</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Fireside</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21.7</w:t>
            </w:r>
          </w:p>
        </w:tc>
        <w:tc>
          <w:tcPr>
            <w:tcW w:w="5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80.3</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TFC</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2320" w:type="dxa"/>
            <w:vAlign w:val="bottom"/>
            <w:gridSpan w:val="3"/>
            <w:shd w:val="clear" w:color="auto" w:fill="EEEEEE"/>
          </w:tcPr>
          <w:p>
            <w:pPr>
              <w:jc w:val="right"/>
              <w:ind w:right="9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0.4</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Third Party Portfolio</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15.4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1,166.9</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844.9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_______________</w:t>
      </w:r>
    </w:p>
    <w:p>
      <w:pPr>
        <w:spacing w:after="0" w:line="9"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Other income increased by $539,000, or 22.7%, to $2.9 million in the three months ended September 30, 2013 from $2.4 million during the prior year. The increase is comprised of a net increase of $681,000 in the fair value of the receivables and debt associated with the Fireside portfolio acquisition, and an increase of $5,000 in payments from third-party providers of convenience fees paid by our customers for web based and other electronic payments. These increases were partially offset by decreases of $74,000 in fees associated with direct mail and other related products and services that we offer to our dealers, decreases in sales tax refunds of $59,000, and a decrease of $18,000 in recoveries on receivables from the 2002 acquisition of MFN Financial Corporation.</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provision for credit losses, interest expense, employee costs and general and administrative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Total operating expenses were $53.5 million for the three months ended September 30, 2013, compared to $45.2 million for the prior year, an increase of $8.3 million, or 18.4%. The increase is primarily due to the increase in the amount of new contracts we purchased, the resulting increase in our consolidated portfolio and associated servicing costs, and the related increase in our provision for credit losses. Increases in core operating expenses and provision for credit losses were partially offset by decreases in interest expense.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ind w:firstLine="162"/>
        <w:spacing w:after="0" w:line="276" w:lineRule="auto"/>
        <w:rPr>
          <w:sz w:val="20"/>
          <w:szCs w:val="20"/>
          <w:color w:val="auto"/>
        </w:rPr>
      </w:pPr>
      <w:r>
        <w:rPr>
          <w:rFonts w:ascii="Arial" w:cs="Arial" w:eastAsia="Arial" w:hAnsi="Arial"/>
          <w:sz w:val="17"/>
          <w:szCs w:val="17"/>
          <w:color w:val="auto"/>
        </w:rPr>
        <w:t>Employee costs increased by $2.5 million or 28.3%, to $11.2 million during the three months ended September 30, 2013, representing 20.9% of total operating expenses, from $8.7 million for the prior year, or 19.3% of total operating expenses. Since 2010, we have added employees in our Originations and Marketing departments to accommodate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three-month periods ended, September 30, 2013 and 2012: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7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gridSpan w:val="2"/>
          </w:tcPr>
          <w:p>
            <w:pPr>
              <w:spacing w:after="0"/>
              <w:rPr>
                <w:sz w:val="18"/>
                <w:szCs w:val="18"/>
                <w:color w:val="auto"/>
              </w:rPr>
            </w:pPr>
          </w:p>
        </w:tc>
      </w:tr>
      <w:tr>
        <w:trPr>
          <w:trHeight w:val="210"/>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5"/>
          </w:tcPr>
          <w:p>
            <w:pPr>
              <w:jc w:val="right"/>
              <w:ind w:right="109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r>
      <w:tr>
        <w:trPr>
          <w:trHeight w:val="216"/>
        </w:trPr>
        <w:tc>
          <w:tcPr>
            <w:tcW w:w="77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Contracts purchased (dollars)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206.8</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143.1</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00"/>
              <w:spacing w:after="0"/>
              <w:rPr>
                <w:sz w:val="20"/>
                <w:szCs w:val="20"/>
                <w:color w:val="auto"/>
              </w:rPr>
            </w:pPr>
            <w:r>
              <w:rPr>
                <w:rFonts w:ascii="Arial" w:cs="Arial" w:eastAsia="Arial" w:hAnsi="Arial"/>
                <w:sz w:val="18"/>
                <w:szCs w:val="18"/>
                <w:color w:val="auto"/>
              </w:rPr>
              <w:t>Contracts purchased (units)</w:t>
            </w:r>
          </w:p>
        </w:tc>
        <w:tc>
          <w:tcPr>
            <w:tcW w:w="1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13,233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9,367</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Managed portfolio outstanding (dollars)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1,166.9</w:t>
            </w:r>
          </w:p>
        </w:tc>
        <w:tc>
          <w:tcPr>
            <w:tcW w:w="180" w:type="dxa"/>
            <w:vAlign w:val="bottom"/>
            <w:shd w:val="clear" w:color="auto" w:fill="EEEEEE"/>
          </w:tcPr>
          <w:p>
            <w:pPr>
              <w:spacing w:after="0"/>
              <w:rPr>
                <w:sz w:val="18"/>
                <w:szCs w:val="18"/>
                <w:color w:val="auto"/>
              </w:rPr>
            </w:pP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844.9</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00"/>
              <w:spacing w:after="0"/>
              <w:rPr>
                <w:sz w:val="20"/>
                <w:szCs w:val="20"/>
                <w:color w:val="auto"/>
              </w:rPr>
            </w:pPr>
            <w:r>
              <w:rPr>
                <w:rFonts w:ascii="Arial" w:cs="Arial" w:eastAsia="Arial" w:hAnsi="Arial"/>
                <w:sz w:val="18"/>
                <w:szCs w:val="18"/>
                <w:color w:val="auto"/>
              </w:rPr>
              <w:t>Managed portfolio outstanding (units)</w:t>
            </w:r>
          </w:p>
        </w:tc>
        <w:tc>
          <w:tcPr>
            <w:tcW w:w="1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96,989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92,908</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00"/>
              <w:spacing w:after="0"/>
              <w:rPr>
                <w:sz w:val="20"/>
                <w:szCs w:val="20"/>
                <w:color w:val="auto"/>
              </w:rPr>
            </w:pPr>
            <w:r>
              <w:rPr>
                <w:rFonts w:ascii="Arial" w:cs="Arial" w:eastAsia="Arial" w:hAnsi="Arial"/>
                <w:sz w:val="18"/>
                <w:szCs w:val="18"/>
                <w:color w:val="auto"/>
              </w:rPr>
              <w:t>Number of Originations staff</w:t>
            </w:r>
          </w:p>
        </w:tc>
        <w:tc>
          <w:tcPr>
            <w:tcW w:w="1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77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Number of Marketing staff</w:t>
            </w:r>
          </w:p>
        </w:tc>
        <w:tc>
          <w:tcPr>
            <w:tcW w:w="12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71</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00"/>
              <w:spacing w:after="0"/>
              <w:rPr>
                <w:sz w:val="20"/>
                <w:szCs w:val="20"/>
                <w:color w:val="auto"/>
              </w:rPr>
            </w:pPr>
            <w:r>
              <w:rPr>
                <w:rFonts w:ascii="Arial" w:cs="Arial" w:eastAsia="Arial" w:hAnsi="Arial"/>
                <w:sz w:val="18"/>
                <w:szCs w:val="18"/>
                <w:color w:val="auto"/>
              </w:rPr>
              <w:t>Number of Servicing staff</w:t>
            </w:r>
          </w:p>
        </w:tc>
        <w:tc>
          <w:tcPr>
            <w:tcW w:w="1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Number of other staff</w:t>
            </w:r>
          </w:p>
        </w:tc>
        <w:tc>
          <w:tcPr>
            <w:tcW w:w="120" w:type="dxa"/>
            <w:vAlign w:val="bottom"/>
            <w:shd w:val="clear" w:color="auto" w:fill="EEEEEE"/>
          </w:tcPr>
          <w:p>
            <w:pPr>
              <w:spacing w:after="0"/>
              <w:rPr>
                <w:sz w:val="19"/>
                <w:szCs w:val="19"/>
                <w:color w:val="auto"/>
              </w:rPr>
            </w:pP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EEEEEE"/>
          </w:tcPr>
          <w:p>
            <w:pPr>
              <w:spacing w:after="0"/>
              <w:rPr>
                <w:sz w:val="19"/>
                <w:szCs w:val="19"/>
                <w:color w:val="auto"/>
              </w:rPr>
            </w:pPr>
          </w:p>
        </w:tc>
      </w:tr>
      <w:tr>
        <w:trPr>
          <w:trHeight w:val="223"/>
        </w:trPr>
        <w:tc>
          <w:tcPr>
            <w:tcW w:w="7780" w:type="dxa"/>
            <w:vAlign w:val="bottom"/>
          </w:tcPr>
          <w:p>
            <w:pPr>
              <w:ind w:left="100"/>
              <w:spacing w:after="0"/>
              <w:rPr>
                <w:sz w:val="20"/>
                <w:szCs w:val="20"/>
                <w:color w:val="auto"/>
              </w:rPr>
            </w:pPr>
            <w:r>
              <w:rPr>
                <w:rFonts w:ascii="Arial" w:cs="Arial" w:eastAsia="Arial" w:hAnsi="Arial"/>
                <w:sz w:val="18"/>
                <w:szCs w:val="18"/>
                <w:color w:val="auto"/>
              </w:rPr>
              <w:t>Total number of employees</w:t>
            </w: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$4.1 million, an increase of $384,000, or 10.4%, compared to the previous year and represented 7.6% of total operating expenses.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Interest expense for the three months ended September 30, 2013 decreased by $5.7 million to $13.9 million, or 29.2%, compared to $19.6 million in the previous year.</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Interest expense on the Fireside portfolio credit facility decreased by $2.7 million compared to the prior year period as the Fireside portfolio and the related debt have paid down to significantly lower levels over the last year.</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Interest on securitization trust debt decreased by $1.0 million for the three months ended September 30, 2013 compared to the prior year. Although the outstanding amount of securitization trust debt increased to $1,094.6 million at September 30, 2013 compared to $721.4 million at September 30, 2012, the blended interest rates on term securitizations completed since 2012 are significantly less than the blended interest rates on securitization trust debt incurred prior to 2012.</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Interest expense on senior secured debt and subordinated debt decreased by $1.6 million. This was due primarily to the April 2013 repayment of $15.0 million in senior secured debt and to the reduction in the interest rate on the remaining senior secured debt from 16.0% to 13.0%. Interest expense on residual interest financing increased $348,000 in the three months ended September 30, 2013 compared to the prior year. The increase is due to the establishment in April 2013 of a new $20 million residual interest financing. This was partially offset by the September 2013 repayment of the $13.8 million of indebtedness outstanding under the residual facility originally established in 2007.</w:t>
      </w:r>
    </w:p>
    <w:p>
      <w:pPr>
        <w:spacing w:after="0" w:line="18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Interest expense on warehouse debt decreased by $732,000 for the three months ended September 30, 2013 compared to the prior year. Although we increased our contract purchases to $206.8 million for the three months ended September 30, 2013 compared to $143.1 million in the prior period, recently we have relied less on warehouse credit facilities and more on unrestricted cash balances to fund receivables prior to securitization.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ind w:left="18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2012: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8"/>
                <w:szCs w:val="18"/>
                <w:b w:val="1"/>
                <w:bCs w:val="1"/>
                <w:color w:val="auto"/>
                <w:w w:val="90"/>
              </w:rPr>
              <w:t>Three Months Ended September 30,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5"/>
          </w:tcPr>
          <w:p>
            <w:pPr>
              <w:jc w:val="center"/>
              <w:ind w:right="420"/>
              <w:spacing w:after="0" w:line="191" w:lineRule="exact"/>
              <w:rPr>
                <w:sz w:val="20"/>
                <w:szCs w:val="20"/>
                <w:color w:val="auto"/>
              </w:rPr>
            </w:pPr>
            <w:r>
              <w:rPr>
                <w:rFonts w:ascii="Arial" w:cs="Arial" w:eastAsia="Arial" w:hAnsi="Arial"/>
                <w:sz w:val="18"/>
                <w:szCs w:val="18"/>
                <w:b w:val="1"/>
                <w:bCs w:val="1"/>
                <w:color w:val="auto"/>
                <w:w w:val="90"/>
              </w:rPr>
              <w:t>(Dollars In thousands)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Annualized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vMerge w:val="restart"/>
          </w:tcPr>
          <w:p>
            <w:pPr>
              <w:jc w:val="center"/>
              <w:ind w:right="420"/>
              <w:spacing w:after="0"/>
              <w:rPr>
                <w:sz w:val="20"/>
                <w:szCs w:val="20"/>
                <w:color w:val="auto"/>
              </w:rPr>
            </w:pPr>
            <w:r>
              <w:rPr>
                <w:rFonts w:ascii="Arial" w:cs="Arial" w:eastAsia="Arial" w:hAnsi="Arial"/>
                <w:sz w:val="18"/>
                <w:szCs w:val="18"/>
                <w:b w:val="1"/>
                <w:bCs w:val="1"/>
                <w:color w:val="auto"/>
                <w:w w:val="89"/>
              </w:rPr>
              <w:t>Interest Earning Assets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 (1)</w:t>
            </w:r>
          </w:p>
        </w:tc>
        <w:tc>
          <w:tcPr>
            <w:tcW w:w="24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Interest</w:t>
            </w:r>
          </w:p>
        </w:tc>
        <w:tc>
          <w:tcPr>
            <w:tcW w:w="24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Yield/Rate</w:t>
            </w:r>
          </w:p>
        </w:tc>
        <w:tc>
          <w:tcPr>
            <w:tcW w:w="14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Balance (1)</w:t>
            </w: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1,076,389</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59,296</w:t>
            </w:r>
          </w:p>
        </w:tc>
        <w:tc>
          <w:tcPr>
            <w:tcW w:w="17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693,384</w:t>
            </w:r>
          </w:p>
        </w:tc>
        <w:tc>
          <w:tcPr>
            <w:tcW w:w="220" w:type="dxa"/>
            <w:vAlign w:val="bottom"/>
            <w:shd w:val="clear" w:color="auto" w:fill="EEEEEE"/>
          </w:tcPr>
          <w:p>
            <w:pPr>
              <w:jc w:val="right"/>
              <w:ind w:right="5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40,079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tcPr>
          <w:p>
            <w:pPr>
              <w:spacing w:after="0" w:line="201" w:lineRule="exact"/>
              <w:rPr>
                <w:sz w:val="20"/>
                <w:szCs w:val="20"/>
                <w:color w:val="auto"/>
              </w:rPr>
            </w:pPr>
            <w:r>
              <w:rPr>
                <w:rFonts w:ascii="Arial" w:cs="Arial" w:eastAsia="Arial" w:hAnsi="Arial"/>
                <w:sz w:val="18"/>
                <w:szCs w:val="18"/>
                <w:color w:val="auto"/>
                <w:w w:val="95"/>
              </w:rPr>
              <w:t>Finance receivables measured at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5"/>
          </w:tcPr>
          <w:p>
            <w:pPr>
              <w:ind w:left="18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24,588</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1,166</w:t>
            </w:r>
          </w:p>
        </w:tc>
        <w:tc>
          <w:tcPr>
            <w:tcW w:w="172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87,671</w:t>
            </w:r>
          </w:p>
        </w:tc>
        <w:tc>
          <w:tcPr>
            <w:tcW w:w="2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4,974</w:t>
            </w: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EEEEEE"/>
              <w:bottom w:val="single" w:sz="8" w:color="EEEEEE"/>
            </w:tcBorders>
            <w:shd w:val="clear" w:color="auto" w:fill="EEEEEE"/>
          </w:tcPr>
          <w:p>
            <w:pPr>
              <w:spacing w:after="0"/>
              <w:rPr>
                <w:sz w:val="20"/>
                <w:szCs w:val="20"/>
                <w:color w:val="auto"/>
              </w:rPr>
            </w:pPr>
          </w:p>
        </w:tc>
        <w:tc>
          <w:tcPr>
            <w:tcW w:w="120" w:type="dxa"/>
            <w:vAlign w:val="bottom"/>
            <w:tcBorders>
              <w:top w:val="single" w:sz="8" w:color="EEEEEE"/>
              <w:bottom w:val="single" w:sz="8" w:color="EEEEEE"/>
            </w:tcBorders>
            <w:shd w:val="clear" w:color="auto" w:fill="EEEEEE"/>
          </w:tcPr>
          <w:p>
            <w:pPr>
              <w:spacing w:after="0"/>
              <w:rPr>
                <w:sz w:val="20"/>
                <w:szCs w:val="20"/>
                <w:color w:val="auto"/>
              </w:rPr>
            </w:pPr>
          </w:p>
        </w:tc>
        <w:tc>
          <w:tcPr>
            <w:tcW w:w="1800" w:type="dxa"/>
            <w:vAlign w:val="bottom"/>
            <w:tcBorders>
              <w:top w:val="single" w:sz="8" w:color="EEEEEE"/>
              <w:bottom w:val="single" w:sz="8" w:color="EEEEEE"/>
            </w:tcBorders>
            <w:shd w:val="clear" w:color="auto" w:fill="EEEEEE"/>
          </w:tcPr>
          <w:p>
            <w:pPr>
              <w:spacing w:after="0"/>
              <w:rPr>
                <w:sz w:val="20"/>
                <w:szCs w:val="20"/>
                <w:color w:val="auto"/>
              </w:rPr>
            </w:pPr>
          </w:p>
        </w:tc>
        <w:tc>
          <w:tcPr>
            <w:tcW w:w="140" w:type="dxa"/>
            <w:vAlign w:val="bottom"/>
            <w:tcBorders>
              <w:top w:val="single" w:sz="8" w:color="EEEEEE"/>
              <w:bottom w:val="single" w:sz="8" w:color="EEEEEE"/>
            </w:tcBorders>
            <w:shd w:val="clear" w:color="auto" w:fill="EEEEEE"/>
          </w:tcPr>
          <w:p>
            <w:pPr>
              <w:spacing w:after="0"/>
              <w:rPr>
                <w:sz w:val="20"/>
                <w:szCs w:val="20"/>
                <w:color w:val="auto"/>
              </w:rPr>
            </w:pPr>
          </w:p>
        </w:tc>
        <w:tc>
          <w:tcPr>
            <w:tcW w:w="280" w:type="dxa"/>
            <w:vAlign w:val="bottom"/>
            <w:tcBorders>
              <w:top w:val="single" w:sz="8" w:color="EEEEEE"/>
              <w:bottom w:val="single" w:sz="8" w:color="EEEEEE"/>
            </w:tcBorders>
            <w:shd w:val="clear" w:color="auto" w:fill="EEEEEE"/>
          </w:tcPr>
          <w:p>
            <w:pPr>
              <w:spacing w:after="0"/>
              <w:rPr>
                <w:sz w:val="20"/>
                <w:szCs w:val="20"/>
                <w:color w:val="auto"/>
              </w:rPr>
            </w:pPr>
          </w:p>
        </w:tc>
        <w:tc>
          <w:tcPr>
            <w:tcW w:w="160" w:type="dxa"/>
            <w:vAlign w:val="bottom"/>
            <w:tcBorders>
              <w:top w:val="single" w:sz="8" w:color="EEEEEE"/>
              <w:bottom w:val="single" w:sz="8" w:color="EEEEEE"/>
            </w:tcBorders>
            <w:shd w:val="clear" w:color="auto" w:fill="EEEEEE"/>
          </w:tcPr>
          <w:p>
            <w:pPr>
              <w:spacing w:after="0"/>
              <w:rPr>
                <w:sz w:val="20"/>
                <w:szCs w:val="20"/>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1,100,977</w:t>
            </w:r>
          </w:p>
        </w:tc>
        <w:tc>
          <w:tcPr>
            <w:tcW w:w="340" w:type="dxa"/>
            <w:vAlign w:val="bottom"/>
            <w:tcBorders>
              <w:top w:val="single" w:sz="8" w:color="EEEEEE"/>
              <w:bottom w:val="single" w:sz="8" w:color="EEEEEE"/>
            </w:tcBorders>
            <w:shd w:val="clear" w:color="auto" w:fill="EEEEEE"/>
          </w:tcPr>
          <w:p>
            <w:pPr>
              <w:spacing w:after="0"/>
              <w:rPr>
                <w:sz w:val="20"/>
                <w:szCs w:val="20"/>
                <w:color w:val="auto"/>
              </w:rPr>
            </w:pPr>
          </w:p>
        </w:tc>
        <w:tc>
          <w:tcPr>
            <w:tcW w:w="240" w:type="dxa"/>
            <w:vAlign w:val="bottom"/>
            <w:tcBorders>
              <w:top w:val="single" w:sz="8" w:color="auto"/>
              <w:bottom w:val="single" w:sz="8" w:color="EEEEEE"/>
            </w:tcBorders>
            <w:shd w:val="clear" w:color="auto" w:fill="EEEEEE"/>
          </w:tcPr>
          <w:p>
            <w:pPr>
              <w:spacing w:after="0"/>
              <w:rPr>
                <w:sz w:val="20"/>
                <w:szCs w:val="20"/>
                <w:color w:val="auto"/>
              </w:rPr>
            </w:pPr>
          </w:p>
        </w:tc>
        <w:tc>
          <w:tcPr>
            <w:tcW w:w="92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60,462</w:t>
            </w:r>
          </w:p>
        </w:tc>
        <w:tc>
          <w:tcPr>
            <w:tcW w:w="120" w:type="dxa"/>
            <w:vAlign w:val="bottom"/>
            <w:tcBorders>
              <w:top w:val="single" w:sz="8" w:color="EEEEEE"/>
              <w:bottom w:val="single" w:sz="8" w:color="EEEEEE"/>
            </w:tcBorders>
            <w:shd w:val="clear" w:color="auto" w:fill="EEEEEE"/>
          </w:tcPr>
          <w:p>
            <w:pPr>
              <w:spacing w:after="0"/>
              <w:rPr>
                <w:sz w:val="20"/>
                <w:szCs w:val="20"/>
                <w:color w:val="auto"/>
              </w:rPr>
            </w:pPr>
          </w:p>
        </w:tc>
        <w:tc>
          <w:tcPr>
            <w:tcW w:w="1720" w:type="dxa"/>
            <w:vAlign w:val="bottom"/>
            <w:tcBorders>
              <w:top w:val="single" w:sz="8" w:color="EEEEEE"/>
              <w:bottom w:val="single" w:sz="8" w:color="EEEEEE"/>
            </w:tcBorders>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22.0%</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781,055</w:t>
            </w:r>
          </w:p>
        </w:tc>
        <w:tc>
          <w:tcPr>
            <w:tcW w:w="320" w:type="dxa"/>
            <w:vAlign w:val="bottom"/>
            <w:tcBorders>
              <w:top w:val="single" w:sz="8" w:color="EEEEEE"/>
              <w:bottom w:val="single" w:sz="8" w:color="EEEEEE"/>
            </w:tcBorders>
            <w:shd w:val="clear" w:color="auto" w:fill="EEEEEE"/>
          </w:tcPr>
          <w:p>
            <w:pPr>
              <w:spacing w:after="0"/>
              <w:rPr>
                <w:sz w:val="20"/>
                <w:szCs w:val="20"/>
                <w:color w:val="auto"/>
              </w:rPr>
            </w:pPr>
          </w:p>
        </w:tc>
        <w:tc>
          <w:tcPr>
            <w:tcW w:w="220" w:type="dxa"/>
            <w:vAlign w:val="bottom"/>
            <w:tcBorders>
              <w:top w:val="single" w:sz="8" w:color="auto"/>
              <w:bottom w:val="single" w:sz="8" w:color="EEEEEE"/>
            </w:tcBorders>
            <w:shd w:val="clear" w:color="auto" w:fill="EEEEEE"/>
          </w:tcPr>
          <w:p>
            <w:pPr>
              <w:spacing w:after="0"/>
              <w:rPr>
                <w:sz w:val="20"/>
                <w:szCs w:val="20"/>
                <w:color w:val="auto"/>
              </w:rPr>
            </w:pPr>
          </w:p>
        </w:tc>
        <w:tc>
          <w:tcPr>
            <w:tcW w:w="92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45,053</w:t>
            </w:r>
          </w:p>
        </w:tc>
        <w:tc>
          <w:tcPr>
            <w:tcW w:w="320" w:type="dxa"/>
            <w:vAlign w:val="bottom"/>
            <w:tcBorders>
              <w:top w:val="single" w:sz="8" w:color="EEEEEE"/>
              <w:bottom w:val="single" w:sz="8" w:color="EEEEEE"/>
            </w:tcBorders>
            <w:shd w:val="clear" w:color="auto" w:fill="EEEEEE"/>
          </w:tcPr>
          <w:p>
            <w:pPr>
              <w:spacing w:after="0"/>
              <w:rPr>
                <w:sz w:val="20"/>
                <w:szCs w:val="20"/>
                <w:color w:val="auto"/>
              </w:rPr>
            </w:pPr>
          </w:p>
        </w:tc>
        <w:tc>
          <w:tcPr>
            <w:tcW w:w="124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60" w:type="dxa"/>
            <w:vAlign w:val="bottom"/>
            <w:gridSpan w:val="5"/>
            <w:shd w:val="clear" w:color="auto" w:fill="EEEEEE"/>
          </w:tcPr>
          <w:p>
            <w:pPr>
              <w:jc w:val="center"/>
              <w:ind w:right="6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9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1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00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9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1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9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9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55,466</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1,447</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10.4%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35,006</w:t>
            </w: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2,179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29,182</w:t>
            </w:r>
          </w:p>
        </w:tc>
        <w:tc>
          <w:tcPr>
            <w:tcW w:w="2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1,079</w:t>
            </w:r>
          </w:p>
        </w:tc>
        <w:tc>
          <w:tcPr>
            <w:tcW w:w="17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14,030</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731</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tcPr>
          <w:p>
            <w:pPr>
              <w:spacing w:after="0" w:line="201" w:lineRule="exact"/>
              <w:rPr>
                <w:sz w:val="20"/>
                <w:szCs w:val="20"/>
                <w:color w:val="auto"/>
              </w:rPr>
            </w:pPr>
            <w:r>
              <w:rPr>
                <w:rFonts w:ascii="Arial" w:cs="Arial" w:eastAsia="Arial" w:hAnsi="Arial"/>
                <w:sz w:val="18"/>
                <w:szCs w:val="18"/>
                <w:color w:val="auto"/>
              </w:rPr>
              <w:t>Debt secured by receivables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5"/>
          </w:tcPr>
          <w:p>
            <w:pPr>
              <w:ind w:left="180"/>
              <w:spacing w:after="0"/>
              <w:rPr>
                <w:sz w:val="20"/>
                <w:szCs w:val="20"/>
                <w:color w:val="auto"/>
              </w:rPr>
            </w:pPr>
            <w:r>
              <w:rPr>
                <w:rFonts w:ascii="Arial" w:cs="Arial" w:eastAsia="Arial" w:hAnsi="Arial"/>
                <w:sz w:val="18"/>
                <w:szCs w:val="18"/>
                <w:color w:val="auto"/>
              </w:rPr>
              <w:t>measured at fair value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19,186</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623</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85,713</w:t>
            </w:r>
          </w:p>
        </w:tc>
        <w:tc>
          <w:tcPr>
            <w:tcW w:w="2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3,275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989,285</w:t>
            </w:r>
          </w:p>
        </w:tc>
        <w:tc>
          <w:tcPr>
            <w:tcW w:w="2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8,357</w:t>
            </w:r>
          </w:p>
        </w:tc>
        <w:tc>
          <w:tcPr>
            <w:tcW w:w="17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660,659</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9,398</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w w:val="93"/>
              </w:rPr>
              <w:t>Senior secured debt, related party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32,431</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1,599</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54,205</w:t>
            </w: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3,077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21,170</w:t>
            </w:r>
          </w:p>
        </w:tc>
        <w:tc>
          <w:tcPr>
            <w:tcW w:w="3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748</w:t>
            </w:r>
          </w:p>
        </w:tc>
        <w:tc>
          <w:tcPr>
            <w:tcW w:w="17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21,431</w:t>
            </w:r>
          </w:p>
        </w:tc>
        <w:tc>
          <w:tcPr>
            <w:tcW w:w="22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900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1,146,720</w:t>
            </w:r>
          </w:p>
        </w:tc>
        <w:tc>
          <w:tcPr>
            <w:tcW w:w="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13,853</w:t>
            </w:r>
          </w:p>
        </w:tc>
        <w:tc>
          <w:tcPr>
            <w:tcW w:w="120" w:type="dxa"/>
            <w:vAlign w:val="bottom"/>
          </w:tcPr>
          <w:p>
            <w:pPr>
              <w:spacing w:after="0"/>
              <w:rPr>
                <w:sz w:val="20"/>
                <w:szCs w:val="20"/>
                <w:color w:val="auto"/>
              </w:rPr>
            </w:pP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871,044</w:t>
            </w: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19,560</w:t>
            </w: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8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16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60" w:type="dxa"/>
            <w:vAlign w:val="bottom"/>
            <w:tcBorders>
              <w:bottom w:val="single" w:sz="8" w:color="EEEEEE"/>
            </w:tcBorders>
            <w:shd w:val="clear" w:color="auto" w:fill="EEEEEE"/>
          </w:tcPr>
          <w:p>
            <w:pPr>
              <w:spacing w:after="0"/>
              <w:rPr>
                <w:sz w:val="18"/>
                <w:szCs w:val="18"/>
                <w:color w:val="auto"/>
              </w:rPr>
            </w:pPr>
          </w:p>
        </w:tc>
        <w:tc>
          <w:tcPr>
            <w:tcW w:w="160" w:type="dxa"/>
            <w:vAlign w:val="bottom"/>
            <w:tcBorders>
              <w:bottom w:val="single" w:sz="8" w:color="EEEEEE"/>
            </w:tcBorders>
            <w:shd w:val="clear" w:color="auto" w:fill="EEEEEE"/>
          </w:tcPr>
          <w:p>
            <w:pPr>
              <w:spacing w:after="0"/>
              <w:rPr>
                <w:sz w:val="18"/>
                <w:szCs w:val="18"/>
                <w:color w:val="auto"/>
              </w:rPr>
            </w:pPr>
          </w:p>
        </w:tc>
        <w:tc>
          <w:tcPr>
            <w:tcW w:w="1020" w:type="dxa"/>
            <w:vAlign w:val="bottom"/>
            <w:tcBorders>
              <w:bottom w:val="single" w:sz="8" w:color="EEEEEE"/>
            </w:tcBorders>
            <w:shd w:val="clear" w:color="auto" w:fill="EEEEEE"/>
          </w:tcPr>
          <w:p>
            <w:pPr>
              <w:spacing w:after="0"/>
              <w:rPr>
                <w:sz w:val="18"/>
                <w:szCs w:val="18"/>
                <w:color w:val="auto"/>
              </w:rPr>
            </w:pPr>
          </w:p>
        </w:tc>
        <w:tc>
          <w:tcPr>
            <w:tcW w:w="340" w:type="dxa"/>
            <w:vAlign w:val="bottom"/>
            <w:tcBorders>
              <w:bottom w:val="single" w:sz="8" w:color="EEEEEE"/>
            </w:tcBorders>
            <w:shd w:val="clear" w:color="auto" w:fill="EEEEEE"/>
          </w:tcPr>
          <w:p>
            <w:pPr>
              <w:spacing w:after="0"/>
              <w:rPr>
                <w:sz w:val="18"/>
                <w:szCs w:val="18"/>
                <w:color w:val="auto"/>
              </w:rPr>
            </w:pPr>
          </w:p>
        </w:tc>
        <w:tc>
          <w:tcPr>
            <w:tcW w:w="240" w:type="dxa"/>
            <w:vAlign w:val="bottom"/>
            <w:tcBorders>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46,609</w:t>
            </w:r>
          </w:p>
        </w:tc>
        <w:tc>
          <w:tcPr>
            <w:tcW w:w="120" w:type="dxa"/>
            <w:vAlign w:val="bottom"/>
            <w:tcBorders>
              <w:bottom w:val="single" w:sz="8" w:color="EEEEEE"/>
            </w:tcBorders>
            <w:shd w:val="clear" w:color="auto" w:fill="EEEEEE"/>
          </w:tcPr>
          <w:p>
            <w:pPr>
              <w:spacing w:after="0"/>
              <w:rPr>
                <w:sz w:val="18"/>
                <w:szCs w:val="18"/>
                <w:color w:val="auto"/>
              </w:rPr>
            </w:pPr>
          </w:p>
        </w:tc>
        <w:tc>
          <w:tcPr>
            <w:tcW w:w="240" w:type="dxa"/>
            <w:vAlign w:val="bottom"/>
            <w:tcBorders>
              <w:bottom w:val="single" w:sz="8" w:color="EEEEEE"/>
            </w:tcBorders>
            <w:shd w:val="clear" w:color="auto" w:fill="EEEEEE"/>
          </w:tcPr>
          <w:p>
            <w:pPr>
              <w:spacing w:after="0"/>
              <w:rPr>
                <w:sz w:val="18"/>
                <w:szCs w:val="18"/>
                <w:color w:val="auto"/>
              </w:rPr>
            </w:pPr>
          </w:p>
        </w:tc>
        <w:tc>
          <w:tcPr>
            <w:tcW w:w="1160" w:type="dxa"/>
            <w:vAlign w:val="bottom"/>
            <w:tcBorders>
              <w:bottom w:val="single" w:sz="8" w:color="EEEEEE"/>
            </w:tcBorders>
            <w:shd w:val="clear" w:color="auto" w:fill="EEEEEE"/>
          </w:tcPr>
          <w:p>
            <w:pPr>
              <w:spacing w:after="0"/>
              <w:rPr>
                <w:sz w:val="18"/>
                <w:szCs w:val="18"/>
                <w:color w:val="auto"/>
              </w:rPr>
            </w:pPr>
          </w:p>
        </w:tc>
        <w:tc>
          <w:tcPr>
            <w:tcW w:w="320" w:type="dxa"/>
            <w:vAlign w:val="bottom"/>
            <w:tcBorders>
              <w:bottom w:val="single" w:sz="8" w:color="EEEEEE"/>
            </w:tcBorders>
            <w:shd w:val="clear" w:color="auto" w:fill="EEEEEE"/>
          </w:tcPr>
          <w:p>
            <w:pPr>
              <w:spacing w:after="0"/>
              <w:rPr>
                <w:sz w:val="18"/>
                <w:szCs w:val="18"/>
                <w:color w:val="auto"/>
              </w:rPr>
            </w:pPr>
          </w:p>
        </w:tc>
        <w:tc>
          <w:tcPr>
            <w:tcW w:w="140" w:type="dxa"/>
            <w:vAlign w:val="bottom"/>
            <w:tcBorders>
              <w:bottom w:val="single" w:sz="8" w:color="EEEEEE"/>
            </w:tcBorders>
            <w:shd w:val="clear" w:color="auto" w:fill="EEEEEE"/>
          </w:tcPr>
          <w:p>
            <w:pPr>
              <w:spacing w:after="0"/>
              <w:rPr>
                <w:sz w:val="18"/>
                <w:szCs w:val="18"/>
                <w:color w:val="auto"/>
              </w:rPr>
            </w:pPr>
          </w:p>
        </w:tc>
        <w:tc>
          <w:tcPr>
            <w:tcW w:w="1000" w:type="dxa"/>
            <w:vAlign w:val="bottom"/>
            <w:tcBorders>
              <w:bottom w:val="single" w:sz="8" w:color="EEEEEE"/>
            </w:tcBorders>
            <w:shd w:val="clear" w:color="auto" w:fill="EEEEEE"/>
          </w:tcPr>
          <w:p>
            <w:pPr>
              <w:spacing w:after="0"/>
              <w:rPr>
                <w:sz w:val="18"/>
                <w:szCs w:val="18"/>
                <w:color w:val="auto"/>
              </w:rPr>
            </w:pPr>
          </w:p>
        </w:tc>
        <w:tc>
          <w:tcPr>
            <w:tcW w:w="320" w:type="dxa"/>
            <w:vAlign w:val="bottom"/>
            <w:tcBorders>
              <w:bottom w:val="single" w:sz="8" w:color="EEEEEE"/>
            </w:tcBorders>
            <w:shd w:val="clear" w:color="auto" w:fill="EEEEEE"/>
          </w:tcPr>
          <w:p>
            <w:pPr>
              <w:spacing w:after="0"/>
              <w:rPr>
                <w:sz w:val="18"/>
                <w:szCs w:val="18"/>
                <w:color w:val="auto"/>
              </w:rPr>
            </w:pPr>
          </w:p>
        </w:tc>
        <w:tc>
          <w:tcPr>
            <w:tcW w:w="220" w:type="dxa"/>
            <w:vAlign w:val="bottom"/>
            <w:tcBorders>
              <w:bottom w:val="single" w:sz="8" w:color="auto"/>
            </w:tcBorders>
            <w:shd w:val="clear" w:color="auto" w:fill="EEEEEE"/>
          </w:tcPr>
          <w:p>
            <w:pPr>
              <w:jc w:val="right"/>
              <w:ind w:right="3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25,493</w:t>
            </w:r>
          </w:p>
        </w:tc>
        <w:tc>
          <w:tcPr>
            <w:tcW w:w="320" w:type="dxa"/>
            <w:vAlign w:val="bottom"/>
            <w:tcBorders>
              <w:bottom w:val="single" w:sz="8" w:color="EEEEEE"/>
            </w:tcBorders>
            <w:shd w:val="clear" w:color="auto" w:fill="EEEEEE"/>
          </w:tcPr>
          <w:p>
            <w:pPr>
              <w:spacing w:after="0"/>
              <w:rPr>
                <w:sz w:val="18"/>
                <w:szCs w:val="18"/>
                <w:color w:val="auto"/>
              </w:rPr>
            </w:pPr>
          </w:p>
        </w:tc>
        <w:tc>
          <w:tcPr>
            <w:tcW w:w="1140" w:type="dxa"/>
            <w:vAlign w:val="bottom"/>
            <w:tcBorders>
              <w:bottom w:val="single" w:sz="8" w:color="EEEEEE"/>
            </w:tcBorders>
            <w:shd w:val="clear" w:color="auto" w:fill="EEEEEE"/>
          </w:tcPr>
          <w:p>
            <w:pPr>
              <w:spacing w:after="0"/>
              <w:rPr>
                <w:sz w:val="18"/>
                <w:szCs w:val="18"/>
                <w:color w:val="auto"/>
              </w:rPr>
            </w:pPr>
          </w:p>
        </w:tc>
        <w:tc>
          <w:tcPr>
            <w:tcW w:w="100" w:type="dxa"/>
            <w:vAlign w:val="bottom"/>
            <w:tcBorders>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gridSpan w:val="6"/>
            <w:vMerge w:val="restart"/>
          </w:tcPr>
          <w:p>
            <w:pPr>
              <w:spacing w:after="0"/>
              <w:rPr>
                <w:sz w:val="20"/>
                <w:szCs w:val="20"/>
                <w:color w:val="auto"/>
              </w:rPr>
            </w:pPr>
            <w:r>
              <w:rPr>
                <w:rFonts w:ascii="Arial" w:cs="Arial" w:eastAsia="Arial" w:hAnsi="Arial"/>
                <w:sz w:val="18"/>
                <w:szCs w:val="18"/>
                <w:color w:val="auto"/>
              </w:rPr>
              <w:t>Net interest yield (3)</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line="20" w:lineRule="exact"/>
              <w:rPr>
                <w:sz w:val="1"/>
                <w:szCs w:val="1"/>
                <w:color w:val="auto"/>
              </w:rPr>
            </w:pPr>
          </w:p>
        </w:tc>
      </w:tr>
      <w:tr>
        <w:trPr>
          <w:trHeight w:val="197"/>
        </w:trPr>
        <w:tc>
          <w:tcPr>
            <w:tcW w:w="2580" w:type="dxa"/>
            <w:vAlign w:val="bottom"/>
            <w:gridSpan w:val="6"/>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7"/>
              </w:rPr>
              <w:t>Ratio of average interest earning</w:t>
            </w: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assets to average interest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bearing liabilities</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96%</w:t>
            </w:r>
          </w:p>
        </w:tc>
        <w:tc>
          <w:tcPr>
            <w:tcW w:w="24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8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91"/>
              </w:rPr>
              <w:t>Three Months Ended September 30, 2013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7"/>
          </w:tcPr>
          <w:p>
            <w:pPr>
              <w:jc w:val="center"/>
              <w:ind w:left="970"/>
              <w:spacing w:after="0"/>
              <w:rPr>
                <w:sz w:val="20"/>
                <w:szCs w:val="20"/>
                <w:color w:val="auto"/>
              </w:rPr>
            </w:pPr>
            <w:r>
              <w:rPr>
                <w:rFonts w:ascii="Arial" w:cs="Arial" w:eastAsia="Arial" w:hAnsi="Arial"/>
                <w:sz w:val="18"/>
                <w:szCs w:val="18"/>
                <w:b w:val="1"/>
                <w:bCs w:val="1"/>
                <w:color w:val="auto"/>
                <w:w w:val="90"/>
              </w:rPr>
              <w:t>Compared to September 30, 2012</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jc w:val="right"/>
              <w:ind w:right="960"/>
              <w:spacing w:after="0" w:line="205"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7"/>
                <w:szCs w:val="17"/>
                <w:color w:val="auto"/>
              </w:rPr>
            </w:pPr>
          </w:p>
        </w:tc>
        <w:tc>
          <w:tcPr>
            <w:tcW w:w="1640" w:type="dxa"/>
            <w:vAlign w:val="bottom"/>
            <w:gridSpan w:val="2"/>
          </w:tcPr>
          <w:p>
            <w:pPr>
              <w:jc w:val="right"/>
              <w:ind w:right="520"/>
              <w:spacing w:after="0" w:line="205" w:lineRule="exact"/>
              <w:rPr>
                <w:sz w:val="20"/>
                <w:szCs w:val="20"/>
                <w:color w:val="auto"/>
              </w:rPr>
            </w:pPr>
            <w:r>
              <w:rPr>
                <w:rFonts w:ascii="Arial" w:cs="Arial" w:eastAsia="Arial" w:hAnsi="Arial"/>
                <w:sz w:val="18"/>
                <w:szCs w:val="18"/>
                <w:b w:val="1"/>
                <w:bCs w:val="1"/>
                <w:color w:val="auto"/>
              </w:rPr>
              <w:t>Change Due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7"/>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 Volume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960" w:type="dxa"/>
            <w:vAlign w:val="bottom"/>
            <w:gridSpan w:val="4"/>
            <w:vMerge w:val="restart"/>
          </w:tcPr>
          <w:p>
            <w:pPr>
              <w:jc w:val="center"/>
              <w:ind w:right="900"/>
              <w:spacing w:after="0"/>
              <w:rPr>
                <w:sz w:val="20"/>
                <w:szCs w:val="20"/>
                <w:color w:val="auto"/>
              </w:rPr>
            </w:pPr>
            <w:r>
              <w:rPr>
                <w:rFonts w:ascii="Arial" w:cs="Arial" w:eastAsia="Arial" w:hAnsi="Arial"/>
                <w:sz w:val="18"/>
                <w:szCs w:val="18"/>
                <w:b w:val="1"/>
                <w:bCs w:val="1"/>
                <w:color w:val="auto"/>
                <w:w w:val="88"/>
              </w:rPr>
              <w:t>Interest Earning Assets</w:t>
            </w:r>
          </w:p>
        </w:tc>
        <w:tc>
          <w:tcPr>
            <w:tcW w:w="1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960" w:type="dxa"/>
            <w:vAlign w:val="bottom"/>
            <w:gridSpan w:val="4"/>
            <w:vMerge w:val="continue"/>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4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19,217</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22,138</w:t>
            </w:r>
          </w:p>
        </w:tc>
        <w:tc>
          <w:tcPr>
            <w:tcW w:w="360" w:type="dxa"/>
            <w:vAlign w:val="bottom"/>
            <w:gridSpan w:val="2"/>
            <w:shd w:val="clear" w:color="auto" w:fill="EEEEEE"/>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Finance receivables at measured fair value</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(3,808)</w:t>
            </w:r>
          </w:p>
        </w:tc>
        <w:tc>
          <w:tcPr>
            <w:tcW w:w="16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(3,579)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15,409</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18,559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gridSpan w:val="5"/>
          </w:tcPr>
          <w:p>
            <w:pPr>
              <w:jc w:val="center"/>
              <w:ind w:left="77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(732)</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1,274</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789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(2,652)</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(2,542)</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(1,041)</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4,675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(1,478)</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(1,236)</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(5,707)</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2,949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(8,656)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6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7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900" w:type="dxa"/>
            <w:vAlign w:val="bottom"/>
            <w:tcBorders>
              <w:bottom w:val="single" w:sz="8" w:color="EEEEEE"/>
            </w:tcBorders>
          </w:tcPr>
          <w:p>
            <w:pPr>
              <w:spacing w:after="0"/>
              <w:rPr>
                <w:sz w:val="19"/>
                <w:szCs w:val="19"/>
                <w:color w:val="auto"/>
              </w:rPr>
            </w:pPr>
          </w:p>
        </w:tc>
        <w:tc>
          <w:tcPr>
            <w:tcW w:w="11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10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21,116</w:t>
            </w:r>
          </w:p>
        </w:tc>
        <w:tc>
          <w:tcPr>
            <w:tcW w:w="3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15,610</w:t>
            </w:r>
          </w:p>
        </w:tc>
        <w:tc>
          <w:tcPr>
            <w:tcW w:w="2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30" w:name="page31"/>
    <w:bookmarkEnd w:id="30"/>
    <w:p>
      <w:pPr>
        <w:jc w:val="both"/>
        <w:ind w:firstLine="162"/>
        <w:spacing w:after="0" w:line="297" w:lineRule="auto"/>
        <w:rPr>
          <w:sz w:val="20"/>
          <w:szCs w:val="20"/>
          <w:color w:val="auto"/>
        </w:rPr>
      </w:pPr>
      <w:r>
        <w:rPr>
          <w:rFonts w:ascii="Arial" w:cs="Arial" w:eastAsia="Arial" w:hAnsi="Arial"/>
          <w:sz w:val="16"/>
          <w:szCs w:val="16"/>
          <w:color w:val="auto"/>
        </w:rPr>
        <w:t>Provision for credit losses was $20.2 million for the three months ended September 30, 2013, an increase of $10.8 million, or 113.6% compared to the prior year and represented 37.8%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Consequently, the increase in provision expense is the result of the increase in contract purchases during the last year and the larger portfolio owned by our consolidated subsidiaries compared to the prior year.</w:t>
      </w:r>
    </w:p>
    <w:p>
      <w:pPr>
        <w:spacing w:after="0" w:line="15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$472,000, or 16.2%, to $3.4 million during the three months ended September 30, 2013, compared to $2.9 million in the prior year period, and represented 6.3% of total operating expenses. For the three months ended September 30, 2013, we purchased 13,233 contracts representing $206.8 million in receivables compared to 9,367 contracts representing $143.1 million in receivables in the prior year.</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Occupancy expenses decreased by $28,000 or 4.0%, to $695,000 compared to $723,000 in the previous year and represented 1.3% of total operating expenses.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and amortization expenses decreased by $30,000 or 25.4%, to $88,000 compared to $118,000 in the previous year and represented 0.2% of total operating expenses.</w:t>
      </w:r>
    </w:p>
    <w:p>
      <w:pPr>
        <w:spacing w:after="0" w:line="170"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For the three months ended September 30, 2013, we recorded income tax expense of $4.7 million, representing a 44.4% effective income tax rate. In the prior year period, we recorded no income tax expense but we reduced our valuation allowance for our deferred tax assets by $1.1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nine months ended September 30, 2013 with the nine months ended September 30, 2012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In April 2013, we repurchased the outstanding Class D notes from our first 2008 securitization for a cash payment and a new note. We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exercised our “clean-up call” option and repurchased the remaining collateral from the related securitization trust. The aggregate value of our consideration for the Class D notes was $10.9 million less than our carrying value of the Class D notes at the time of the repurchase. As a result of the repurchase of the Class D notes and the termination of the securitization trust, we realized a gain of $10.9 million, or 5.8% of our total revenues of $189.1 million for the nine months ended September 30, 2013.</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2013, excluding the gain on cancellation of debt of $10.9 million, our revenues were $178.2 million, an increase of $41.6 million, or 30.5%, from the prior year revenue of $136.6 million. The primary reason for the increase in revenues is an increase in interest income. Interest income for the nine months ended September 30, 2013 increased $40.2 million, or 31.6%, to $167.4 million from $127.2 million in the prior year. The primary reason for the increase in interest income is the increase in finance receivables held by consolidated subsidiaries, which increased from $807.1 million at September 30, 2012 to $1,154.2 million at September 30, 2013. The table below shows the average balances of our portfolio held by consolidated subsidiaries for the nine months ended September 30, 2013 and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8"/>
              </w:rPr>
              <w:t>Average Balances for the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1"/>
              </w:rPr>
              <w:t>Nine Months Ended</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5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gridSpan w:val="2"/>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0"/>
              </w:rPr>
              <w:t>September 30, 2013</w:t>
            </w:r>
          </w:p>
        </w:tc>
        <w:tc>
          <w:tcPr>
            <w:tcW w:w="16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0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9"/>
              </w:rPr>
              <w:t>Finance Receivables Owned by</w:t>
            </w: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gridSpan w:val="4"/>
          </w:tcPr>
          <w:p>
            <w:pPr>
              <w:jc w:val="center"/>
              <w:spacing w:after="0" w:line="191" w:lineRule="exact"/>
              <w:rPr>
                <w:sz w:val="20"/>
                <w:szCs w:val="20"/>
                <w:color w:val="auto"/>
              </w:rPr>
            </w:pPr>
            <w:r>
              <w:rPr>
                <w:rFonts w:ascii="Arial" w:cs="Arial" w:eastAsia="Arial" w:hAnsi="Arial"/>
                <w:sz w:val="18"/>
                <w:szCs w:val="18"/>
                <w:b w:val="1"/>
                <w:bCs w:val="1"/>
                <w:color w:val="auto"/>
                <w:w w:val="91"/>
              </w:rPr>
              <w:t>($ in millions)</w:t>
            </w:r>
          </w:p>
        </w:tc>
        <w:tc>
          <w:tcPr>
            <w:tcW w:w="120" w:type="dxa"/>
            <w:vAlign w:val="bottom"/>
            <w:gridSpan w:val="2"/>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Consolidated Subsidiaries</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CPS Originated Receivables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984.5</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634.6</w:t>
            </w:r>
          </w:p>
        </w:tc>
        <w:tc>
          <w:tcPr>
            <w:tcW w:w="10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Fireside</w:t>
            </w:r>
          </w:p>
        </w:tc>
        <w:tc>
          <w:tcPr>
            <w:tcW w:w="10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1,020.6</w:t>
            </w:r>
          </w:p>
        </w:tc>
        <w:tc>
          <w:tcPr>
            <w:tcW w:w="3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750.4</w:t>
            </w: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w w:val="89"/>
              </w:rPr>
              <w:t>31</w:t>
            </w: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1" w:name="page32"/>
    <w:bookmarkEnd w:id="31"/>
    <w:p>
      <w:pPr>
        <w:jc w:val="both"/>
        <w:ind w:firstLine="162"/>
        <w:spacing w:after="0" w:line="255" w:lineRule="auto"/>
        <w:rPr>
          <w:sz w:val="20"/>
          <w:szCs w:val="20"/>
          <w:color w:val="auto"/>
        </w:rPr>
      </w:pPr>
      <w:r>
        <w:rPr>
          <w:rFonts w:ascii="Arial" w:cs="Arial" w:eastAsia="Arial" w:hAnsi="Arial"/>
          <w:sz w:val="18"/>
          <w:szCs w:val="18"/>
          <w:color w:val="auto"/>
        </w:rPr>
        <w:t>Servicing fees totaling $2.5 million for the nine months ended September 30, 2013 increased $587,000, or 30.9%, from $1.9 million in the prior year. We earn base servicing fees on three portfolios that are decreasing in size as we receive customer payments and, consequently, base servicing fees are decreasing also. On one of those portfolios, however, we recently began earning an incentive servicing fee. Such incentive servicing fee was $1.3 million for the nine months ended September 30, 2013 and more than offset the decrease of $700,000 in base servicing fees. We did not earn any incentive servicing fee in the prior year’s period. As of September 30, 2013 and 2012, our managed portfolio owned by consolidated vs. non-consolidated subsidiaries and other third parties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89"/>
              </w:rPr>
              <w:t>September 30, 2013</w:t>
            </w: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88"/>
              </w:rPr>
              <w:t>September 30, 2012</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Total Managed Portfolio</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CPS Originated Receivables</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1,132.5</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97.1%</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726.8</w:t>
            </w: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Fireside</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21.7</w:t>
            </w: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80.3</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22.4</w:t>
            </w: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6.6</w:t>
            </w:r>
          </w:p>
        </w:tc>
        <w:tc>
          <w:tcPr>
            <w:tcW w:w="58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15.4</w:t>
            </w: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6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1,166.9</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100.0%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844.9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248"/>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9" w:lineRule="exact"/>
        <w:rPr>
          <w:rFonts w:ascii="Arial" w:cs="Arial" w:eastAsia="Arial" w:hAnsi="Arial"/>
          <w:sz w:val="18"/>
          <w:szCs w:val="18"/>
          <w:i w:val="1"/>
          <w:iCs w:val="1"/>
          <w:color w:val="auto"/>
        </w:rPr>
      </w:pPr>
    </w:p>
    <w:p>
      <w:pPr>
        <w:ind w:left="340" w:hanging="248"/>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At September 30, 2013, we were generating income and fees on a managed portfolio with an outstanding principal balance of $1,166.9 million (this amount includes $6.1 million of automobile contracts on which we earn servicing fees and own a residual interest and also includes another $6.6 million of automobile contracts on which we earn base and incentive servicing fees), compared to a managed portfolio with an outstanding principal balance of $844.9 million as of September 30, 2012. At September 30, 2013 and 2012, the managed portfolio composition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3"/>
          </w:tcPr>
          <w:p>
            <w:pPr>
              <w:ind w:left="800"/>
              <w:spacing w:after="0"/>
              <w:rPr>
                <w:sz w:val="20"/>
                <w:szCs w:val="20"/>
                <w:color w:val="auto"/>
              </w:rPr>
            </w:pPr>
            <w:r>
              <w:rPr>
                <w:rFonts w:ascii="Arial" w:cs="Arial" w:eastAsia="Arial" w:hAnsi="Arial"/>
                <w:sz w:val="18"/>
                <w:szCs w:val="18"/>
                <w:b w:val="1"/>
                <w:bCs w:val="1"/>
                <w:color w:val="auto"/>
                <w:w w:val="89"/>
              </w:rPr>
              <w:t>September 30, 2013</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gridSpan w:val="4"/>
          </w:tcPr>
          <w:p>
            <w:pPr>
              <w:ind w:left="660"/>
              <w:spacing w:after="0"/>
              <w:rPr>
                <w:sz w:val="20"/>
                <w:szCs w:val="20"/>
                <w:color w:val="auto"/>
              </w:rPr>
            </w:pPr>
            <w:r>
              <w:rPr>
                <w:rFonts w:ascii="Arial" w:cs="Arial" w:eastAsia="Arial" w:hAnsi="Arial"/>
                <w:sz w:val="18"/>
                <w:szCs w:val="18"/>
                <w:b w:val="1"/>
                <w:bCs w:val="1"/>
                <w:color w:val="auto"/>
              </w:rPr>
              <w:t>September 30, 2012</w:t>
            </w:r>
          </w:p>
        </w:tc>
        <w:tc>
          <w:tcPr>
            <w:tcW w:w="0" w:type="dxa"/>
            <w:vAlign w:val="bottom"/>
          </w:tcPr>
          <w:p>
            <w:pPr>
              <w:spacing w:after="0"/>
              <w:rPr>
                <w:sz w:val="1"/>
                <w:szCs w:val="1"/>
                <w:color w:val="auto"/>
              </w:rPr>
            </w:pPr>
          </w:p>
        </w:tc>
      </w:tr>
      <w:tr>
        <w:trPr>
          <w:trHeight w:val="223"/>
        </w:trPr>
        <w:tc>
          <w:tcPr>
            <w:tcW w:w="3900" w:type="dxa"/>
            <w:vAlign w:val="bottom"/>
            <w:vMerge w:val="restart"/>
          </w:tcPr>
          <w:p>
            <w:pPr>
              <w:ind w:left="1120"/>
              <w:spacing w:after="0"/>
              <w:rPr>
                <w:sz w:val="20"/>
                <w:szCs w:val="20"/>
                <w:color w:val="auto"/>
              </w:rPr>
            </w:pPr>
            <w:r>
              <w:rPr>
                <w:rFonts w:ascii="Arial" w:cs="Arial" w:eastAsia="Arial" w:hAnsi="Arial"/>
                <w:sz w:val="18"/>
                <w:szCs w:val="18"/>
                <w:b w:val="1"/>
                <w:bCs w:val="1"/>
                <w:color w:val="auto"/>
              </w:rPr>
              <w:t>Originating Entity</w:t>
            </w:r>
          </w:p>
        </w:tc>
        <w:tc>
          <w:tcPr>
            <w:tcW w:w="220" w:type="dxa"/>
            <w:vAlign w:val="bottom"/>
            <w:tcBorders>
              <w:top w:val="single" w:sz="8" w:color="auto"/>
              <w:bottom w:val="single" w:sz="8" w:color="auto"/>
            </w:tcBorders>
          </w:tcPr>
          <w:p>
            <w:pPr>
              <w:spacing w:after="0"/>
              <w:rPr>
                <w:sz w:val="19"/>
                <w:szCs w:val="19"/>
                <w:color w:val="auto"/>
              </w:rPr>
            </w:pPr>
          </w:p>
        </w:tc>
        <w:tc>
          <w:tcPr>
            <w:tcW w:w="2320" w:type="dxa"/>
            <w:vAlign w:val="bottom"/>
            <w:tcBorders>
              <w:top w:val="single" w:sz="8" w:color="auto"/>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 (2)</w:t>
            </w:r>
          </w:p>
        </w:tc>
        <w:tc>
          <w:tcPr>
            <w:tcW w:w="56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w w:val="92"/>
              </w:rPr>
              <w:t>Amount (1)</w:t>
            </w:r>
          </w:p>
        </w:tc>
        <w:tc>
          <w:tcPr>
            <w:tcW w:w="15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1,141.1</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97.8%</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748.8</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Fireside</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21.7</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80.3</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TFC</w:t>
            </w:r>
          </w:p>
        </w:tc>
        <w:tc>
          <w:tcPr>
            <w:tcW w:w="220" w:type="dxa"/>
            <w:vAlign w:val="bottom"/>
            <w:shd w:val="clear" w:color="auto" w:fill="EEEEEE"/>
          </w:tcPr>
          <w:p>
            <w:pPr>
              <w:spacing w:after="0"/>
              <w:rPr>
                <w:sz w:val="18"/>
                <w:szCs w:val="18"/>
                <w:color w:val="auto"/>
              </w:rPr>
            </w:pPr>
          </w:p>
        </w:tc>
        <w:tc>
          <w:tcPr>
            <w:tcW w:w="2320" w:type="dxa"/>
            <w:vAlign w:val="bottom"/>
            <w:gridSpan w:val="3"/>
            <w:shd w:val="clear" w:color="auto" w:fill="EEEEEE"/>
          </w:tcPr>
          <w:p>
            <w:pPr>
              <w:jc w:val="right"/>
              <w:ind w:right="94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0.4</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Third Party Portfolio</w:t>
            </w:r>
          </w:p>
        </w:tc>
        <w:tc>
          <w:tcPr>
            <w:tcW w:w="220" w:type="dxa"/>
            <w:vAlign w:val="bottom"/>
          </w:tcPr>
          <w:p>
            <w:pPr>
              <w:spacing w:after="0"/>
              <w:rPr>
                <w:sz w:val="19"/>
                <w:szCs w:val="19"/>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15.4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1,166.9</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8"/>
              </w:rPr>
              <w:t>100.0%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844.9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248"/>
        <w:spacing w:after="0"/>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9" w:lineRule="exact"/>
        <w:rPr>
          <w:rFonts w:ascii="Arial" w:cs="Arial" w:eastAsia="Arial" w:hAnsi="Arial"/>
          <w:sz w:val="18"/>
          <w:szCs w:val="18"/>
          <w:i w:val="1"/>
          <w:iCs w:val="1"/>
          <w:color w:val="auto"/>
        </w:rPr>
      </w:pPr>
    </w:p>
    <w:p>
      <w:pPr>
        <w:ind w:left="340" w:hanging="248"/>
        <w:spacing w:after="0"/>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Other income increased by $803,000 or 10.7%, to $8.3 million in the nine months ended September 30, 2013 from $7.5 million during the prior year. The increase includes an increase of $950,000 from fees associated with direct mail and other related products and services that we offer to our dealers and a net increase of $467,000 in the fair value of receivables and debt associated with the Fireside portfolio acquisition. These increases were partially offset by decreases in sales tax refunds of $102,000, and a decrease of $159,000 in recoveries on receivables from the 2002 acquisition of MFN Financial Corporation.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jc w:val="both"/>
        <w:ind w:firstLine="162"/>
        <w:spacing w:after="0" w:line="297"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provision for credit losses, interest expense, employee costs and general and administrative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During the nine months ended September 30, 2013, we recognized $9.7 million in contingent liability expenses to either record or increase the amounts we believe we may incur related to various pending litigation. The amount was allocated in part to a long running case we refer to as the Stanwich litigation, and also to more recent matters including two California class action suits where we are the defendant, and a governmental inquiry, in which the United States Federal Trade Commission (“FTC”) has informally proposed that the we refrain from certain allegedly unfair trade practices, and make restitutionary payments into a consumer relief fund.</w:t>
      </w:r>
    </w:p>
    <w:p>
      <w:pPr>
        <w:spacing w:after="0" w:line="18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comparison of our expenses for the nine months ended September 30, 2013 and 2012 excludes the impact of the $9.7 million contingent liability expense incurred in the nine months ended September 30, 2013.</w:t>
      </w:r>
    </w:p>
    <w:p>
      <w:pPr>
        <w:spacing w:after="0" w:line="170"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Total operating expenses, excluding the $9.7 million in contingent liability expense, were $153.9 million for the nine months ended September 30, 2013, compared to $132.0 million for the prior year, an increase of $21.8 million, or 16.6%. The increase is primarily due to the increase in the amount of new contracts we purchased, the resulting increase in our consolidated portfolio and associated servicing costs, and the related increase in our provision for credit losses. Increases in provision for credit losses and core operating expenses were partially offset by decreases in interest expense.</w:t>
      </w:r>
    </w:p>
    <w:p>
      <w:pPr>
        <w:spacing w:after="0" w:line="17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Employee costs increased by $5.8 million or 22.4%, to $31.7 million for the nine months ended September 30, 2013, representing 20.6% of total operating expenses, from $25.9 million for the prior year, or 19.6% of total operating expenses. Since 2010, we have added employees in our Originations and Marketing departments to accommodate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nine-month periods, ended September 30, 2013 and 2012: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September 30, 2013</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21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592.3</w:t>
            </w: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400.9</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38,339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26,180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21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1,166.9</w:t>
            </w: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844.9</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96,989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92,908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60" w:type="dxa"/>
            <w:vAlign w:val="bottom"/>
            <w:shd w:val="clear" w:color="auto" w:fill="EEEEEE"/>
          </w:tcPr>
          <w:p>
            <w:pPr>
              <w:spacing w:after="0"/>
              <w:rPr>
                <w:sz w:val="18"/>
                <w:szCs w:val="18"/>
                <w:color w:val="auto"/>
              </w:rPr>
            </w:pPr>
          </w:p>
        </w:tc>
        <w:tc>
          <w:tcPr>
            <w:tcW w:w="1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82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20" w:type="dxa"/>
            <w:vAlign w:val="bottom"/>
            <w:vMerge w:val="restart"/>
          </w:tcPr>
          <w:p>
            <w:pPr>
              <w:jc w:val="right"/>
              <w:ind w:right="750"/>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3" w:name="page34"/>
    <w:bookmarkEnd w:id="33"/>
    <w:p>
      <w:pPr>
        <w:jc w:val="both"/>
        <w:ind w:firstLine="162"/>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$12.3 million, an increase of $581,000, or 4.9%, compared to the previous year and represented 8.0% of total operating expenses.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Interest expense for the nine months ended September 30, 2013 decreased by $16.9 million to $44.8 million, or 27.4%, compared to $61.7 million in the previous year.</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Interest expense on the Fireside portfolio credit facility decreased by $9.9 million compared to the prior year period as the Fireside portfolio and the related debt have paid down to significantly lower levels over the last year.</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Interest on securitization trust debt decreased by $2.8 million in the nine months ended September 30, 2013 compared to the prior year. Although the outstanding amount of securitization trust debt increased to $1,094.6 million at September 30, 2013 compared to $792.5 million at September 30, 2012, the blended interest rates on term securitizations completed since 2012 are significantly less than the blended interest rates on securitization trust debt incurred prior to 2012.</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Interest expense on senior secured debt and subordinated debt decreased by $3.5 million. This is due primarily to the April 2013 repayment of $15.0 million of senior secured debt and to the reduction in the interest rate on the remaining senior secured debt from 16.0% to 13.0%. Interest expense on residual interest financing increased $541,000 in the nine months ended September 30, 2013 compared to the prior year. The increase is due to the establishment in April 2013 of a new $20 million residual interest financing. This was partially offset by the September 2013 repayment of the $13.8 million of indebtedness outstanding under the residual facility originally established in 2007.</w:t>
      </w:r>
    </w:p>
    <w:p>
      <w:pPr>
        <w:spacing w:after="0" w:line="18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Interest expense on warehouse debt decreased by $1.2 million for the nine months ended September 30, 2013 compared to the prior year. Although we increased our contract purchases to $592.3 million for the nine months ended September 30, 2013 compared to $400.9 million in the prior period, recently we have relied less on warehouse credit facilities and more on unrestricted cash balances to fund receivables prior to securitization.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ind w:left="18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nine-month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2012: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91"/>
              </w:rPr>
              <w:t>Nine Months Ended September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jc w:val="center"/>
              <w:ind w:right="420"/>
              <w:spacing w:after="0" w:line="191" w:lineRule="exact"/>
              <w:rPr>
                <w:sz w:val="20"/>
                <w:szCs w:val="20"/>
                <w:color w:val="auto"/>
              </w:rPr>
            </w:pPr>
            <w:r>
              <w:rPr>
                <w:rFonts w:ascii="Arial" w:cs="Arial" w:eastAsia="Arial" w:hAnsi="Arial"/>
                <w:sz w:val="18"/>
                <w:szCs w:val="18"/>
                <w:b w:val="1"/>
                <w:bCs w:val="1"/>
                <w:color w:val="auto"/>
                <w:w w:val="90"/>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vMerge w:val="restart"/>
          </w:tcPr>
          <w:p>
            <w:pPr>
              <w:jc w:val="center"/>
              <w:ind w:right="420"/>
              <w:spacing w:after="0"/>
              <w:rPr>
                <w:sz w:val="20"/>
                <w:szCs w:val="20"/>
                <w:color w:val="auto"/>
              </w:rPr>
            </w:pPr>
            <w:r>
              <w:rPr>
                <w:rFonts w:ascii="Arial" w:cs="Arial" w:eastAsia="Arial" w:hAnsi="Arial"/>
                <w:sz w:val="18"/>
                <w:szCs w:val="18"/>
                <w:b w:val="1"/>
                <w:bCs w:val="1"/>
                <w:color w:val="auto"/>
                <w:w w:val="89"/>
              </w:rPr>
              <w:t>Interest Earning Assets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Balance(1)</w:t>
            </w:r>
          </w:p>
        </w:tc>
        <w:tc>
          <w:tcPr>
            <w:tcW w:w="20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Balance(1)</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966,881</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162,100</w:t>
            </w:r>
          </w:p>
        </w:tc>
        <w:tc>
          <w:tcPr>
            <w:tcW w:w="17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625,942</w:t>
            </w:r>
          </w:p>
        </w:tc>
        <w:tc>
          <w:tcPr>
            <w:tcW w:w="180" w:type="dxa"/>
            <w:vAlign w:val="bottom"/>
            <w:shd w:val="clear" w:color="auto" w:fill="EEEEEE"/>
          </w:tcPr>
          <w:p>
            <w:pPr>
              <w:jc w:val="right"/>
              <w:ind w:right="1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108,628</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tcPr>
          <w:p>
            <w:pPr>
              <w:spacing w:after="0" w:line="201" w:lineRule="exact"/>
              <w:rPr>
                <w:sz w:val="20"/>
                <w:szCs w:val="20"/>
                <w:color w:val="auto"/>
              </w:rPr>
            </w:pPr>
            <w:r>
              <w:rPr>
                <w:rFonts w:ascii="Arial" w:cs="Arial" w:eastAsia="Arial" w:hAnsi="Arial"/>
                <w:sz w:val="18"/>
                <w:szCs w:val="18"/>
                <w:color w:val="auto"/>
                <w:w w:val="95"/>
              </w:rPr>
              <w:t>Finance receivables measured at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5"/>
          </w:tcPr>
          <w:p>
            <w:pPr>
              <w:ind w:left="18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36,110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5,326</w:t>
            </w:r>
          </w:p>
        </w:tc>
        <w:tc>
          <w:tcPr>
            <w:tcW w:w="17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115,856</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18,582</w:t>
            </w: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EEEEEE"/>
              <w:bottom w:val="single" w:sz="8" w:color="EEEEEE"/>
            </w:tcBorders>
            <w:shd w:val="clear" w:color="auto" w:fill="EEEEEE"/>
          </w:tcPr>
          <w:p>
            <w:pPr>
              <w:spacing w:after="0"/>
              <w:rPr>
                <w:sz w:val="20"/>
                <w:szCs w:val="20"/>
                <w:color w:val="auto"/>
              </w:rPr>
            </w:pPr>
          </w:p>
        </w:tc>
        <w:tc>
          <w:tcPr>
            <w:tcW w:w="120" w:type="dxa"/>
            <w:vAlign w:val="bottom"/>
            <w:tcBorders>
              <w:top w:val="single" w:sz="8" w:color="EEEEEE"/>
              <w:bottom w:val="single" w:sz="8" w:color="EEEEEE"/>
            </w:tcBorders>
            <w:shd w:val="clear" w:color="auto" w:fill="EEEEEE"/>
          </w:tcPr>
          <w:p>
            <w:pPr>
              <w:spacing w:after="0"/>
              <w:rPr>
                <w:sz w:val="20"/>
                <w:szCs w:val="20"/>
                <w:color w:val="auto"/>
              </w:rPr>
            </w:pPr>
          </w:p>
        </w:tc>
        <w:tc>
          <w:tcPr>
            <w:tcW w:w="1800" w:type="dxa"/>
            <w:vAlign w:val="bottom"/>
            <w:tcBorders>
              <w:top w:val="single" w:sz="8" w:color="EEEEEE"/>
              <w:bottom w:val="single" w:sz="8" w:color="EEEEEE"/>
            </w:tcBorders>
            <w:shd w:val="clear" w:color="auto" w:fill="EEEEEE"/>
          </w:tcPr>
          <w:p>
            <w:pPr>
              <w:spacing w:after="0"/>
              <w:rPr>
                <w:sz w:val="20"/>
                <w:szCs w:val="20"/>
                <w:color w:val="auto"/>
              </w:rPr>
            </w:pPr>
          </w:p>
        </w:tc>
        <w:tc>
          <w:tcPr>
            <w:tcW w:w="140" w:type="dxa"/>
            <w:vAlign w:val="bottom"/>
            <w:tcBorders>
              <w:top w:val="single" w:sz="8" w:color="EEEEEE"/>
              <w:bottom w:val="single" w:sz="8" w:color="EEEEEE"/>
            </w:tcBorders>
            <w:shd w:val="clear" w:color="auto" w:fill="EEEEEE"/>
          </w:tcPr>
          <w:p>
            <w:pPr>
              <w:spacing w:after="0"/>
              <w:rPr>
                <w:sz w:val="20"/>
                <w:szCs w:val="20"/>
                <w:color w:val="auto"/>
              </w:rPr>
            </w:pPr>
          </w:p>
        </w:tc>
        <w:tc>
          <w:tcPr>
            <w:tcW w:w="280" w:type="dxa"/>
            <w:vAlign w:val="bottom"/>
            <w:tcBorders>
              <w:top w:val="single" w:sz="8" w:color="EEEEEE"/>
              <w:bottom w:val="single" w:sz="8" w:color="EEEEEE"/>
            </w:tcBorders>
            <w:shd w:val="clear" w:color="auto" w:fill="EEEEEE"/>
          </w:tcPr>
          <w:p>
            <w:pPr>
              <w:spacing w:after="0"/>
              <w:rPr>
                <w:sz w:val="20"/>
                <w:szCs w:val="20"/>
                <w:color w:val="auto"/>
              </w:rPr>
            </w:pPr>
          </w:p>
        </w:tc>
        <w:tc>
          <w:tcPr>
            <w:tcW w:w="160" w:type="dxa"/>
            <w:vAlign w:val="bottom"/>
            <w:tcBorders>
              <w:top w:val="single" w:sz="8" w:color="EEEEEE"/>
              <w:bottom w:val="single" w:sz="8" w:color="EEEEEE"/>
            </w:tcBorders>
            <w:shd w:val="clear" w:color="auto" w:fill="EEEEEE"/>
          </w:tcPr>
          <w:p>
            <w:pPr>
              <w:spacing w:after="0"/>
              <w:rPr>
                <w:sz w:val="20"/>
                <w:szCs w:val="20"/>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1,002,991</w:t>
            </w:r>
          </w:p>
        </w:tc>
        <w:tc>
          <w:tcPr>
            <w:tcW w:w="340" w:type="dxa"/>
            <w:vAlign w:val="bottom"/>
            <w:tcBorders>
              <w:top w:val="single" w:sz="8" w:color="EEEEEE"/>
              <w:bottom w:val="single" w:sz="8" w:color="EEEEEE"/>
            </w:tcBorders>
            <w:shd w:val="clear" w:color="auto" w:fill="EEEEEE"/>
          </w:tcPr>
          <w:p>
            <w:pPr>
              <w:spacing w:after="0"/>
              <w:rPr>
                <w:sz w:val="20"/>
                <w:szCs w:val="20"/>
                <w:color w:val="auto"/>
              </w:rPr>
            </w:pPr>
          </w:p>
        </w:tc>
        <w:tc>
          <w:tcPr>
            <w:tcW w:w="200" w:type="dxa"/>
            <w:vAlign w:val="bottom"/>
            <w:tcBorders>
              <w:top w:val="single" w:sz="8" w:color="auto"/>
              <w:bottom w:val="single" w:sz="8" w:color="EEEEEE"/>
            </w:tcBorders>
            <w:shd w:val="clear" w:color="auto" w:fill="EEEEEE"/>
          </w:tcPr>
          <w:p>
            <w:pPr>
              <w:spacing w:after="0"/>
              <w:rPr>
                <w:sz w:val="20"/>
                <w:szCs w:val="20"/>
                <w:color w:val="auto"/>
              </w:rPr>
            </w:pPr>
          </w:p>
        </w:tc>
        <w:tc>
          <w:tcPr>
            <w:tcW w:w="96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167,426</w:t>
            </w:r>
          </w:p>
        </w:tc>
        <w:tc>
          <w:tcPr>
            <w:tcW w:w="140" w:type="dxa"/>
            <w:vAlign w:val="bottom"/>
            <w:tcBorders>
              <w:top w:val="single" w:sz="8" w:color="EEEEEE"/>
              <w:bottom w:val="single" w:sz="8" w:color="EEEEEE"/>
            </w:tcBorders>
            <w:shd w:val="clear" w:color="auto" w:fill="EEEEEE"/>
          </w:tcPr>
          <w:p>
            <w:pPr>
              <w:spacing w:after="0"/>
              <w:rPr>
                <w:sz w:val="20"/>
                <w:szCs w:val="20"/>
                <w:color w:val="auto"/>
              </w:rPr>
            </w:pPr>
          </w:p>
        </w:tc>
        <w:tc>
          <w:tcPr>
            <w:tcW w:w="1700" w:type="dxa"/>
            <w:vAlign w:val="bottom"/>
            <w:tcBorders>
              <w:top w:val="single" w:sz="8" w:color="EEEEEE"/>
              <w:bottom w:val="single" w:sz="8" w:color="EEEEEE"/>
            </w:tcBorders>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22.3%</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741,798</w:t>
            </w:r>
          </w:p>
        </w:tc>
        <w:tc>
          <w:tcPr>
            <w:tcW w:w="320" w:type="dxa"/>
            <w:vAlign w:val="bottom"/>
            <w:tcBorders>
              <w:top w:val="single" w:sz="8" w:color="EEEEEE"/>
              <w:bottom w:val="single" w:sz="8" w:color="EEEEEE"/>
            </w:tcBorders>
            <w:shd w:val="clear" w:color="auto" w:fill="EEEEEE"/>
          </w:tcPr>
          <w:p>
            <w:pPr>
              <w:spacing w:after="0"/>
              <w:rPr>
                <w:sz w:val="20"/>
                <w:szCs w:val="20"/>
                <w:color w:val="auto"/>
              </w:rPr>
            </w:pPr>
          </w:p>
        </w:tc>
        <w:tc>
          <w:tcPr>
            <w:tcW w:w="180" w:type="dxa"/>
            <w:vAlign w:val="bottom"/>
            <w:tcBorders>
              <w:top w:val="single" w:sz="8" w:color="auto"/>
              <w:bottom w:val="single" w:sz="8" w:color="EEEEEE"/>
            </w:tcBorders>
            <w:shd w:val="clear" w:color="auto" w:fill="EEEEEE"/>
          </w:tcPr>
          <w:p>
            <w:pPr>
              <w:spacing w:after="0"/>
              <w:rPr>
                <w:sz w:val="20"/>
                <w:szCs w:val="20"/>
                <w:color w:val="auto"/>
              </w:rPr>
            </w:pPr>
          </w:p>
        </w:tc>
        <w:tc>
          <w:tcPr>
            <w:tcW w:w="96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127,210</w:t>
            </w:r>
          </w:p>
        </w:tc>
        <w:tc>
          <w:tcPr>
            <w:tcW w:w="320" w:type="dxa"/>
            <w:vAlign w:val="bottom"/>
            <w:tcBorders>
              <w:top w:val="single" w:sz="8" w:color="EEEEEE"/>
              <w:bottom w:val="single" w:sz="8" w:color="EEEEEE"/>
            </w:tcBorders>
            <w:shd w:val="clear" w:color="auto" w:fill="EEEEEE"/>
          </w:tcPr>
          <w:p>
            <w:pPr>
              <w:spacing w:after="0"/>
              <w:rPr>
                <w:sz w:val="20"/>
                <w:szCs w:val="20"/>
                <w:color w:val="auto"/>
              </w:rPr>
            </w:pPr>
          </w:p>
        </w:tc>
        <w:tc>
          <w:tcPr>
            <w:tcW w:w="124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60" w:type="dxa"/>
            <w:vAlign w:val="bottom"/>
            <w:gridSpan w:val="5"/>
            <w:shd w:val="clear" w:color="auto" w:fill="EEEEEE"/>
          </w:tcPr>
          <w:p>
            <w:pPr>
              <w:jc w:val="center"/>
              <w:ind w:right="6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6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1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1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44,246</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4,026</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12.1%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36,092</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5,243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25,576</w:t>
            </w:r>
          </w:p>
        </w:tc>
        <w:tc>
          <w:tcPr>
            <w:tcW w:w="2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2,666</w:t>
            </w:r>
          </w:p>
        </w:tc>
        <w:tc>
          <w:tcPr>
            <w:tcW w:w="17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16,363</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2,125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tcPr>
          <w:p>
            <w:pPr>
              <w:spacing w:after="0" w:line="201" w:lineRule="exact"/>
              <w:rPr>
                <w:sz w:val="20"/>
                <w:szCs w:val="20"/>
                <w:color w:val="auto"/>
              </w:rPr>
            </w:pPr>
            <w:r>
              <w:rPr>
                <w:rFonts w:ascii="Arial" w:cs="Arial" w:eastAsia="Arial" w:hAnsi="Arial"/>
                <w:sz w:val="18"/>
                <w:szCs w:val="18"/>
                <w:color w:val="auto"/>
              </w:rPr>
              <w:t>Debt secured by receivables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5"/>
          </w:tcPr>
          <w:p>
            <w:pPr>
              <w:ind w:left="180"/>
              <w:spacing w:after="0"/>
              <w:rPr>
                <w:sz w:val="20"/>
                <w:szCs w:val="20"/>
                <w:color w:val="auto"/>
              </w:rPr>
            </w:pPr>
            <w:r>
              <w:rPr>
                <w:rFonts w:ascii="Arial" w:cs="Arial" w:eastAsia="Arial" w:hAnsi="Arial"/>
                <w:sz w:val="18"/>
                <w:szCs w:val="18"/>
                <w:color w:val="auto"/>
              </w:rPr>
              <w:t>measured at fair value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31,802</w:t>
            </w: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3,435</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113,958</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13,362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892,307</w:t>
            </w:r>
          </w:p>
        </w:tc>
        <w:tc>
          <w:tcPr>
            <w:tcW w:w="2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25,725</w:t>
            </w:r>
          </w:p>
        </w:tc>
        <w:tc>
          <w:tcPr>
            <w:tcW w:w="17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599,097</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28,557</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w w:val="93"/>
              </w:rPr>
              <w:t>Senior secured debt, related party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40,755</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6,474</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54,899</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9,873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22,551</w:t>
            </w:r>
          </w:p>
        </w:tc>
        <w:tc>
          <w:tcPr>
            <w:tcW w:w="3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2,474</w:t>
            </w:r>
          </w:p>
        </w:tc>
        <w:tc>
          <w:tcPr>
            <w:tcW w:w="17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21,038</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2,536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1,057,237</w:t>
            </w:r>
          </w:p>
        </w:tc>
        <w:tc>
          <w:tcPr>
            <w:tcW w:w="340" w:type="dxa"/>
            <w:vAlign w:val="bottom"/>
            <w:tcBorders>
              <w:bottom w:val="single" w:sz="8" w:color="EEEEEE"/>
            </w:tcBorders>
          </w:tcPr>
          <w:p>
            <w:pPr>
              <w:spacing w:after="0"/>
              <w:rPr>
                <w:sz w:val="24"/>
                <w:szCs w:val="24"/>
                <w:color w:val="auto"/>
              </w:rPr>
            </w:pPr>
          </w:p>
        </w:tc>
        <w:tc>
          <w:tcPr>
            <w:tcW w:w="200" w:type="dxa"/>
            <w:vAlign w:val="bottom"/>
            <w:tcBorders>
              <w:top w:val="single" w:sz="8" w:color="auto"/>
              <w:bottom w:val="single" w:sz="8" w:color="EEEEEE"/>
            </w:tcBorders>
          </w:tcPr>
          <w:p>
            <w:pPr>
              <w:spacing w:after="0"/>
              <w:rPr>
                <w:sz w:val="24"/>
                <w:szCs w:val="24"/>
                <w:color w:val="auto"/>
              </w:rPr>
            </w:pPr>
          </w:p>
        </w:tc>
        <w:tc>
          <w:tcPr>
            <w:tcW w:w="96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44,800</w:t>
            </w:r>
          </w:p>
        </w:tc>
        <w:tc>
          <w:tcPr>
            <w:tcW w:w="140" w:type="dxa"/>
            <w:vAlign w:val="bottom"/>
            <w:tcBorders>
              <w:bottom w:val="single" w:sz="8" w:color="EEEEEE"/>
            </w:tcBorders>
          </w:tcPr>
          <w:p>
            <w:pPr>
              <w:spacing w:after="0"/>
              <w:rPr>
                <w:sz w:val="24"/>
                <w:szCs w:val="24"/>
                <w:color w:val="auto"/>
              </w:rPr>
            </w:pPr>
          </w:p>
        </w:tc>
        <w:tc>
          <w:tcPr>
            <w:tcW w:w="1700" w:type="dxa"/>
            <w:vAlign w:val="bottom"/>
            <w:tcBorders>
              <w:bottom w:val="single" w:sz="8" w:color="EEEEEE"/>
            </w:tcBorders>
            <w:gridSpan w:val="3"/>
          </w:tcPr>
          <w:p>
            <w:pPr>
              <w:jc w:val="right"/>
              <w:ind w:right="320"/>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841,447</w:t>
            </w:r>
          </w:p>
        </w:tc>
        <w:tc>
          <w:tcPr>
            <w:tcW w:w="320" w:type="dxa"/>
            <w:vAlign w:val="bottom"/>
            <w:tcBorders>
              <w:bottom w:val="single" w:sz="8" w:color="EEEEEE"/>
            </w:tcBorders>
          </w:tcPr>
          <w:p>
            <w:pPr>
              <w:spacing w:after="0"/>
              <w:rPr>
                <w:sz w:val="24"/>
                <w:szCs w:val="24"/>
                <w:color w:val="auto"/>
              </w:rPr>
            </w:pPr>
          </w:p>
        </w:tc>
        <w:tc>
          <w:tcPr>
            <w:tcW w:w="180" w:type="dxa"/>
            <w:vAlign w:val="bottom"/>
            <w:tcBorders>
              <w:top w:val="single" w:sz="8" w:color="auto"/>
              <w:bottom w:val="single" w:sz="8" w:color="EEEEEE"/>
            </w:tcBorders>
          </w:tcPr>
          <w:p>
            <w:pPr>
              <w:spacing w:after="0"/>
              <w:rPr>
                <w:sz w:val="24"/>
                <w:szCs w:val="24"/>
                <w:color w:val="auto"/>
              </w:rPr>
            </w:pPr>
          </w:p>
        </w:tc>
        <w:tc>
          <w:tcPr>
            <w:tcW w:w="96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61,696</w:t>
            </w:r>
          </w:p>
        </w:tc>
        <w:tc>
          <w:tcPr>
            <w:tcW w:w="3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tcBorders>
              <w:bottom w:val="single" w:sz="8" w:color="auto"/>
            </w:tcBorders>
            <w:shd w:val="clear" w:color="auto" w:fill="EEEEEE"/>
          </w:tcPr>
          <w:p>
            <w:pPr>
              <w:spacing w:after="0"/>
              <w:rPr>
                <w:sz w:val="17"/>
                <w:szCs w:val="17"/>
                <w:color w:val="auto"/>
              </w:rPr>
            </w:pPr>
          </w:p>
        </w:tc>
        <w:tc>
          <w:tcPr>
            <w:tcW w:w="960" w:type="dxa"/>
            <w:vAlign w:val="bottom"/>
            <w:tcBorders>
              <w:bottom w:val="single" w:sz="8" w:color="auto"/>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spacing w:after="0"/>
              <w:rPr>
                <w:sz w:val="17"/>
                <w:szCs w:val="17"/>
                <w:color w:val="auto"/>
              </w:rPr>
            </w:pPr>
          </w:p>
        </w:tc>
        <w:tc>
          <w:tcPr>
            <w:tcW w:w="960" w:type="dxa"/>
            <w:vAlign w:val="bottom"/>
            <w:tcBorders>
              <w:bottom w:val="single" w:sz="8" w:color="auto"/>
            </w:tcBorders>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580" w:type="dxa"/>
            <w:vAlign w:val="bottom"/>
            <w:gridSpan w:val="6"/>
          </w:tcPr>
          <w:p>
            <w:pPr>
              <w:spacing w:after="0"/>
              <w:rPr>
                <w:sz w:val="20"/>
                <w:szCs w:val="20"/>
                <w:color w:val="auto"/>
              </w:rPr>
            </w:pPr>
            <w:r>
              <w:rPr>
                <w:rFonts w:ascii="Arial" w:cs="Arial" w:eastAsia="Arial" w:hAnsi="Arial"/>
                <w:sz w:val="18"/>
                <w:szCs w:val="18"/>
                <w:color w:val="auto"/>
              </w:rPr>
              <w:t>Net interest income/spread</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122,626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65,514</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60" w:type="dxa"/>
            <w:vAlign w:val="bottom"/>
            <w:tcBorders>
              <w:top w:val="single" w:sz="8" w:color="EEEEEE"/>
            </w:tcBorders>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yield (3)</w:t>
            </w:r>
          </w:p>
        </w:tc>
        <w:tc>
          <w:tcPr>
            <w:tcW w:w="16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040" w:type="dxa"/>
            <w:vAlign w:val="bottom"/>
            <w:tcBorders>
              <w:top w:val="single" w:sz="8" w:color="EEEEEE"/>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700" w:type="dxa"/>
            <w:vAlign w:val="bottom"/>
            <w:tcBorders>
              <w:top w:val="single" w:sz="8" w:color="EEEEEE"/>
            </w:tcBorders>
            <w:gridSpan w:val="3"/>
            <w:shd w:val="clear" w:color="auto" w:fill="EEEEEE"/>
          </w:tcPr>
          <w:p>
            <w:pPr>
              <w:jc w:val="right"/>
              <w:ind w:right="320"/>
              <w:spacing w:after="0" w:line="196" w:lineRule="exact"/>
              <w:rPr>
                <w:sz w:val="20"/>
                <w:szCs w:val="20"/>
                <w:color w:val="auto"/>
              </w:rPr>
            </w:pPr>
            <w:r>
              <w:rPr>
                <w:rFonts w:ascii="Arial" w:cs="Arial" w:eastAsia="Arial" w:hAnsi="Arial"/>
                <w:sz w:val="18"/>
                <w:szCs w:val="18"/>
                <w:color w:val="auto"/>
              </w:rPr>
              <w:t>16.3%</w:t>
            </w:r>
          </w:p>
        </w:tc>
        <w:tc>
          <w:tcPr>
            <w:tcW w:w="120" w:type="dxa"/>
            <w:vAlign w:val="bottom"/>
            <w:tcBorders>
              <w:top w:val="single" w:sz="8" w:color="EEEEEE"/>
            </w:tcBorders>
            <w:shd w:val="clear" w:color="auto" w:fill="EEEEEE"/>
          </w:tcPr>
          <w:p>
            <w:pPr>
              <w:spacing w:after="0"/>
              <w:rPr>
                <w:sz w:val="17"/>
                <w:szCs w:val="17"/>
                <w:color w:val="auto"/>
              </w:rPr>
            </w:pPr>
          </w:p>
        </w:tc>
        <w:tc>
          <w:tcPr>
            <w:tcW w:w="1020" w:type="dxa"/>
            <w:vAlign w:val="bottom"/>
            <w:tcBorders>
              <w:top w:val="single" w:sz="8" w:color="EEEEEE"/>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240" w:type="dxa"/>
            <w:vAlign w:val="bottom"/>
            <w:tcBorders>
              <w:top w:val="single" w:sz="8" w:color="EEEEEE"/>
            </w:tcBorders>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tcPr>
          <w:p>
            <w:pPr>
              <w:spacing w:after="0" w:line="201" w:lineRule="exact"/>
              <w:rPr>
                <w:sz w:val="20"/>
                <w:szCs w:val="20"/>
                <w:color w:val="auto"/>
              </w:rPr>
            </w:pPr>
            <w:r>
              <w:rPr>
                <w:rFonts w:ascii="Arial" w:cs="Arial" w:eastAsia="Arial" w:hAnsi="Arial"/>
                <w:sz w:val="18"/>
                <w:szCs w:val="18"/>
                <w:color w:val="auto"/>
                <w:w w:val="97"/>
              </w:rPr>
              <w:t>Ratio of average interest earning</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ind w:left="180"/>
              <w:spacing w:after="0"/>
              <w:rPr>
                <w:sz w:val="20"/>
                <w:szCs w:val="20"/>
                <w:color w:val="auto"/>
              </w:rPr>
            </w:pPr>
            <w:r>
              <w:rPr>
                <w:rFonts w:ascii="Arial" w:cs="Arial" w:eastAsia="Arial" w:hAnsi="Arial"/>
                <w:sz w:val="18"/>
                <w:szCs w:val="18"/>
                <w:color w:val="auto"/>
              </w:rPr>
              <w:t>assets to average interest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ind w:left="180"/>
              <w:spacing w:after="0"/>
              <w:rPr>
                <w:sz w:val="20"/>
                <w:szCs w:val="20"/>
                <w:color w:val="auto"/>
              </w:rPr>
            </w:pPr>
            <w:r>
              <w:rPr>
                <w:rFonts w:ascii="Arial" w:cs="Arial" w:eastAsia="Arial" w:hAnsi="Arial"/>
                <w:sz w:val="18"/>
                <w:szCs w:val="18"/>
                <w:color w:val="auto"/>
              </w:rPr>
              <w:t>bearing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4"/>
          </w:tcPr>
          <w:p>
            <w:pPr>
              <w:spacing w:after="0"/>
              <w:rPr>
                <w:sz w:val="20"/>
                <w:szCs w:val="20"/>
                <w:color w:val="auto"/>
              </w:rPr>
            </w:pPr>
            <w:r>
              <w:rPr>
                <w:rFonts w:ascii="Arial" w:cs="Arial" w:eastAsia="Arial" w:hAnsi="Arial"/>
                <w:sz w:val="18"/>
                <w:szCs w:val="18"/>
                <w:color w:val="auto"/>
              </w:rPr>
              <w:t>____________</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8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90"/>
              </w:rPr>
              <w:t>Nine Months Ended September 30, 2013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7"/>
          </w:tcPr>
          <w:p>
            <w:pPr>
              <w:jc w:val="center"/>
              <w:ind w:left="970"/>
              <w:spacing w:after="0"/>
              <w:rPr>
                <w:sz w:val="20"/>
                <w:szCs w:val="20"/>
                <w:color w:val="auto"/>
              </w:rPr>
            </w:pPr>
            <w:r>
              <w:rPr>
                <w:rFonts w:ascii="Arial" w:cs="Arial" w:eastAsia="Arial" w:hAnsi="Arial"/>
                <w:sz w:val="18"/>
                <w:szCs w:val="18"/>
                <w:b w:val="1"/>
                <w:bCs w:val="1"/>
                <w:color w:val="auto"/>
                <w:w w:val="90"/>
              </w:rPr>
              <w:t>Compared to September 30, 2012</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jc w:val="right"/>
              <w:ind w:right="960"/>
              <w:spacing w:after="0" w:line="205"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7"/>
                <w:szCs w:val="17"/>
                <w:color w:val="auto"/>
              </w:rPr>
            </w:pPr>
          </w:p>
        </w:tc>
        <w:tc>
          <w:tcPr>
            <w:tcW w:w="1640" w:type="dxa"/>
            <w:vAlign w:val="bottom"/>
            <w:gridSpan w:val="2"/>
          </w:tcPr>
          <w:p>
            <w:pPr>
              <w:jc w:val="right"/>
              <w:ind w:right="520"/>
              <w:spacing w:after="0" w:line="205" w:lineRule="exact"/>
              <w:rPr>
                <w:sz w:val="20"/>
                <w:szCs w:val="20"/>
                <w:color w:val="auto"/>
              </w:rPr>
            </w:pPr>
            <w:r>
              <w:rPr>
                <w:rFonts w:ascii="Arial" w:cs="Arial" w:eastAsia="Arial" w:hAnsi="Arial"/>
                <w:sz w:val="18"/>
                <w:szCs w:val="18"/>
                <w:b w:val="1"/>
                <w:bCs w:val="1"/>
                <w:color w:val="auto"/>
              </w:rPr>
              <w:t>Change Due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7"/>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 Volume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960" w:type="dxa"/>
            <w:vAlign w:val="bottom"/>
            <w:gridSpan w:val="4"/>
            <w:vMerge w:val="restart"/>
          </w:tcPr>
          <w:p>
            <w:pPr>
              <w:jc w:val="center"/>
              <w:ind w:right="900"/>
              <w:spacing w:after="0"/>
              <w:rPr>
                <w:sz w:val="20"/>
                <w:szCs w:val="20"/>
                <w:color w:val="auto"/>
              </w:rPr>
            </w:pPr>
            <w:r>
              <w:rPr>
                <w:rFonts w:ascii="Arial" w:cs="Arial" w:eastAsia="Arial" w:hAnsi="Arial"/>
                <w:sz w:val="18"/>
                <w:szCs w:val="18"/>
                <w:b w:val="1"/>
                <w:bCs w:val="1"/>
                <w:color w:val="auto"/>
                <w:w w:val="88"/>
              </w:rPr>
              <w:t>Interest Earning Assets</w:t>
            </w:r>
          </w:p>
        </w:tc>
        <w:tc>
          <w:tcPr>
            <w:tcW w:w="1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960" w:type="dxa"/>
            <w:vAlign w:val="bottom"/>
            <w:gridSpan w:val="4"/>
            <w:vMerge w:val="continue"/>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4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53,472</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59,168</w:t>
            </w:r>
          </w:p>
        </w:tc>
        <w:tc>
          <w:tcPr>
            <w:tcW w:w="360" w:type="dxa"/>
            <w:vAlign w:val="bottom"/>
            <w:gridSpan w:val="2"/>
            <w:shd w:val="clear" w:color="auto" w:fill="EEEEEE"/>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Finance receivables measured at fair value</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(13,256)</w:t>
            </w:r>
          </w:p>
        </w:tc>
        <w:tc>
          <w:tcPr>
            <w:tcW w:w="16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(12,790)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40,216</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46,378</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gridSpan w:val="5"/>
          </w:tcPr>
          <w:p>
            <w:pPr>
              <w:jc w:val="center"/>
              <w:ind w:left="77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(1,217)</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1,185</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1,196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(9,927)</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(9,633)</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(2,832)</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13,976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(16,808)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(3,399)</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(2,544)</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(16,896)</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4,362</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(21,258)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6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7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900" w:type="dxa"/>
            <w:vAlign w:val="bottom"/>
            <w:tcBorders>
              <w:bottom w:val="single" w:sz="8" w:color="EEEEEE"/>
            </w:tcBorders>
          </w:tcPr>
          <w:p>
            <w:pPr>
              <w:spacing w:after="0"/>
              <w:rPr>
                <w:sz w:val="19"/>
                <w:szCs w:val="19"/>
                <w:color w:val="auto"/>
              </w:rPr>
            </w:pPr>
          </w:p>
        </w:tc>
        <w:tc>
          <w:tcPr>
            <w:tcW w:w="11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10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57,112</w:t>
            </w:r>
          </w:p>
        </w:tc>
        <w:tc>
          <w:tcPr>
            <w:tcW w:w="3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42,016</w:t>
            </w:r>
          </w:p>
        </w:tc>
        <w:tc>
          <w:tcPr>
            <w:tcW w:w="2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15,096</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5" w:name="page36"/>
    <w:bookmarkEnd w:id="35"/>
    <w:p>
      <w:pPr>
        <w:jc w:val="both"/>
        <w:ind w:firstLine="162"/>
        <w:spacing w:after="0" w:line="276" w:lineRule="auto"/>
        <w:rPr>
          <w:sz w:val="20"/>
          <w:szCs w:val="20"/>
          <w:color w:val="auto"/>
        </w:rPr>
      </w:pPr>
      <w:r>
        <w:rPr>
          <w:rFonts w:ascii="Arial" w:cs="Arial" w:eastAsia="Arial" w:hAnsi="Arial"/>
          <w:sz w:val="17"/>
          <w:szCs w:val="17"/>
          <w:color w:val="auto"/>
        </w:rPr>
        <w:t>Provision for credit losses was $52.7 million for the nine months ended September 30, 2013, an increase of $30.7 million, or 139.6%, compared to the prior year and represented 34.3%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Consequently, the increase in provision expense is the result of the increase in contract purchases during the last year and the larger portfolio owned by our consolidated subsidiaries compared to the prior year.</w:t>
      </w:r>
    </w:p>
    <w:p>
      <w:pPr>
        <w:spacing w:after="0" w:line="17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$1.9 million, or 24.1%, to $10.0 million during the nine months ended September 30, 2013, compared to $8.1 million in the prior year period, and represented 6.5% of total operating expenses. For the nine months ended September 30, 2013, we purchased 38,339 contracts representing $592.3 million in receivables in the current period compared to 26,180 contracts representing $400.9 million in receivables in the prior year.</w:t>
      </w:r>
    </w:p>
    <w:p>
      <w:pPr>
        <w:spacing w:after="0" w:line="19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Occupancy expenses decreased by $249,000 or 11.5%, to $1.9 million compared to $2.2 million in the previous year and represented 1.2% of total operating expenses.</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Depreciation and amortization expenses decreased by $56,000, or 14.0%, to $345,000 compared to $401,000 in the previous year and represented 0.2% of total operating expenses.</w:t>
      </w:r>
    </w:p>
    <w:p>
      <w:pPr>
        <w:spacing w:after="0" w:line="170"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For the nine months ended September 30, 2013, we recorded income tax expense of $11.2 million, representing a 43.5% effective income tax rate. In the prior year period, we recorded no income tax expense but we reduced our valuation allowance for our deferred tax assets by $1.8 million.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Originated Portfolio Excluding Fireside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7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 2013</w:t>
            </w:r>
          </w:p>
        </w:tc>
        <w:tc>
          <w:tcPr>
            <w:tcW w:w="260" w:type="dxa"/>
            <w:vAlign w:val="bottom"/>
          </w:tcPr>
          <w:p>
            <w:pPr>
              <w:spacing w:after="0"/>
              <w:rPr>
                <w:sz w:val="20"/>
                <w:szCs w:val="20"/>
                <w:color w:val="auto"/>
              </w:rPr>
            </w:pPr>
          </w:p>
        </w:tc>
        <w:tc>
          <w:tcPr>
            <w:tcW w:w="2940" w:type="dxa"/>
            <w:vAlign w:val="bottom"/>
            <w:gridSpan w:val="5"/>
          </w:tcPr>
          <w:p>
            <w:pPr>
              <w:ind w:left="560"/>
              <w:spacing w:after="0"/>
              <w:rPr>
                <w:sz w:val="20"/>
                <w:szCs w:val="20"/>
                <w:color w:val="auto"/>
              </w:rPr>
            </w:pPr>
            <w:r>
              <w:rPr>
                <w:rFonts w:ascii="Arial" w:cs="Arial" w:eastAsia="Arial" w:hAnsi="Arial"/>
                <w:sz w:val="18"/>
                <w:szCs w:val="18"/>
                <w:b w:val="1"/>
                <w:bCs w:val="1"/>
                <w:color w:val="auto"/>
              </w:rPr>
              <w:t>September 30, 2012</w:t>
            </w: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2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89,461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1,141,029</w:t>
            </w:r>
          </w:p>
        </w:tc>
        <w:tc>
          <w:tcPr>
            <w:tcW w:w="100" w:type="dxa"/>
            <w:vAlign w:val="bottom"/>
          </w:tcPr>
          <w:p>
            <w:pPr>
              <w:spacing w:after="0"/>
              <w:rPr>
                <w:sz w:val="18"/>
                <w:szCs w:val="18"/>
                <w:color w:val="auto"/>
              </w:rPr>
            </w:pP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71,462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749,131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74,124</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825,186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31-60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3,065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27,030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2,234</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14,694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2,545</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61-90 days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1,745</w:t>
            </w:r>
          </w:p>
        </w:tc>
        <w:tc>
          <w:tcPr>
            <w:tcW w:w="1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16,437</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969</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6,718</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91+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8,428</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491</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2,957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5,777</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51,895</w:t>
            </w:r>
          </w:p>
        </w:tc>
        <w:tc>
          <w:tcPr>
            <w:tcW w:w="1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3,694</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24,369</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4,497</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32,691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2,249</w:t>
            </w: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20,828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1,633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9,997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1,932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12,506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tcBorders>
              <w:top w:val="single" w:sz="8" w:color="auto"/>
            </w:tcBorders>
            <w:shd w:val="clear" w:color="auto" w:fill="EEEEEE"/>
          </w:tcPr>
          <w:p>
            <w:pPr>
              <w:spacing w:after="0"/>
              <w:rPr>
                <w:sz w:val="15"/>
                <w:szCs w:val="15"/>
                <w:color w:val="auto"/>
              </w:rPr>
            </w:pPr>
          </w:p>
        </w:tc>
        <w:tc>
          <w:tcPr>
            <w:tcW w:w="3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260" w:type="dxa"/>
            <w:vAlign w:val="bottom"/>
            <w:tcBorders>
              <w:top w:val="single" w:sz="8" w:color="EEEEEE"/>
            </w:tcBorders>
            <w:shd w:val="clear" w:color="auto" w:fill="EEEEEE"/>
          </w:tcPr>
          <w:p>
            <w:pPr>
              <w:spacing w:after="0"/>
              <w:rPr>
                <w:sz w:val="15"/>
                <w:szCs w:val="15"/>
                <w:color w:val="auto"/>
              </w:rPr>
            </w:pPr>
          </w:p>
        </w:tc>
        <w:tc>
          <w:tcPr>
            <w:tcW w:w="11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repossession (2)</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8,026</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72,723</w:t>
            </w: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5,327</w:t>
            </w:r>
          </w:p>
        </w:tc>
        <w:tc>
          <w:tcPr>
            <w:tcW w:w="320" w:type="dxa"/>
            <w:vAlign w:val="bottom"/>
            <w:shd w:val="clear" w:color="auto" w:fill="EEEEEE"/>
          </w:tcPr>
          <w:p>
            <w:pPr>
              <w:spacing w:after="0"/>
              <w:rPr>
                <w:sz w:val="22"/>
                <w:szCs w:val="22"/>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34,366</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6,429</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Delinquencies as a percentage of</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6"/>
              </w:rPr>
              <w:t>repossession as a percentage of</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accruing</w:t>
            </w:r>
          </w:p>
        </w:tc>
        <w:tc>
          <w:tcPr>
            <w:tcW w:w="1180" w:type="dxa"/>
            <w:vAlign w:val="bottom"/>
          </w:tcPr>
          <w:p>
            <w:pPr>
              <w:jc w:val="right"/>
              <w:spacing w:after="0"/>
              <w:rPr>
                <w:sz w:val="20"/>
                <w:szCs w:val="20"/>
                <w:color w:val="auto"/>
              </w:rPr>
            </w:pPr>
            <w:r>
              <w:rPr>
                <w:rFonts w:ascii="Arial" w:cs="Arial" w:eastAsia="Arial" w:hAnsi="Arial"/>
                <w:sz w:val="18"/>
                <w:szCs w:val="18"/>
                <w:color w:val="auto"/>
              </w:rPr>
              <w:t>11,356</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135,575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9,263</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63,338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9,094</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73,632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accruing</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5,403</w:t>
            </w:r>
          </w:p>
        </w:tc>
        <w:tc>
          <w:tcPr>
            <w:tcW w:w="18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34,143</w:t>
            </w: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8,891</w:t>
            </w:r>
          </w:p>
        </w:tc>
        <w:tc>
          <w:tcPr>
            <w:tcW w:w="3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44,754</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7,795</w:t>
            </w: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37,761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16,759</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169,718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18,154</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108,092</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non-accrual</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6,822</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563</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3,340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non-accrual</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2,770</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862</w:t>
            </w: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3,931</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1,044</w:t>
            </w: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7,271</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18,053</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19,579</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115,363</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Delinquency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Fireside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7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 2013</w:t>
            </w:r>
          </w:p>
        </w:tc>
        <w:tc>
          <w:tcPr>
            <w:tcW w:w="260" w:type="dxa"/>
            <w:vAlign w:val="bottom"/>
          </w:tcPr>
          <w:p>
            <w:pPr>
              <w:spacing w:after="0"/>
              <w:rPr>
                <w:sz w:val="20"/>
                <w:szCs w:val="20"/>
                <w:color w:val="auto"/>
              </w:rPr>
            </w:pPr>
          </w:p>
        </w:tc>
        <w:tc>
          <w:tcPr>
            <w:tcW w:w="2940" w:type="dxa"/>
            <w:vAlign w:val="bottom"/>
            <w:gridSpan w:val="5"/>
          </w:tcPr>
          <w:p>
            <w:pPr>
              <w:ind w:left="560"/>
              <w:spacing w:after="0"/>
              <w:rPr>
                <w:sz w:val="20"/>
                <w:szCs w:val="20"/>
                <w:color w:val="auto"/>
              </w:rPr>
            </w:pPr>
            <w:r>
              <w:rPr>
                <w:rFonts w:ascii="Arial" w:cs="Arial" w:eastAsia="Arial" w:hAnsi="Arial"/>
                <w:sz w:val="18"/>
                <w:szCs w:val="18"/>
                <w:b w:val="1"/>
                <w:bCs w:val="1"/>
                <w:color w:val="auto"/>
              </w:rPr>
              <w:t>September 30, 2012</w:t>
            </w: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6,513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21,701</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18,529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80,314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15,039</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31-60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1,218</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566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2,047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621</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61-90 days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436</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758</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91+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430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693</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927</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3,235</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939</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866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tcBorders>
              <w:top w:val="single" w:sz="8" w:color="auto"/>
            </w:tcBorders>
            <w:shd w:val="clear" w:color="auto" w:fill="EEEEEE"/>
          </w:tcPr>
          <w:p>
            <w:pPr>
              <w:spacing w:after="0"/>
              <w:rPr>
                <w:sz w:val="15"/>
                <w:szCs w:val="15"/>
                <w:color w:val="auto"/>
              </w:rPr>
            </w:pPr>
          </w:p>
        </w:tc>
        <w:tc>
          <w:tcPr>
            <w:tcW w:w="3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260" w:type="dxa"/>
            <w:vAlign w:val="bottom"/>
            <w:tcBorders>
              <w:top w:val="single" w:sz="8" w:color="EEEEEE"/>
            </w:tcBorders>
            <w:shd w:val="clear" w:color="auto" w:fill="EEEEEE"/>
          </w:tcPr>
          <w:p>
            <w:pPr>
              <w:spacing w:after="0"/>
              <w:rPr>
                <w:sz w:val="15"/>
                <w:szCs w:val="15"/>
                <w:color w:val="auto"/>
              </w:rPr>
            </w:pPr>
          </w:p>
        </w:tc>
        <w:tc>
          <w:tcPr>
            <w:tcW w:w="11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repossession (2)</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741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2,159</w:t>
            </w: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1,108</w:t>
            </w:r>
          </w:p>
        </w:tc>
        <w:tc>
          <w:tcPr>
            <w:tcW w:w="320" w:type="dxa"/>
            <w:vAlign w:val="bottom"/>
            <w:shd w:val="clear" w:color="auto" w:fill="EEEEEE"/>
          </w:tcPr>
          <w:p>
            <w:pPr>
              <w:spacing w:after="0"/>
              <w:rPr>
                <w:sz w:val="22"/>
                <w:szCs w:val="22"/>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4,101</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1,114</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Delinquencies as a percentage of</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8.8%</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7"/>
              </w:rPr>
              <w:t>repossession as a percentage of</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gross servicing portfolio</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9.9%</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5.1</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accruing</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1,651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6,069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3,062</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16,189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3,117</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extensions, accruing</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656</w:t>
            </w:r>
          </w:p>
        </w:tc>
        <w:tc>
          <w:tcPr>
            <w:tcW w:w="18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2,991</w:t>
            </w: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3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279</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16,468</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non-accrual</w:t>
            </w: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750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extensions, non-accrual</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spacing w:after="0"/>
              <w:rPr>
                <w:sz w:val="20"/>
                <w:szCs w:val="20"/>
                <w:color w:val="auto"/>
              </w:rPr>
            </w:pPr>
            <w:r>
              <w:rPr>
                <w:rFonts w:ascii="Arial" w:cs="Arial" w:eastAsia="Arial" w:hAnsi="Arial"/>
                <w:sz w:val="18"/>
                <w:szCs w:val="18"/>
                <w:color w:val="auto"/>
              </w:rPr>
              <w:t>Total contracts with extensions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17,229</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Delinquency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Originated and Fireside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4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September 30, 2013</w:t>
            </w:r>
          </w:p>
        </w:tc>
        <w:tc>
          <w:tcPr>
            <w:tcW w:w="2940" w:type="dxa"/>
            <w:vAlign w:val="bottom"/>
            <w:gridSpan w:val="5"/>
          </w:tcPr>
          <w:p>
            <w:pPr>
              <w:ind w:left="560"/>
              <w:spacing w:after="0"/>
              <w:rPr>
                <w:sz w:val="20"/>
                <w:szCs w:val="20"/>
                <w:color w:val="auto"/>
              </w:rPr>
            </w:pPr>
            <w:r>
              <w:rPr>
                <w:rFonts w:ascii="Arial" w:cs="Arial" w:eastAsia="Arial" w:hAnsi="Arial"/>
                <w:sz w:val="18"/>
                <w:szCs w:val="18"/>
                <w:b w:val="1"/>
                <w:bCs w:val="1"/>
                <w:color w:val="auto"/>
              </w:rPr>
              <w:t>September 30, 2012</w:t>
            </w: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2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95,974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1,162,730</w:t>
            </w:r>
          </w:p>
        </w:tc>
        <w:tc>
          <w:tcPr>
            <w:tcW w:w="3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89,991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829,445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89,163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885,993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31-60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3,475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28,248</w:t>
            </w:r>
          </w:p>
        </w:tc>
        <w:tc>
          <w:tcPr>
            <w:tcW w:w="1160" w:type="dxa"/>
            <w:vAlign w:val="bottom"/>
          </w:tcPr>
          <w:p>
            <w:pPr>
              <w:jc w:val="right"/>
              <w:spacing w:after="0"/>
              <w:rPr>
                <w:sz w:val="20"/>
                <w:szCs w:val="20"/>
                <w:color w:val="auto"/>
              </w:rPr>
            </w:pPr>
            <w:r>
              <w:rPr>
                <w:rFonts w:ascii="Arial" w:cs="Arial" w:eastAsia="Arial" w:hAnsi="Arial"/>
                <w:sz w:val="18"/>
                <w:szCs w:val="18"/>
                <w:color w:val="auto"/>
              </w:rPr>
              <w:t>2,800</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16,741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3,166</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61-90 days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1,926</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16,873</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1,190</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7,476</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1,383</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91+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1,069</w:t>
            </w: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8,681</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631</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3,387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887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6,470</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53,802</w:t>
            </w:r>
          </w:p>
        </w:tc>
        <w:tc>
          <w:tcPr>
            <w:tcW w:w="3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4,621</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27,604</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5,436</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35,939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2,297</w:t>
            </w: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21,081</w:t>
            </w:r>
          </w:p>
        </w:tc>
        <w:tc>
          <w:tcPr>
            <w:tcW w:w="1160" w:type="dxa"/>
            <w:vAlign w:val="bottom"/>
          </w:tcPr>
          <w:p>
            <w:pPr>
              <w:jc w:val="right"/>
              <w:spacing w:after="0"/>
              <w:rPr>
                <w:sz w:val="20"/>
                <w:szCs w:val="20"/>
                <w:color w:val="auto"/>
              </w:rPr>
            </w:pPr>
            <w:r>
              <w:rPr>
                <w:rFonts w:ascii="Arial" w:cs="Arial" w:eastAsia="Arial" w:hAnsi="Arial"/>
                <w:sz w:val="18"/>
                <w:szCs w:val="18"/>
                <w:color w:val="auto"/>
              </w:rPr>
              <w:t>1,817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10,863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tcBorders>
              <w:top w:val="single" w:sz="8" w:color="auto"/>
            </w:tcBorders>
            <w:shd w:val="clear" w:color="auto" w:fill="EEEEEE"/>
          </w:tcPr>
          <w:p>
            <w:pPr>
              <w:spacing w:after="0"/>
              <w:rPr>
                <w:sz w:val="15"/>
                <w:szCs w:val="15"/>
                <w:color w:val="auto"/>
              </w:rPr>
            </w:pPr>
          </w:p>
        </w:tc>
        <w:tc>
          <w:tcPr>
            <w:tcW w:w="3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360" w:type="dxa"/>
            <w:vAlign w:val="bottom"/>
            <w:tcBorders>
              <w:top w:val="single" w:sz="8" w:color="EEEEEE"/>
            </w:tcBorders>
            <w:shd w:val="clear" w:color="auto" w:fill="EEEEEE"/>
          </w:tcPr>
          <w:p>
            <w:pPr>
              <w:spacing w:after="0"/>
              <w:rPr>
                <w:sz w:val="15"/>
                <w:szCs w:val="15"/>
                <w:color w:val="auto"/>
              </w:rPr>
            </w:pPr>
          </w:p>
        </w:tc>
        <w:tc>
          <w:tcPr>
            <w:tcW w:w="11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repossession (2)</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8,767</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74,883</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6,438</w:t>
            </w:r>
          </w:p>
        </w:tc>
        <w:tc>
          <w:tcPr>
            <w:tcW w:w="320" w:type="dxa"/>
            <w:vAlign w:val="bottom"/>
            <w:shd w:val="clear" w:color="auto" w:fill="EEEEEE"/>
          </w:tcPr>
          <w:p>
            <w:pPr>
              <w:spacing w:after="0"/>
              <w:rPr>
                <w:sz w:val="22"/>
                <w:szCs w:val="22"/>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38,467</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7,543</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Delinquencies as a percentage of</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4.6</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7"/>
              </w:rPr>
              <w:t>repossession as a percentage of</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6.4</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accruing</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13,007</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141,644</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12,325</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79,527</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12,211</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88,894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extensions, accruing</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6,059</w:t>
            </w:r>
          </w:p>
        </w:tc>
        <w:tc>
          <w:tcPr>
            <w:tcW w:w="18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37,133</w:t>
            </w:r>
          </w:p>
        </w:tc>
        <w:tc>
          <w:tcPr>
            <w:tcW w:w="1160" w:type="dxa"/>
            <w:vAlign w:val="bottom"/>
          </w:tcPr>
          <w:p>
            <w:pPr>
              <w:jc w:val="right"/>
              <w:spacing w:after="0"/>
              <w:rPr>
                <w:sz w:val="20"/>
                <w:szCs w:val="20"/>
                <w:color w:val="auto"/>
              </w:rPr>
            </w:pPr>
            <w:r>
              <w:rPr>
                <w:rFonts w:ascii="Arial" w:cs="Arial" w:eastAsia="Arial" w:hAnsi="Arial"/>
                <w:sz w:val="18"/>
                <w:szCs w:val="18"/>
                <w:color w:val="auto"/>
              </w:rPr>
              <w:t>8,944</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45,033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7,929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38,478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19,066</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178,777</w:t>
            </w:r>
          </w:p>
        </w:tc>
        <w:tc>
          <w:tcPr>
            <w:tcW w:w="3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21,269</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124,560</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20,140</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127,372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non-accrual</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7,019</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705</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4,090</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extensions, non-accrual</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2,919</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864</w:t>
            </w:r>
          </w:p>
        </w:tc>
        <w:tc>
          <w:tcPr>
            <w:tcW w:w="18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3,941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1,387</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9,938</w:t>
            </w:r>
          </w:p>
        </w:tc>
        <w:tc>
          <w:tcPr>
            <w:tcW w:w="3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1,569</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8,031</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1,842</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9,491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Borders>
              <w:bottom w:val="single" w:sz="8" w:color="EEEEEE"/>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bottom w:val="single" w:sz="8" w:color="EEEEEE"/>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20,453</w:t>
            </w:r>
          </w:p>
        </w:tc>
        <w:tc>
          <w:tcPr>
            <w:tcW w:w="3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188,715</w:t>
            </w:r>
          </w:p>
        </w:tc>
        <w:tc>
          <w:tcPr>
            <w:tcW w:w="360" w:type="dxa"/>
            <w:vAlign w:val="bottom"/>
            <w:tcBorders>
              <w:bottom w:val="single" w:sz="8" w:color="EEEEEE"/>
            </w:tcBorders>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22,838</w:t>
            </w:r>
          </w:p>
        </w:tc>
        <w:tc>
          <w:tcPr>
            <w:tcW w:w="3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132,591</w:t>
            </w:r>
          </w:p>
        </w:tc>
        <w:tc>
          <w:tcPr>
            <w:tcW w:w="3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21,982</w:t>
            </w: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136,863</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firstLine="8"/>
        <w:spacing w:after="0" w:line="255" w:lineRule="auto"/>
        <w:tabs>
          <w:tab w:leader="none" w:pos="27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to or financed in securitization transactions that we continue to service.</w:t>
      </w:r>
    </w:p>
    <w:p>
      <w:pPr>
        <w:spacing w:after="0" w:line="190" w:lineRule="exact"/>
        <w:rPr>
          <w:rFonts w:ascii="Arial" w:cs="Arial" w:eastAsia="Arial" w:hAnsi="Arial"/>
          <w:sz w:val="18"/>
          <w:szCs w:val="18"/>
          <w:i w:val="1"/>
          <w:iCs w:val="1"/>
          <w:color w:val="auto"/>
        </w:rPr>
      </w:pPr>
    </w:p>
    <w:p>
      <w:pPr>
        <w:jc w:val="both"/>
        <w:ind w:firstLine="8"/>
        <w:spacing w:after="0" w:line="286" w:lineRule="auto"/>
        <w:tabs>
          <w:tab w:leader="none" w:pos="272"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w:t>
      </w:r>
    </w:p>
    <w:p>
      <w:pPr>
        <w:spacing w:after="0" w:line="165" w:lineRule="exact"/>
        <w:rPr>
          <w:rFonts w:ascii="Arial" w:cs="Arial" w:eastAsia="Arial" w:hAnsi="Arial"/>
          <w:sz w:val="17"/>
          <w:szCs w:val="17"/>
          <w:i w:val="1"/>
          <w:iCs w:val="1"/>
          <w:color w:val="auto"/>
        </w:rPr>
      </w:pP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 Excluding Fireside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19"/>
                <w:szCs w:val="19"/>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2013</w:t>
            </w: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2012</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r>
      <w:tr>
        <w:trPr>
          <w:trHeight w:val="210"/>
        </w:trPr>
        <w:tc>
          <w:tcPr>
            <w:tcW w:w="3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2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1,049,282</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665,043</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699,030</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Annualized net charge-offs as a percentage of</w:t>
            </w: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average servicing portfolio (2)</w:t>
            </w: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0"/>
                <w:szCs w:val="20"/>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414"/>
        </w:trPr>
        <w:tc>
          <w:tcPr>
            <w:tcW w:w="3720" w:type="dxa"/>
            <w:vAlign w:val="bottom"/>
          </w:tcPr>
          <w:p>
            <w:pPr>
              <w:spacing w:after="0"/>
              <w:rPr>
                <w:sz w:val="24"/>
                <w:szCs w:val="24"/>
                <w:color w:val="auto"/>
              </w:rPr>
            </w:pPr>
          </w:p>
        </w:tc>
        <w:tc>
          <w:tcPr>
            <w:tcW w:w="38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Net Charge-Off Experience (1)</w:t>
            </w: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720" w:type="dxa"/>
            <w:vAlign w:val="bottom"/>
          </w:tcPr>
          <w:p>
            <w:pPr>
              <w:spacing w:after="0"/>
              <w:rPr>
                <w:sz w:val="20"/>
                <w:szCs w:val="20"/>
                <w:color w:val="auto"/>
              </w:rPr>
            </w:pPr>
          </w:p>
        </w:tc>
        <w:tc>
          <w:tcPr>
            <w:tcW w:w="38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0"/>
              </w:rPr>
              <w:t>Fireside Portfolio</w:t>
            </w:r>
          </w:p>
        </w:tc>
        <w:tc>
          <w:tcPr>
            <w:tcW w:w="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3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24"/>
                <w:szCs w:val="24"/>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2013</w:t>
            </w: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2012</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r>
      <w:tr>
        <w:trPr>
          <w:trHeight w:val="210"/>
        </w:trPr>
        <w:tc>
          <w:tcPr>
            <w:tcW w:w="3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2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29,664</w:t>
            </w:r>
          </w:p>
        </w:tc>
        <w:tc>
          <w:tcPr>
            <w:tcW w:w="40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115,826</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103,548</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Annualized net charge-offs as a percentage of</w:t>
            </w: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average servicing portfolio (2)</w:t>
            </w: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20"/>
                <w:szCs w:val="20"/>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414"/>
        </w:trPr>
        <w:tc>
          <w:tcPr>
            <w:tcW w:w="3720" w:type="dxa"/>
            <w:vAlign w:val="bottom"/>
          </w:tcPr>
          <w:p>
            <w:pPr>
              <w:spacing w:after="0"/>
              <w:rPr>
                <w:sz w:val="24"/>
                <w:szCs w:val="24"/>
                <w:color w:val="auto"/>
              </w:rPr>
            </w:pPr>
          </w:p>
        </w:tc>
        <w:tc>
          <w:tcPr>
            <w:tcW w:w="38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Net Charge-Off Experience (1)</w:t>
            </w: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720" w:type="dxa"/>
            <w:vAlign w:val="bottom"/>
          </w:tcPr>
          <w:p>
            <w:pPr>
              <w:spacing w:after="0"/>
              <w:rPr>
                <w:sz w:val="20"/>
                <w:szCs w:val="20"/>
                <w:color w:val="auto"/>
              </w:rPr>
            </w:pPr>
          </w:p>
        </w:tc>
        <w:tc>
          <w:tcPr>
            <w:tcW w:w="38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1"/>
              </w:rPr>
              <w:t>Total Owned Portfolio Including Fireside</w:t>
            </w:r>
          </w:p>
        </w:tc>
        <w:tc>
          <w:tcPr>
            <w:tcW w:w="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3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24"/>
                <w:szCs w:val="24"/>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2013</w:t>
            </w: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2012</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r>
      <w:tr>
        <w:trPr>
          <w:trHeight w:val="210"/>
        </w:trPr>
        <w:tc>
          <w:tcPr>
            <w:tcW w:w="3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2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1,078,946</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780,869</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802,579</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Annualized net charge-offs as a percentage of</w:t>
            </w: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20" w:type="dxa"/>
            <w:vAlign w:val="bottom"/>
          </w:tcPr>
          <w:p>
            <w:pPr>
              <w:ind w:left="160"/>
              <w:spacing w:after="0"/>
              <w:rPr>
                <w:sz w:val="20"/>
                <w:szCs w:val="20"/>
                <w:color w:val="auto"/>
              </w:rPr>
            </w:pPr>
            <w:r>
              <w:rPr>
                <w:rFonts w:ascii="Arial" w:cs="Arial" w:eastAsia="Arial" w:hAnsi="Arial"/>
                <w:sz w:val="18"/>
                <w:szCs w:val="18"/>
                <w:color w:val="auto"/>
              </w:rPr>
              <w:t>average servicing portfolio (2)</w:t>
            </w: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30"/>
        </w:trPr>
        <w:tc>
          <w:tcPr>
            <w:tcW w:w="3720" w:type="dxa"/>
            <w:vAlign w:val="bottom"/>
          </w:tcPr>
          <w:p>
            <w:pPr>
              <w:spacing w:after="0"/>
              <w:rPr>
                <w:sz w:val="20"/>
                <w:szCs w:val="20"/>
                <w:color w:val="auto"/>
              </w:rPr>
            </w:pPr>
            <w:r>
              <w:rPr>
                <w:rFonts w:ascii="Arial" w:cs="Arial" w:eastAsia="Arial" w:hAnsi="Arial"/>
                <w:sz w:val="18"/>
                <w:szCs w:val="18"/>
                <w:i w:val="1"/>
                <w:iCs w:val="1"/>
                <w:color w:val="auto"/>
              </w:rPr>
              <w:t>_______________</w:t>
            </w:r>
          </w:p>
        </w:tc>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firstLine="8"/>
        <w:spacing w:after="0" w:line="261" w:lineRule="auto"/>
        <w:tabs>
          <w:tab w:leader="none" w:pos="278"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spacing w:after="0" w:line="183" w:lineRule="exact"/>
        <w:rPr>
          <w:rFonts w:ascii="Arial" w:cs="Arial" w:eastAsia="Arial" w:hAnsi="Arial"/>
          <w:sz w:val="18"/>
          <w:szCs w:val="18"/>
          <w:i w:val="1"/>
          <w:iCs w:val="1"/>
          <w:color w:val="auto"/>
        </w:rPr>
      </w:pPr>
    </w:p>
    <w:p>
      <w:pPr>
        <w:jc w:val="both"/>
        <w:ind w:firstLine="8"/>
        <w:spacing w:after="0" w:line="279" w:lineRule="auto"/>
        <w:tabs>
          <w:tab w:leader="none" w:pos="265"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financial statements. September 30, 2013 and September 30, 2012 percentage represents nine months ended September 30, 2013 and September 30, 2012 annualized. December 31, 2012 represents 12 months ended December 31,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jc w:val="both"/>
        <w:ind w:firstLine="162"/>
        <w:spacing w:after="0" w:line="272" w:lineRule="auto"/>
        <w:rPr>
          <w:sz w:val="20"/>
          <w:szCs w:val="20"/>
          <w:color w:val="auto"/>
        </w:rPr>
      </w:pPr>
      <w:r>
        <w:rPr>
          <w:rFonts w:ascii="Arial" w:cs="Arial" w:eastAsia="Arial" w:hAnsi="Arial"/>
          <w:sz w:val="17"/>
          <w:szCs w:val="17"/>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from the obligor, thereby indicating an additional monetary and psychological commitment to the contract on the obligor’s part.</w:t>
      </w:r>
    </w:p>
    <w:p>
      <w:pPr>
        <w:spacing w:after="0" w:line="17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78"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September 30, 2013, for accounts that received extensions from 2008 through 2012 (2013 data are not included at this time due to insufficient passage of time for meaningful evaluation of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Active or Paid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 Active or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 Charged Off</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Charged Off</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 Charged Off</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Avg Months</w:t>
            </w: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Off at</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Paid Off at</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Charged Off &gt;</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&gt; 6 Months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&lt;= 6 Months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&lt;= 6 Months</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to Charge Off</w:t>
            </w:r>
          </w:p>
        </w:tc>
      </w:tr>
      <w:tr>
        <w:trPr>
          <w:trHeight w:val="216"/>
        </w:trPr>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Period of</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 Extensions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6 Months After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After</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After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After</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Post</w:t>
            </w:r>
          </w:p>
        </w:tc>
      </w:tr>
      <w:tr>
        <w:trPr>
          <w:trHeight w:val="230"/>
        </w:trPr>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Extension</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Granted</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Extension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Extension</w:t>
            </w:r>
          </w:p>
        </w:tc>
      </w:tr>
      <w:tr>
        <w:trPr>
          <w:trHeight w:val="210"/>
        </w:trPr>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6"/>
        </w:trPr>
        <w:tc>
          <w:tcPr>
            <w:tcW w:w="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35,588</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11,428</w:t>
            </w:r>
          </w:p>
        </w:tc>
        <w:tc>
          <w:tcPr>
            <w:tcW w:w="2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32.1%</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19,234</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54.0%</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4,819</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13.5%</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32,004</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11,362</w:t>
            </w:r>
          </w:p>
        </w:tc>
        <w:tc>
          <w:tcPr>
            <w:tcW w:w="2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35.5%</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15,081</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47.1%</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5,783</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18.1%</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22,593</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13,621</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60.3%</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10,547</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46.7%</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1,999</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8.8%</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17,001</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12,703</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74.7%</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5,151</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30.3%</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932</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5.5%</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18,783</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15,072</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80.2%</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2,915</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15.5%</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796</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w:t>
            </w:r>
          </w:p>
        </w:tc>
        <w:tc>
          <w:tcPr>
            <w:tcW w:w="10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79"/>
              </w:rPr>
              <w:t>9</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Table excludes extensions on portfolios serviced for third parties.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the accounts receiving extensions in 2008, 2009, 2010, 2011 and 2012, 32.1%, 35.5%, 60.3%, 74.7% and 80.2%, respectively, were either paid in full or active and performing at September 30, 2013.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the extension accounts that ultimately charge off, we consider any that charged off more than six months after the extension to be at least partially successful. For the 2008, 2009, 2010, 2011 and 2012 extensions, of the accounts that charged off, the charge off was incurred, on average, 18, 15, 16, 14 and 9 months, respectively, after the extension, indicating that even in the cases of an ultimate loss, the obligor serviced the account with additional payments of principal and interest.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6840" w:type="dxa"/>
            <w:vAlign w:val="bottom"/>
            <w:gridSpan w:val="2"/>
          </w:tcPr>
          <w:p>
            <w:pPr>
              <w:ind w:left="660"/>
              <w:spacing w:after="0"/>
              <w:rPr>
                <w:sz w:val="20"/>
                <w:szCs w:val="20"/>
                <w:color w:val="auto"/>
              </w:rPr>
            </w:pPr>
            <w:r>
              <w:rPr>
                <w:rFonts w:ascii="Arial" w:cs="Arial" w:eastAsia="Arial" w:hAnsi="Arial"/>
                <w:sz w:val="18"/>
                <w:szCs w:val="18"/>
                <w:color w:val="auto"/>
              </w:rPr>
              <w:t>Additional information about our extensions is provided in the tables below:</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Year Ended</w:t>
            </w:r>
          </w:p>
        </w:tc>
      </w:tr>
      <w:tr>
        <w:trPr>
          <w:trHeight w:val="234"/>
        </w:trPr>
        <w:tc>
          <w:tcPr>
            <w:tcW w:w="5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58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2012</w:t>
            </w:r>
          </w:p>
        </w:tc>
        <w:tc>
          <w:tcPr>
            <w:tcW w:w="34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r>
      <w:tr>
        <w:trPr>
          <w:trHeight w:val="210"/>
        </w:trPr>
        <w:tc>
          <w:tcPr>
            <w:tcW w:w="5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Average number of extensions granted per month</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1,701</w:t>
            </w:r>
          </w:p>
        </w:tc>
        <w:tc>
          <w:tcPr>
            <w:tcW w:w="3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1,557</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1,565</w:t>
            </w:r>
          </w:p>
        </w:tc>
      </w:tr>
      <w:tr>
        <w:trPr>
          <w:trHeight w:val="216"/>
        </w:trPr>
        <w:tc>
          <w:tcPr>
            <w:tcW w:w="5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Average number of outstanding accounts</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91,567</w:t>
            </w:r>
          </w:p>
        </w:tc>
        <w:tc>
          <w:tcPr>
            <w:tcW w:w="6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94,248</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93,022</w:t>
            </w:r>
          </w:p>
        </w:tc>
      </w:tr>
      <w:tr>
        <w:trPr>
          <w:trHeight w:val="216"/>
        </w:trPr>
        <w:tc>
          <w:tcPr>
            <w:tcW w:w="5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Average monthly extensions as % of average outstandings</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w:t>
            </w:r>
          </w:p>
        </w:tc>
        <w:tc>
          <w:tcPr>
            <w:tcW w:w="6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4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September 30, 2013</w:t>
            </w:r>
          </w:p>
        </w:tc>
        <w:tc>
          <w:tcPr>
            <w:tcW w:w="2940" w:type="dxa"/>
            <w:vAlign w:val="bottom"/>
            <w:gridSpan w:val="5"/>
          </w:tcPr>
          <w:p>
            <w:pPr>
              <w:ind w:left="560"/>
              <w:spacing w:after="0"/>
              <w:rPr>
                <w:sz w:val="20"/>
                <w:szCs w:val="20"/>
                <w:color w:val="auto"/>
              </w:rPr>
            </w:pPr>
            <w:r>
              <w:rPr>
                <w:rFonts w:ascii="Arial" w:cs="Arial" w:eastAsia="Arial" w:hAnsi="Arial"/>
                <w:sz w:val="18"/>
                <w:szCs w:val="18"/>
                <w:b w:val="1"/>
                <w:bCs w:val="1"/>
                <w:color w:val="auto"/>
              </w:rPr>
              <w:t>September 30, 2012</w:t>
            </w: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Borders>
              <w:top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13,807</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148,663</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13,030</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83,618</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13,003</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4,041</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28,979</w:t>
            </w:r>
          </w:p>
        </w:tc>
        <w:tc>
          <w:tcPr>
            <w:tcW w:w="1160" w:type="dxa"/>
            <w:vAlign w:val="bottom"/>
          </w:tcPr>
          <w:p>
            <w:pPr>
              <w:jc w:val="right"/>
              <w:spacing w:after="0"/>
              <w:rPr>
                <w:sz w:val="20"/>
                <w:szCs w:val="20"/>
                <w:color w:val="auto"/>
              </w:rPr>
            </w:pPr>
            <w:r>
              <w:rPr>
                <w:rFonts w:ascii="Arial" w:cs="Arial" w:eastAsia="Arial" w:hAnsi="Arial"/>
                <w:sz w:val="18"/>
                <w:szCs w:val="18"/>
                <w:color w:val="auto"/>
              </w:rPr>
              <w:t>5,376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26,538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4,801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1,636</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7,147</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3,074</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15,472</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2,822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716</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2,875</w:t>
            </w:r>
          </w:p>
        </w:tc>
        <w:tc>
          <w:tcPr>
            <w:tcW w:w="1160" w:type="dxa"/>
            <w:vAlign w:val="bottom"/>
          </w:tcPr>
          <w:p>
            <w:pPr>
              <w:jc w:val="right"/>
              <w:spacing w:after="0"/>
              <w:rPr>
                <w:sz w:val="20"/>
                <w:szCs w:val="20"/>
                <w:color w:val="auto"/>
              </w:rPr>
            </w:pPr>
            <w:r>
              <w:rPr>
                <w:rFonts w:ascii="Arial" w:cs="Arial" w:eastAsia="Arial" w:hAnsi="Arial"/>
                <w:sz w:val="18"/>
                <w:szCs w:val="18"/>
                <w:color w:val="auto"/>
              </w:rPr>
              <w:t>1,181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6,004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875</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842</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176</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20,453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188,715</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22,838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132,591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21,982</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136,863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originated and owned by 3rd</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parties)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95,974</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1,162,730</w:t>
            </w:r>
          </w:p>
        </w:tc>
        <w:tc>
          <w:tcPr>
            <w:tcW w:w="360" w:type="dxa"/>
            <w:vAlign w:val="bottom"/>
            <w:shd w:val="clear" w:color="auto" w:fill="EEEEEE"/>
          </w:tcPr>
          <w:p>
            <w:pPr>
              <w:spacing w:after="0"/>
              <w:rPr>
                <w:sz w:val="20"/>
                <w:szCs w:val="20"/>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89,991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829,445</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89,163</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885,993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or retain on our balance sheet any accrued interest for contracts that are greater than 90 days past due.</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jc w:val="both"/>
        <w:ind w:firstLine="162"/>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Our business requires substantial cash to support our purchases of automobile contracts and other operating activities. Our primary sources of cash have been cash flows from operating activities, including proceeds from term securitization transactions and other sales of automobile contracts, amounts borrowed under various revolving credit facilities (also sometimes known as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8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Net cash provided by operating activities for the nine-month period ended September 30, 2013 was $71.2 million compared to net cash provided by operating activities for the nine-month period ended September 30, 2012 of $16.4 million. Cash provided by operating activities is significantly affected by our net income, or loss, before provisions for credit losses. The increase is due primarily to the increase in net income of $9.9 million, the increase in provision for credit losses of $30.7 million, and the increase in provision for contingent liabilities of $9.7 million.</w:t>
      </w:r>
    </w:p>
    <w:p>
      <w:pPr>
        <w:spacing w:after="0" w:line="187"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Net cash used in investing activities for the nine-month period ended September 30, 2013 was $325.0 million compared to net cash used by investing activities of $31.2 million in the prior year period. Cash provided by investing activities primarily results from principal payments and other proceeds received on finance receivables held for investment and reductions in restricted cash. Cash used in investing activities generally relates to purchases of automobile contracts. Purchases of finance receivables held for investment were $592.3 million and $400.9 million during the first nine months of 2013 and 2012, respectively. The significant change from the prior year is largely attributable to the increase in our purchases of finance receivables, net of principal payments received. For the nine-month period ended September 30, 2013, purchases of finance receivables net of principal payments resulted in net cash used of $339.2 million, compared to the prior year when purchases of finance receivables net of payments resulted in net cash used of $174.5 million.</w:t>
      </w:r>
    </w:p>
    <w:p>
      <w:pPr>
        <w:spacing w:after="0" w:line="167"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Net cash provided by financing activities for the nine months ended September 30, 2013 was $265.0 million compared to net cash provided by financing activities of $15.2 million in the prior year period. Cash provided by financing activities is primarily related to the issuance of securitization trust debt, reduced by the amount of repayment of securitization trust debt and net proceeds or repayments on our warehouse lines of credit. In the first nine months of 2013, we issued $595.0 million in new securitization trust debt compared to $443.5 million in the same period of 2012. In addition, we repaid $282.0 million in securitization trust debt and $41.4 million in debt associated with the Fireside portfolio in the nine months ended September 30, 2013 compared to repayments of securitization trust debt of $306.5 million and repayment of $97.7 million in debt associated with the Fireside portfolio in the prior year period. In the nine months ended September 30, 2013, we received net proceeds on warehouse lines of credit of $5.2 million, compared to net repayments of $5.0 million in the prior year’s period. In addition, in the nine months ended September 30, 2013, we received net proceeds of $6.2 million in residual debt, which consisted of proceeds on new residual interest debt of $20.0 million and repayments under previously issued residual interest debt of $13.8 million. In the prior year period repayments of residual interest debt were $8.1 million. Senior secured related party debt decreased by $12.9 million as a result of our repayment of a $15 million note and the issuance of a new note that had a balance owing of $2.1 million at September 30, 2013.</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jc w:val="both"/>
        <w:ind w:firstLine="162"/>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We are and may in the future be limited in our ability to purchase automobile contracts due to limits on our capital. As of September 30, 2013, we had unrestricted cash of $24.1 million, $84.0 million available under one warehouse credit facility and $89.0 million available under another warehouse credit facility (such figures assume the availability of sufficient eligible collateral). During the nine-month period ended September 30, 2013, we completed three securitizations aggregating $595.0 million of receivables. We intend to complete one more securitization during 2013, although there can be no assurance that we will be able to so.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78"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 Moreover, most of our retained interests in securitization transactions and their related spread accounts are pledged as collateral to our residual interest financings and, under certain circumstances, cash releases from these transactions will be used to repay the financings.</w:t>
      </w:r>
    </w:p>
    <w:p>
      <w:pPr>
        <w:spacing w:after="0" w:line="16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One of our securitization transactions, our warehouse credit facilities, our residual interest financing and our financing for the Fireside portfolio contain various financial covenants requiring certain minimum financial ratios and results. Such covenants include maintaining minimum levels of liquidity and net worth and not exceeding maximum leverage levels. As of September 30, 2013, we were in compliance with all such financial covenants. In addition, some agreements contain cross-default provisions that would allow certain creditors to declare a default if a default occurred under a different facility.</w:t>
      </w:r>
    </w:p>
    <w:p>
      <w:pPr>
        <w:spacing w:after="0" w:line="17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and will continue to have a substantial amount of indebtedness. At September 30, 2013, we had approximately $1,218.0 million of debt outstanding. Such debt consisted primarily of $1,094.6 million of securitization trust debt, and also included $16.9 million in debt for the acquisition of the Fireside portfolio, $27.0 million of warehouse lines of credit, $20.0 million of residual interest financing, $39.0 million of senior secured related party debt and $20.6 million in subordinated renewable notes. We are also currently offering the subordinated notes to the public on a continuous basis, and such notes have maturities that range from three months to 10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jc w:val="both"/>
        <w:ind w:firstLine="162"/>
        <w:spacing w:after="0" w:line="259" w:lineRule="auto"/>
        <w:rPr>
          <w:sz w:val="20"/>
          <w:szCs w:val="20"/>
          <w:color w:val="auto"/>
        </w:rPr>
      </w:pPr>
      <w:r>
        <w:rPr>
          <w:rFonts w:ascii="Arial" w:cs="Arial" w:eastAsia="Arial" w:hAnsi="Arial"/>
          <w:sz w:val="18"/>
          <w:szCs w:val="18"/>
          <w:color w:val="auto"/>
        </w:rPr>
        <w:t>Our recent operating results include pre-tax earnings of $25.6 million for the nine months ended September 30, 2013 and $9.2 million for the year ended December 31, 2012. Those periods were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We believe that our accounting policies related to (a) Allowance for Finance Credit Losses, (b) Amortization of Deferred Originations Costs and Acquisition Fees, (c) Term Securitizations, (d) Finance Receivables and Related Debt Measured at Fair Value, and (e) Income Taxes are the most critical to understanding and evaluating our reported financial results. Such policies are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jc w:val="both"/>
        <w:ind w:firstLine="130"/>
        <w:spacing w:after="0" w:line="268" w:lineRule="auto"/>
        <w:rPr>
          <w:sz w:val="20"/>
          <w:szCs w:val="20"/>
          <w:color w:val="auto"/>
        </w:rPr>
      </w:pPr>
      <w:r>
        <w:rPr>
          <w:rFonts w:ascii="Arial" w:cs="Arial" w:eastAsia="Arial" w:hAnsi="Arial"/>
          <w:sz w:val="17"/>
          <w:szCs w:val="17"/>
          <w:color w:val="auto"/>
        </w:rPr>
        <w:t>In order to estimate an appropriate allowance for losses to be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losses is charged to our consolidated statement of operations.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 While our allowance as a percentage of finance receivables has increased recently, previously it had decreased for several years due primarily to the continued seasoning of our portfolio. Our historical static loss data shows that, in general, incremental monthly losses as a percentage of the balance outstanding increase to a peak between months 36 and 42 of the life of a static portfolio, after which such monthly incremental losses tend to decrease. As of September 30, 2013 the weighted average age of our portfolio of finance receivables was 14 months. In addition, receivables originated after the second quarter of 2008 have exhibited significantly better credit performance metrics than 2006 and 2007 vintage portfolios at similar aging stages.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Deferred Originations Costs and Acquisition Fees</w:t>
      </w:r>
    </w:p>
    <w:p>
      <w:pPr>
        <w:spacing w:after="0" w:line="225"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Upon purchase of a contract from a dealer, we generally either charge or advance the dealer an acquisition fee. In addition, we incur certain direct costs associated with originations of our contracts. All such acquisition fees and direct costs are applied to the carrying value of finance receivables and are accreted into earnings as an adjustment to the yield over the estimated life of the contract using the interest method.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jc w:val="both"/>
        <w:ind w:firstLine="130"/>
        <w:spacing w:after="0" w:line="285" w:lineRule="auto"/>
        <w:rPr>
          <w:sz w:val="20"/>
          <w:szCs w:val="20"/>
          <w:color w:val="auto"/>
        </w:rPr>
      </w:pPr>
      <w:r>
        <w:rPr>
          <w:rFonts w:ascii="Arial" w:cs="Arial" w:eastAsia="Arial" w:hAnsi="Arial"/>
          <w:sz w:val="16"/>
          <w:szCs w:val="16"/>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 We structure our securitizations to include internal credit enhancement for the benefit of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 (iv) 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a specified level, which is then maintained. This specified level is generally computed as a percentage of the principal amount of the related automobile contracts and will vary depending on the performance of the specific portfolio. Such levels have increased and decreased from time to time based on performance of the various portfolios, and have also varied from one transaction to another. The agreements governing the securitizations generally grant us the option to repurchase the automobile contracts from the trust when the aggregate outstanding balance of the automobile contracts has amortized to a specified percentage of the initial aggregate balance.</w:t>
      </w:r>
    </w:p>
    <w:p>
      <w:pPr>
        <w:spacing w:after="0" w:line="178" w:lineRule="exact"/>
        <w:rPr>
          <w:sz w:val="20"/>
          <w:szCs w:val="20"/>
          <w:color w:val="auto"/>
        </w:rPr>
      </w:pPr>
    </w:p>
    <w:p>
      <w:pPr>
        <w:jc w:val="both"/>
        <w:ind w:firstLine="130"/>
        <w:spacing w:after="0" w:line="308" w:lineRule="auto"/>
        <w:rPr>
          <w:sz w:val="20"/>
          <w:szCs w:val="20"/>
          <w:color w:val="auto"/>
        </w:rPr>
      </w:pPr>
      <w:r>
        <w:rPr>
          <w:rFonts w:ascii="Arial" w:cs="Arial" w:eastAsia="Arial" w:hAnsi="Arial"/>
          <w:sz w:val="17"/>
          <w:szCs w:val="17"/>
          <w:color w:val="auto"/>
        </w:rPr>
        <w:t>Upon each transfer of automobile contracts in a transaction structured as a secured financing for financial accounting purposes, we retain on our consolidated balance sheet the related automobile contracts as assets and record the asset-backed notes issued in the transaction as indebtedness.</w:t>
      </w:r>
    </w:p>
    <w:p>
      <w:pPr>
        <w:spacing w:after="0" w:line="147"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w:t>
      </w:r>
    </w:p>
    <w:p>
      <w:pPr>
        <w:spacing w:after="0" w:line="171" w:lineRule="exact"/>
        <w:rPr>
          <w:sz w:val="20"/>
          <w:szCs w:val="20"/>
          <w:color w:val="auto"/>
        </w:rPr>
      </w:pPr>
    </w:p>
    <w:p>
      <w:pPr>
        <w:jc w:val="both"/>
        <w:ind w:firstLine="130"/>
        <w:spacing w:after="0" w:line="291" w:lineRule="auto"/>
        <w:rPr>
          <w:sz w:val="20"/>
          <w:szCs w:val="20"/>
          <w:color w:val="auto"/>
        </w:rPr>
      </w:pPr>
      <w:r>
        <w:rPr>
          <w:rFonts w:ascii="Arial" w:cs="Arial" w:eastAsia="Arial" w:hAnsi="Arial"/>
          <w:sz w:val="16"/>
          <w:szCs w:val="16"/>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are not at the required levels, then the excess cash collected is retained in the trust until the specified levels are achieved. Although spread account balances are held by the trusts on behalf of our special-purpose subsidiaries as the owner of the residual interests or the trusts, we are restricted in use of the cash in the spread accounts. Cash held in the various spread accounts is invested in high quality, liquid investment securities, as specified in the securitization agreements.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Finance Receivables and Related Debt Measured at Fair Value</w:t>
      </w:r>
    </w:p>
    <w:p>
      <w:pPr>
        <w:spacing w:after="0" w:line="225" w:lineRule="exact"/>
        <w:rPr>
          <w:sz w:val="20"/>
          <w:szCs w:val="20"/>
          <w:color w:val="auto"/>
        </w:rPr>
      </w:pPr>
    </w:p>
    <w:p>
      <w:pPr>
        <w:jc w:val="both"/>
        <w:ind w:firstLine="130"/>
        <w:spacing w:after="0" w:line="288" w:lineRule="auto"/>
        <w:rPr>
          <w:sz w:val="20"/>
          <w:szCs w:val="20"/>
          <w:color w:val="auto"/>
        </w:rPr>
      </w:pPr>
      <w:r>
        <w:rPr>
          <w:rFonts w:ascii="Arial" w:cs="Arial" w:eastAsia="Arial" w:hAnsi="Arial"/>
          <w:sz w:val="16"/>
          <w:szCs w:val="16"/>
          <w:color w:val="auto"/>
        </w:rPr>
        <w:t>In September 2011 we purchased finance receivables from Fireside Bank. These receivables are secured by debt that was structured specifically for the acquisition of this portfolio.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There are limited observable inputs available to us for measurement of such receivables, or for the related debt. We use our own assumptions about the factors that we believe market participants would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jc w:val="both"/>
        <w:ind w:firstLine="130"/>
        <w:spacing w:after="0" w:line="288" w:lineRule="auto"/>
        <w:rPr>
          <w:sz w:val="20"/>
          <w:szCs w:val="20"/>
          <w:color w:val="auto"/>
        </w:rPr>
      </w:pPr>
      <w:r>
        <w:rPr>
          <w:rFonts w:ascii="Arial" w:cs="Arial" w:eastAsia="Arial" w:hAnsi="Arial"/>
          <w:sz w:val="16"/>
          <w:szCs w:val="16"/>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As a result of the unprecedented adverse changes in the market for securitizations, the recession and the resulting high levels of unemployment that occurred in 2008 and 2009, we incurred substantial operating losses from 2009 through 2011 which led us to establish a valuation allowance against a substantial portion of our deferred tax assets. However, from the fourth quarter of 2011 through September 2013, we reported eight consecutive quarters of increasing profitability, observed improvement in credit metrics, and produced reliable internal financial projections. Furthermore, we demonstrated an ability to increase our volumes of contract purchases, grow our managed portfolio and obtain cost effective short- and long-term financing for our finance receivables. As a result of these and other factors, we determined at December 31, 2012 that, based on the weight of the available objective evidence, it was more likely than not that we would generate sufficient future taxable income to utilize our net deferred tax assets. Accordingly, we reversed the related valuation allowance of $62.8 million in the fourth quarter of 2012.</w:t>
      </w:r>
    </w:p>
    <w:p>
      <w:pPr>
        <w:spacing w:after="0" w:line="169"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w:t>
      </w:r>
    </w:p>
    <w:p>
      <w:pPr>
        <w:spacing w:after="0" w:line="193" w:lineRule="exact"/>
        <w:rPr>
          <w:sz w:val="20"/>
          <w:szCs w:val="20"/>
          <w:color w:val="auto"/>
        </w:rPr>
      </w:pPr>
    </w:p>
    <w:p>
      <w:pPr>
        <w:jc w:val="both"/>
        <w:ind w:right="20" w:firstLine="130"/>
        <w:spacing w:after="0" w:line="308" w:lineRule="auto"/>
        <w:rPr>
          <w:sz w:val="20"/>
          <w:szCs w:val="20"/>
          <w:color w:val="auto"/>
        </w:rPr>
      </w:pPr>
      <w:r>
        <w:rPr>
          <w:rFonts w:ascii="Arial" w:cs="Arial" w:eastAsia="Arial" w:hAnsi="Arial"/>
          <w:sz w:val="17"/>
          <w:szCs w:val="17"/>
          <w:color w:val="auto"/>
        </w:rPr>
        <w:t>We recognize interest and penalties related to unrecognized tax benefits within the income tax expense line in the accompanying consolidated statement of operations. Accrued interest and penalties are included within the related tax liability line in the consolidated balance sheet.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130"/>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 information provided under the caption “Legal Proceedings,” Note 9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February 15, 2013.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We have and will continue to have a substantial amount of indebtedness. At September 30, 2013 and December 31, 2012, we had approximately $1,218.0 million and $958.5 million, respectively, of debt outstanding. Such debt consisted, as of September 30, 2013, primarily of $1,094.6 million of securitization trust debt, and also included $16.9 million in debt for the acquisition of the Fireside portfolio, $27.0 million of warehouse lines of credit indebtedness, $20.0 million of residual interest financing, $38.9 million of senior secured related party debt and $20.6 million in subordinated renewable notes. At December 31, 2012, such debt consisted primarily of $792.5 million of securitization trust debt, and also included $57.1 million in debt for the acquisition of the Fireside portfolio, $21.7 million of warehouse indebtedness, $13.8 million of residual interest financing, $50.1 million of senior secured related party debt, and $23.3 million in subordinated renewable notes. We are also currently offering the subordinated notes to the public on a continuous basis, and such notes have maturities that range from three months to 10 years.</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25" w:lineRule="exact"/>
        <w:rPr>
          <w:rFonts w:ascii="Arial" w:cs="Arial" w:eastAsia="Arial" w:hAnsi="Arial"/>
          <w:sz w:val="18"/>
          <w:szCs w:val="18"/>
          <w:color w:val="auto"/>
        </w:rPr>
      </w:pPr>
    </w:p>
    <w:p>
      <w:pPr>
        <w:ind w:left="780" w:hanging="259"/>
        <w:spacing w:after="0" w:line="277"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70"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25"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an increase in interest rates results in a decrease in our cash flow from excess spread, our results of operations may be impaired.</w:t>
      </w:r>
    </w:p>
    <w:p>
      <w:pPr>
        <w:spacing w:after="0" w:line="225"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Our profitability is largely determined by the difference, or "spread," between the effective interest rate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partially to offset increases in our cost of funds by increasing fees we charge to dealers when purchasing contracts, or by demanding higher interest rates on contracts we purchase, there can be no assurance that such actions would offset the entire increase in interest that we might pay to finance our managed portfolio.</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p>
      <w:pPr>
        <w:jc w:val="both"/>
        <w:ind w:firstLine="130"/>
        <w:spacing w:after="0" w:line="270" w:lineRule="auto"/>
        <w:rPr>
          <w:sz w:val="20"/>
          <w:szCs w:val="20"/>
          <w:color w:val="auto"/>
        </w:rPr>
      </w:pPr>
      <w:r>
        <w:rPr>
          <w:rFonts w:ascii="Arial" w:cs="Arial" w:eastAsia="Arial" w:hAnsi="Arial"/>
          <w:sz w:val="17"/>
          <w:szCs w:val="17"/>
          <w:color w:val="auto"/>
        </w:rPr>
        <w:t>Several factors affect our ability to manage interest rate risk. Specifically, we are subject to interest rate risk during the period after we purchase automobile contracts from dealers and before we finance such contracts in a term securitization. Interest rates on warehouse credit facilities are typically adjustable, while the interest rates on the automobile contracts are fixed. If interest rates increase, the interest we must pay to the lenders under warehouse credit facilities is likely to increase, while the interest we collect from those warehoused automobile contracts remains the same. Therefore, during the warehousing period, excess spread cash flow would likely decrease. Additionally, contracts warehoused and then securitized during a rising interest rate environment may result in less excess spread cash flow as our securitizations typically have paid interest rates set at prevailing interest rates at the time of the closing of the securitization, which may not take place until several months after we purchased those contracts. Our customers, on the other hand, pay fixed rates of interest on the contracts, which are agreed to at the time they purchase the underlying vehicles. A decrease in excess spread cash flow could adversely affect our earnings and cash flow.</w:t>
      </w:r>
    </w:p>
    <w:p>
      <w:pPr>
        <w:spacing w:after="0" w:line="182" w:lineRule="exact"/>
        <w:rPr>
          <w:sz w:val="20"/>
          <w:szCs w:val="20"/>
          <w:color w:val="auto"/>
        </w:rPr>
      </w:pPr>
    </w:p>
    <w:p>
      <w:pPr>
        <w:jc w:val="both"/>
        <w:ind w:firstLine="130"/>
        <w:spacing w:after="0" w:line="289" w:lineRule="auto"/>
        <w:rPr>
          <w:sz w:val="20"/>
          <w:szCs w:val="20"/>
          <w:color w:val="auto"/>
        </w:rPr>
      </w:pPr>
      <w:r>
        <w:rPr>
          <w:rFonts w:ascii="Arial" w:cs="Arial" w:eastAsia="Arial" w:hAnsi="Arial"/>
          <w:sz w:val="16"/>
          <w:szCs w:val="16"/>
          <w:color w:val="auto"/>
        </w:rPr>
        <w:t>To mitigate, but not eliminate, the short-term risk relating to floating interest rates payable under the warehouse facilities, we have historically held automobile contracts in the warehouse credit facilities for less than four months. To mitigate, but not eliminate, the long-term risk relating to interest rates payable in securitizations, we have in the past, and intend to continue to, structure some of our securitization transactions to include pre-funding structures, whereby the amount of securities issued exceeds the amount of contracts initially sold into the securitization. In pre-funding, the proceeds from the pre-funded portion are held in an escrow account until we sell the additional contracts into the securitization. In pre-funded securitizations, we effectively lock in our borrowing costs with respect to the contracts we subsequently sell into the securitization. However, we incur an expense in pre-funded securitizations equal to the difference between the money market yields earned on the proceeds held in escrow prior to subsequent delivery of contracts and the interest rate paid on the securities issued in the securitization. The amount of such expense may vary. Despite these mitigation strategies, an increase in prevailing interest rates would cause us to receive less excess spread cash flow on automobile contracts, and thus could adversely affect our earnings and cash flow.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30"/>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changes in general economic conditions;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our ability or inability to obtain necessary financing</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in interest rates;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our ability to generate sufficient operating and financing cash flows;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competition;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level of future provisioning for receivables losses; and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regulatory requirements.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jc w:val="both"/>
        <w:ind w:firstLine="130"/>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 See "Where You Can Find More Information" and "Documents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During the three months ended September 30, 2013, we re-purchased 205,130 shares of our common stock, in a net exercise of outstanding warrants. In that transaction, the holder of warrants to purchase 272,000 shares of our common stock paid the aggregate $1,346,400 warrant exercise price by surrender to us of 205,130 of such 272,000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Shares Purchased as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May Yet be Purchased</w:t>
            </w:r>
          </w:p>
        </w:tc>
      </w:tr>
      <w:tr>
        <w:trPr>
          <w:trHeight w:val="230"/>
        </w:trPr>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Total Number of Shares</w:t>
            </w:r>
          </w:p>
        </w:tc>
        <w:tc>
          <w:tcPr>
            <w:tcW w:w="140" w:type="dxa"/>
            <w:vAlign w:val="bottom"/>
          </w:tcPr>
          <w:p>
            <w:pPr>
              <w:spacing w:after="0"/>
              <w:rPr>
                <w:sz w:val="19"/>
                <w:szCs w:val="19"/>
                <w:color w:val="auto"/>
              </w:rPr>
            </w:pPr>
          </w:p>
        </w:tc>
        <w:tc>
          <w:tcPr>
            <w:tcW w:w="2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1"/>
              </w:rPr>
              <w:t>Average Price Paid</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 the Plans or</w:t>
            </w:r>
          </w:p>
        </w:tc>
      </w:tr>
      <w:tr>
        <w:trPr>
          <w:trHeight w:val="234"/>
        </w:trPr>
        <w:tc>
          <w:tcPr>
            <w:tcW w:w="2980" w:type="dxa"/>
            <w:vAlign w:val="bottom"/>
            <w:gridSpan w:val="2"/>
          </w:tcPr>
          <w:p>
            <w:pPr>
              <w:ind w:left="1020"/>
              <w:spacing w:after="0"/>
              <w:rPr>
                <w:sz w:val="20"/>
                <w:szCs w:val="20"/>
                <w:color w:val="auto"/>
              </w:rPr>
            </w:pPr>
            <w:r>
              <w:rPr>
                <w:rFonts w:ascii="Arial" w:cs="Arial" w:eastAsia="Arial" w:hAnsi="Arial"/>
                <w:sz w:val="18"/>
                <w:szCs w:val="18"/>
                <w:b w:val="1"/>
                <w:bCs w:val="1"/>
                <w:color w:val="auto"/>
              </w:rPr>
              <w:t>Period(1)</w:t>
            </w: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Purchased</w:t>
            </w:r>
          </w:p>
        </w:tc>
        <w:tc>
          <w:tcPr>
            <w:tcW w:w="140" w:type="dxa"/>
            <w:vAlign w:val="bottom"/>
          </w:tcPr>
          <w:p>
            <w:pPr>
              <w:spacing w:after="0"/>
              <w:rPr>
                <w:sz w:val="20"/>
                <w:szCs w:val="20"/>
                <w:color w:val="auto"/>
              </w:rPr>
            </w:pPr>
          </w:p>
        </w:tc>
        <w:tc>
          <w:tcPr>
            <w:tcW w:w="206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per Share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Programs (2)</w:t>
            </w:r>
          </w:p>
        </w:tc>
      </w:tr>
      <w:tr>
        <w:trPr>
          <w:trHeight w:val="210"/>
        </w:trPr>
        <w:tc>
          <w:tcPr>
            <w:tcW w:w="27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July 2013</w:t>
            </w:r>
          </w:p>
        </w:tc>
        <w:tc>
          <w:tcPr>
            <w:tcW w:w="240" w:type="dxa"/>
            <w:vAlign w:val="bottom"/>
            <w:tcBorders>
              <w:top w:val="single" w:sz="8" w:color="EEEEEE"/>
            </w:tcBorders>
            <w:shd w:val="clear" w:color="auto" w:fill="EEEEEE"/>
          </w:tcPr>
          <w:p>
            <w:pPr>
              <w:spacing w:after="0"/>
              <w:rPr>
                <w:sz w:val="18"/>
                <w:szCs w:val="18"/>
                <w:color w:val="auto"/>
              </w:rPr>
            </w:pPr>
          </w:p>
        </w:tc>
        <w:tc>
          <w:tcPr>
            <w:tcW w:w="1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EEEEEE"/>
            </w:tcBorders>
            <w:shd w:val="clear" w:color="auto" w:fill="EEEEEE"/>
          </w:tcPr>
          <w:p>
            <w:pPr>
              <w:spacing w:after="0"/>
              <w:rPr>
                <w:sz w:val="18"/>
                <w:szCs w:val="18"/>
                <w:color w:val="auto"/>
              </w:rPr>
            </w:pPr>
          </w:p>
        </w:tc>
        <w:tc>
          <w:tcPr>
            <w:tcW w:w="17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986,193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August 2013</w:t>
            </w:r>
          </w:p>
        </w:tc>
        <w:tc>
          <w:tcPr>
            <w:tcW w:w="2180" w:type="dxa"/>
            <w:vAlign w:val="bottom"/>
            <w:gridSpan w:val="2"/>
          </w:tcPr>
          <w:p>
            <w:pPr>
              <w:jc w:val="right"/>
              <w:ind w:right="340"/>
              <w:spacing w:after="0"/>
              <w:rPr>
                <w:sz w:val="20"/>
                <w:szCs w:val="20"/>
                <w:color w:val="auto"/>
              </w:rPr>
            </w:pPr>
            <w:r>
              <w:rPr>
                <w:rFonts w:ascii="Arial" w:cs="Arial" w:eastAsia="Arial" w:hAnsi="Arial"/>
                <w:sz w:val="18"/>
                <w:szCs w:val="18"/>
                <w:color w:val="auto"/>
              </w:rPr>
              <w:t>205,130</w:t>
            </w:r>
          </w:p>
        </w:tc>
        <w:tc>
          <w:tcPr>
            <w:tcW w:w="140" w:type="dxa"/>
            <w:vAlign w:val="bottom"/>
          </w:tcPr>
          <w:p>
            <w:pPr>
              <w:spacing w:after="0"/>
              <w:rPr>
                <w:sz w:val="18"/>
                <w:szCs w:val="18"/>
                <w:color w:val="auto"/>
              </w:rPr>
            </w:pPr>
          </w:p>
        </w:tc>
        <w:tc>
          <w:tcPr>
            <w:tcW w:w="2060" w:type="dxa"/>
            <w:vAlign w:val="bottom"/>
            <w:gridSpan w:val="2"/>
          </w:tcPr>
          <w:p>
            <w:pPr>
              <w:jc w:val="right"/>
              <w:ind w:right="360"/>
              <w:spacing w:after="0"/>
              <w:rPr>
                <w:sz w:val="20"/>
                <w:szCs w:val="20"/>
                <w:color w:val="auto"/>
              </w:rPr>
            </w:pPr>
            <w:r>
              <w:rPr>
                <w:rFonts w:ascii="Arial" w:cs="Arial" w:eastAsia="Arial" w:hAnsi="Arial"/>
                <w:sz w:val="18"/>
                <w:szCs w:val="18"/>
                <w:color w:val="auto"/>
              </w:rPr>
              <w:t>6.56</w:t>
            </w:r>
          </w:p>
        </w:tc>
        <w:tc>
          <w:tcPr>
            <w:tcW w:w="17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986,193</w:t>
            </w:r>
          </w:p>
        </w:tc>
      </w:tr>
      <w:tr>
        <w:trPr>
          <w:trHeight w:val="230"/>
        </w:trPr>
        <w:tc>
          <w:tcPr>
            <w:tcW w:w="2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September 2013</w:t>
            </w:r>
          </w:p>
        </w:tc>
        <w:tc>
          <w:tcPr>
            <w:tcW w:w="2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20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EEEEEE"/>
          </w:tcPr>
          <w:p>
            <w:pPr>
              <w:spacing w:after="0"/>
              <w:rPr>
                <w:sz w:val="19"/>
                <w:szCs w:val="19"/>
                <w:color w:val="auto"/>
              </w:rPr>
            </w:pPr>
          </w:p>
        </w:tc>
        <w:tc>
          <w:tcPr>
            <w:tcW w:w="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986,193</w:t>
            </w:r>
          </w:p>
        </w:tc>
      </w:tr>
      <w:tr>
        <w:trPr>
          <w:trHeight w:val="224"/>
        </w:trPr>
        <w:tc>
          <w:tcPr>
            <w:tcW w:w="2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205,130</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36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0</wp:posOffset>
            </wp:positionV>
            <wp:extent cx="39363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-130175</wp:posOffset>
            </wp:positionV>
            <wp:extent cx="39363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Through September 30, 2013, our board of directors had authorized the purchase of up to $34.5 million of our outstanding securities, which program was first announced in our annual report for the year 2002, filed on March 26, 2003. All purchases described in the table above were under the plan announced in March 2003, which has no fixed expiration date.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Exhibits listed below are filed with this report.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shd w:val="clear" w:color="auto" w:fill="EEEEEE"/>
          </w:tcPr>
          <w:p>
            <w:pPr>
              <w:spacing w:after="0"/>
              <w:rPr>
                <w:sz w:val="20"/>
                <w:szCs w:val="20"/>
                <w:color w:val="auto"/>
              </w:rPr>
            </w:pPr>
            <w:r>
              <w:rPr>
                <w:rFonts w:ascii="Arial" w:cs="Arial" w:eastAsia="Arial" w:hAnsi="Arial"/>
                <w:sz w:val="18"/>
                <w:szCs w:val="18"/>
                <w:color w:val="auto"/>
              </w:rPr>
              <w:t>4.14</w:t>
            </w:r>
          </w:p>
        </w:tc>
        <w:tc>
          <w:tcPr>
            <w:tcW w:w="1056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4"/>
              </w:rPr>
              <w:t>Instruments defining the rights of holders of long-term debt of certain consolidated subsidiaries of the registrant are omitted pursuant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56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3"/>
              </w:rPr>
              <w:t>exclusion set forth in subdivisions (b)(iv)(iii)(A) and (b)(v) of Item 601 of Regulation S-K (17 CFR 229.601). The registrant agrees to provide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0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copies of such instruments to the United States Securities and Exchange Commission upon request.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4.47</w:t>
            </w:r>
          </w:p>
        </w:tc>
        <w:tc>
          <w:tcPr>
            <w:tcW w:w="10560" w:type="dxa"/>
            <w:vAlign w:val="bottom"/>
            <w:shd w:val="clear" w:color="auto" w:fill="EEEEEE"/>
          </w:tcPr>
          <w:p>
            <w:pPr>
              <w:ind w:left="180"/>
              <w:spacing w:after="0" w:line="201" w:lineRule="exact"/>
              <w:rPr>
                <w:sz w:val="20"/>
                <w:szCs w:val="20"/>
                <w:color w:val="auto"/>
              </w:rPr>
            </w:pPr>
            <w:r>
              <w:rPr>
                <w:rFonts w:ascii="Arial" w:cs="Arial" w:eastAsia="Arial" w:hAnsi="Arial"/>
                <w:sz w:val="18"/>
                <w:szCs w:val="18"/>
                <w:color w:val="auto"/>
                <w:w w:val="91"/>
              </w:rPr>
              <w:t>Indenture dated September 1, 2013 re Notes issued by CPS Auto Receivables Trust 2013-C. Incorporated by reference to the exhibit filed 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0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the registrant's Form 8-K/A on October 30,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4.48</w:t>
            </w:r>
          </w:p>
        </w:tc>
        <w:tc>
          <w:tcPr>
            <w:tcW w:w="10560" w:type="dxa"/>
            <w:vAlign w:val="bottom"/>
            <w:shd w:val="clear" w:color="auto" w:fill="EEEEEE"/>
          </w:tcPr>
          <w:p>
            <w:pPr>
              <w:ind w:left="180"/>
              <w:spacing w:after="0" w:line="201" w:lineRule="exact"/>
              <w:rPr>
                <w:sz w:val="20"/>
                <w:szCs w:val="20"/>
                <w:color w:val="auto"/>
              </w:rPr>
            </w:pPr>
            <w:r>
              <w:rPr>
                <w:rFonts w:ascii="Arial" w:cs="Arial" w:eastAsia="Arial" w:hAnsi="Arial"/>
                <w:sz w:val="18"/>
                <w:szCs w:val="18"/>
                <w:color w:val="auto"/>
                <w:w w:val="91"/>
              </w:rPr>
              <w:t>Sale and Servicing Agreement dated as of September 1, 2013. Incorporated by reference to the exhibit filed with the registrant's Form 8-K/A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0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October 30,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EEEEEE"/>
          </w:tcPr>
          <w:p>
            <w:pPr>
              <w:spacing w:after="0"/>
              <w:rPr>
                <w:sz w:val="20"/>
                <w:szCs w:val="20"/>
                <w:color w:val="auto"/>
              </w:rPr>
            </w:pPr>
            <w:r>
              <w:rPr>
                <w:rFonts w:ascii="Arial" w:cs="Arial" w:eastAsia="Arial" w:hAnsi="Arial"/>
                <w:sz w:val="18"/>
                <w:szCs w:val="18"/>
                <w:color w:val="auto"/>
              </w:rPr>
              <w:t>31.1</w:t>
            </w:r>
          </w:p>
        </w:tc>
        <w:tc>
          <w:tcPr>
            <w:tcW w:w="10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Rule 13a-14(a) Certification of the Chief Executive Officer of the registrant.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EEEEEE"/>
          </w:tcPr>
          <w:p>
            <w:pPr>
              <w:spacing w:after="0"/>
              <w:rPr>
                <w:sz w:val="20"/>
                <w:szCs w:val="20"/>
                <w:color w:val="auto"/>
              </w:rPr>
            </w:pPr>
            <w:r>
              <w:rPr>
                <w:rFonts w:ascii="Arial" w:cs="Arial" w:eastAsia="Arial" w:hAnsi="Arial"/>
                <w:sz w:val="18"/>
                <w:szCs w:val="18"/>
                <w:color w:val="auto"/>
              </w:rPr>
              <w:t>31.2</w:t>
            </w:r>
          </w:p>
        </w:tc>
        <w:tc>
          <w:tcPr>
            <w:tcW w:w="10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Rule 13a-14(a) Certification of the Chief Financial Officer of the registrant.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EEEEEE"/>
          </w:tcPr>
          <w:p>
            <w:pPr>
              <w:spacing w:after="0"/>
              <w:rPr>
                <w:sz w:val="20"/>
                <w:szCs w:val="20"/>
                <w:color w:val="auto"/>
              </w:rPr>
            </w:pPr>
            <w:r>
              <w:rPr>
                <w:rFonts w:ascii="Arial" w:cs="Arial" w:eastAsia="Arial" w:hAnsi="Arial"/>
                <w:sz w:val="18"/>
                <w:szCs w:val="18"/>
                <w:color w:val="auto"/>
              </w:rPr>
              <w:t>32</w:t>
            </w:r>
          </w:p>
        </w:tc>
        <w:tc>
          <w:tcPr>
            <w:tcW w:w="10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Section 1350 Certifications.*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EEEEEE"/>
          </w:tcPr>
          <w:p>
            <w:pPr>
              <w:spacing w:after="0"/>
              <w:rPr>
                <w:sz w:val="20"/>
                <w:szCs w:val="20"/>
                <w:color w:val="auto"/>
              </w:rPr>
            </w:pPr>
            <w:r>
              <w:rPr>
                <w:rFonts w:ascii="Arial" w:cs="Arial" w:eastAsia="Arial" w:hAnsi="Arial"/>
                <w:sz w:val="18"/>
                <w:szCs w:val="18"/>
                <w:color w:val="auto"/>
              </w:rPr>
              <w:t>101.INS</w:t>
            </w:r>
          </w:p>
        </w:tc>
        <w:tc>
          <w:tcPr>
            <w:tcW w:w="10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EEEEEE"/>
          </w:tcPr>
          <w:p>
            <w:pPr>
              <w:spacing w:after="0"/>
              <w:rPr>
                <w:sz w:val="20"/>
                <w:szCs w:val="20"/>
                <w:color w:val="auto"/>
              </w:rPr>
            </w:pPr>
            <w:r>
              <w:rPr>
                <w:rFonts w:ascii="Arial" w:cs="Arial" w:eastAsia="Arial" w:hAnsi="Arial"/>
                <w:sz w:val="18"/>
                <w:szCs w:val="18"/>
                <w:color w:val="auto"/>
              </w:rPr>
              <w:t>101.CAL</w:t>
            </w:r>
          </w:p>
        </w:tc>
        <w:tc>
          <w:tcPr>
            <w:tcW w:w="10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EEEEEE"/>
          </w:tcPr>
          <w:p>
            <w:pPr>
              <w:spacing w:after="0"/>
              <w:rPr>
                <w:sz w:val="20"/>
                <w:szCs w:val="20"/>
                <w:color w:val="auto"/>
              </w:rPr>
            </w:pPr>
            <w:r>
              <w:rPr>
                <w:rFonts w:ascii="Arial" w:cs="Arial" w:eastAsia="Arial" w:hAnsi="Arial"/>
                <w:sz w:val="18"/>
                <w:szCs w:val="18"/>
                <w:color w:val="auto"/>
              </w:rPr>
              <w:t>101.LAB</w:t>
            </w:r>
          </w:p>
        </w:tc>
        <w:tc>
          <w:tcPr>
            <w:tcW w:w="10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XBRL Label Linkbase Document</w:t>
            </w:r>
          </w:p>
        </w:tc>
        <w:tc>
          <w:tcPr>
            <w:tcW w:w="0" w:type="dxa"/>
            <w:vAlign w:val="bottom"/>
          </w:tcPr>
          <w:p>
            <w:pPr>
              <w:spacing w:after="0"/>
              <w:rPr>
                <w:sz w:val="1"/>
                <w:szCs w:val="1"/>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38"/>
        <w:spacing w:after="0" w:line="312" w:lineRule="auto"/>
        <w:tabs>
          <w:tab w:leader="none" w:pos="26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3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2013</w:t>
      </w:r>
    </w:p>
    <w:p>
      <w:pPr>
        <w:spacing w:after="0" w:line="225" w:lineRule="exact"/>
        <w:rPr>
          <w:sz w:val="20"/>
          <w:szCs w:val="20"/>
          <w:color w:val="auto"/>
        </w:rPr>
      </w:pPr>
    </w:p>
    <w:p>
      <w:pPr>
        <w:ind w:left="2760"/>
        <w:spacing w:after="0"/>
        <w:tabs>
          <w:tab w:leader="none" w:pos="3200" w:val="left"/>
        </w:tabs>
        <w:rPr>
          <w:sz w:val="20"/>
          <w:szCs w:val="20"/>
          <w:color w:val="auto"/>
        </w:rPr>
      </w:pPr>
      <w:r>
        <w:rPr>
          <w:rFonts w:ascii="Arial" w:cs="Arial" w:eastAsia="Arial" w:hAnsi="Arial"/>
          <w:sz w:val="18"/>
          <w:szCs w:val="18"/>
          <w:color w:val="auto"/>
        </w:rPr>
        <w:t>By:</w:t>
        <w:tab/>
        <w:t>/s/ JEFFREY P. FRITZ</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-130175</wp:posOffset>
            </wp:positionV>
            <wp:extent cx="28213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2013</w:t>
      </w:r>
    </w:p>
    <w:p>
      <w:pPr>
        <w:spacing w:after="0" w:line="225" w:lineRule="exact"/>
        <w:rPr>
          <w:sz w:val="20"/>
          <w:szCs w:val="20"/>
          <w:color w:val="auto"/>
        </w:rPr>
      </w:pPr>
    </w:p>
    <w:p>
      <w:pPr>
        <w:ind w:left="2760"/>
        <w:spacing w:after="0"/>
        <w:tabs>
          <w:tab w:leader="none" w:pos="3200" w:val="left"/>
        </w:tabs>
        <w:rPr>
          <w:sz w:val="20"/>
          <w:szCs w:val="20"/>
          <w:color w:val="auto"/>
        </w:rPr>
      </w:pPr>
      <w:r>
        <w:rPr>
          <w:rFonts w:ascii="Arial" w:cs="Arial" w:eastAsia="Arial" w:hAnsi="Arial"/>
          <w:sz w:val="18"/>
          <w:szCs w:val="18"/>
          <w:color w:val="auto"/>
        </w:rPr>
        <w:t>By:</w:t>
        <w:tab/>
        <w:t>/s/ CHARLES E. BRADLEY, JR</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-130175</wp:posOffset>
            </wp:positionV>
            <wp:extent cx="28213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387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4" w:name="page55"/>
    <w:bookmarkEnd w:id="54"/>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387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September 30, 2013,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360" w:hanging="344"/>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500" w:hanging="383"/>
        <w:spacing w:after="0"/>
        <w:tabs>
          <w:tab w:leader="none" w:pos="15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466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466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S"/>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lowerRoman"/>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decimal"/>
      <w:start w:val="10"/>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emdash "/>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2019-12-06T07:20:01Z</dcterms:created>
  <dcterms:modified xsi:type="dcterms:W3CDTF">2019-12-06T07:20:01Z</dcterms:modified>
</cp:coreProperties>
</file>