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980" w:right="1700" w:hanging="3972"/>
        <w:spacing w:after="0" w:line="501" w:lineRule="auto"/>
        <w:tabs>
          <w:tab w:leader="none" w:pos="58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spacing w:after="0"/>
              <w:rPr>
                <w:sz w:val="18"/>
                <w:szCs w:val="18"/>
                <w:color w:val="auto"/>
              </w:rPr>
            </w:pP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Securities Exchange Act of 1934 during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[_]</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[_]</w:t>
      </w:r>
    </w:p>
    <w:p>
      <w:pPr>
        <w:spacing w:after="0" w:line="18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567" w:right="239" w:bottom="1440" w:gutter="0" w:footer="0" w:header="0"/>
        </w:sectPr>
      </w:pPr>
    </w:p>
    <w:p>
      <w:pPr>
        <w:spacing w:after="0" w:line="18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Large accelerated filer [_]</w:t>
      </w:r>
    </w:p>
    <w:p>
      <w:pPr>
        <w:spacing w:after="0" w:line="23"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Non-accelerated filer [_]</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6"/>
          <w:szCs w:val="16"/>
          <w:color w:val="auto"/>
        </w:rPr>
        <w:t>Emerging growth company [_]</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[_]</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38" w:orient="portrait"/>
          <w:cols w:equalWidth="0" w:num="2">
            <w:col w:w="6360" w:space="720"/>
            <w:col w:w="4340"/>
          </w:cols>
          <w:pgMar w:left="240" w:top="567" w:right="239" w:bottom="1440" w:gutter="0" w:footer="0" w:header="0"/>
          <w:type w:val="continuous"/>
        </w:sectPr>
      </w:pPr>
    </w:p>
    <w:p>
      <w:pPr>
        <w:spacing w:after="0" w:line="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Yes [_] No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July 26, 2017 the registrant had 22,732,017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38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gridSpan w:val="2"/>
          </w:tcPr>
          <w:p>
            <w:pPr>
              <w:ind w:left="2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380" w:type="dxa"/>
            <w:vAlign w:val="bottom"/>
            <w:gridSpan w:val="8"/>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29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2"/>
          </w:tcPr>
          <w:p>
            <w:pPr>
              <w:spacing w:after="0"/>
              <w:rPr>
                <w:sz w:val="24"/>
                <w:szCs w:val="24"/>
                <w:color w:val="auto"/>
              </w:rPr>
            </w:pPr>
          </w:p>
        </w:tc>
        <w:tc>
          <w:tcPr>
            <w:tcW w:w="332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9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June 30, 2017 and December 31, 2016</w:t>
              </w:r>
            </w:hyperlink>
          </w:p>
        </w:tc>
        <w:tc>
          <w:tcPr>
            <w:tcW w:w="2360" w:type="dxa"/>
            <w:vAlign w:val="bottom"/>
            <w:gridSpan w:val="4"/>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300" w:type="dxa"/>
            <w:vAlign w:val="bottom"/>
            <w:gridSpan w:val="14"/>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Consolidated Statements of Operations for the three-month and six-month periods ended June 30, 2017</w:t>
              </w:r>
            </w:hyperlink>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2016</w:t>
              </w:r>
            </w:hyperlink>
          </w:p>
        </w:tc>
        <w:tc>
          <w:tcPr>
            <w:tcW w:w="220" w:type="dxa"/>
            <w:vAlign w:val="bottom"/>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89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six-month periods ended</w:t>
              </w:r>
            </w:hyperlink>
          </w:p>
        </w:tc>
        <w:tc>
          <w:tcPr>
            <w:tcW w:w="3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2017 and 2016</w:t>
              </w:r>
            </w:hyperlink>
          </w:p>
        </w:tc>
        <w:tc>
          <w:tcPr>
            <w:tcW w:w="7400" w:type="dxa"/>
            <w:vAlign w:val="bottom"/>
            <w:gridSpan w:val="9"/>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six-month periods ended June 30, 2017 and 2016</w:t>
              </w:r>
            </w:hyperlink>
          </w:p>
        </w:tc>
        <w:tc>
          <w:tcPr>
            <w:tcW w:w="680" w:type="dxa"/>
            <w:vAlign w:val="bottom"/>
            <w:gridSpan w:val="3"/>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8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500" w:type="dxa"/>
            <w:vAlign w:val="bottom"/>
            <w:gridSpan w:val="7"/>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4680" w:type="dxa"/>
            <w:vAlign w:val="bottom"/>
            <w:tcBorders>
              <w:top w:val="single" w:sz="8" w:color="0000EE"/>
            </w:tcBorders>
            <w:gridSpan w:val="5"/>
          </w:tcPr>
          <w:p>
            <w:pPr>
              <w:spacing w:after="0"/>
              <w:rPr>
                <w:sz w:val="17"/>
                <w:szCs w:val="17"/>
                <w:color w:val="auto"/>
              </w:rPr>
            </w:pPr>
          </w:p>
        </w:tc>
        <w:tc>
          <w:tcPr>
            <w:tcW w:w="2840" w:type="dxa"/>
            <w:vAlign w:val="bottom"/>
            <w:gridSpan w:val="5"/>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76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4320" w:type="dxa"/>
            <w:vAlign w:val="bottom"/>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4500" w:type="dxa"/>
            <w:vAlign w:val="bottom"/>
            <w:gridSpan w:val="3"/>
          </w:tcPr>
          <w:p>
            <w:pPr>
              <w:spacing w:after="0"/>
              <w:rPr>
                <w:sz w:val="24"/>
                <w:szCs w:val="24"/>
                <w:color w:val="auto"/>
              </w:rPr>
            </w:pPr>
          </w:p>
        </w:tc>
        <w:tc>
          <w:tcPr>
            <w:tcW w:w="4320" w:type="dxa"/>
            <w:vAlign w:val="bottom"/>
          </w:tcPr>
          <w:p>
            <w:pPr>
              <w:jc w:val="right"/>
              <w:ind w:right="270"/>
              <w:spacing w:after="0"/>
              <w:rPr>
                <w:sz w:val="20"/>
                <w:szCs w:val="20"/>
                <w:color w:val="auto"/>
              </w:rPr>
            </w:pPr>
            <w:r>
              <w:rPr>
                <w:rFonts w:ascii="Arial" w:cs="Arial" w:eastAsia="Arial" w:hAnsi="Arial"/>
                <w:sz w:val="18"/>
                <w:szCs w:val="18"/>
                <w:color w:val="auto"/>
              </w:rPr>
              <w:t>33</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584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33</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1480" w:type="dxa"/>
            <w:vAlign w:val="bottom"/>
          </w:tcPr>
          <w:p>
            <w:pPr>
              <w:spacing w:after="0"/>
              <w:rPr>
                <w:sz w:val="17"/>
                <w:szCs w:val="17"/>
                <w:color w:val="auto"/>
              </w:rPr>
            </w:pPr>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58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34</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40" w:type="dxa"/>
            <w:vAlign w:val="bottom"/>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35</w:t>
            </w:r>
          </w:p>
        </w:tc>
      </w:tr>
      <w:tr>
        <w:trPr>
          <w:trHeight w:val="993"/>
        </w:trPr>
        <w:tc>
          <w:tcPr>
            <w:tcW w:w="126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508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8"/>
                <w:szCs w:val="18"/>
                <w:color w:val="auto"/>
              </w:rPr>
              <w:t>2</w:t>
            </w: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15,810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118,298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112,754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2,314,522</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2,267,943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8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(107,315)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(95,578)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2,207,207</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2,094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45,198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42,845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36,952</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36,233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22,237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30,252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2,447,796</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2,410,402</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25,204</w:t>
            </w:r>
          </w:p>
        </w:tc>
        <w:tc>
          <w:tcPr>
            <w:tcW w:w="160" w:type="dxa"/>
            <w:vAlign w:val="bottom"/>
            <w:gridSpan w:val="2"/>
            <w:shd w:val="clear" w:color="auto" w:fill="EEEEEE"/>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24,977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131,272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103,358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2,081,989</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2,080,900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16,080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2,254,545</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2,224,184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22,883,867 and 23,587,126 shares issued</w:t>
            </w: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June 30, 2017 and December 31, 2016, respectively</w:t>
            </w:r>
          </w:p>
        </w:tc>
        <w:tc>
          <w:tcPr>
            <w:tcW w:w="28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75,109</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77,128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124,824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115,772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(6,682)</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193,251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2,447,796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2,410,402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ind w:lef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107,485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101,709</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212,060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2,587</w:t>
            </w:r>
          </w:p>
        </w:tc>
        <w:tc>
          <w:tcPr>
            <w:tcW w:w="3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3,224</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5,610</w:t>
            </w:r>
          </w:p>
        </w:tc>
        <w:tc>
          <w:tcPr>
            <w:tcW w:w="3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110,072</w:t>
            </w:r>
          </w:p>
        </w:tc>
        <w:tc>
          <w:tcPr>
            <w:tcW w:w="3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104,933</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217,670</w:t>
            </w:r>
          </w:p>
        </w:tc>
        <w:tc>
          <w:tcPr>
            <w:tcW w:w="3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205,582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17,572</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15,678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35,352</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6,819</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6,569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13,741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23,236</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19,727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45,324</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48,550</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44,423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95,717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Marketing</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3,990</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4,731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7,950</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1,733</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3,394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448</w:t>
            </w:r>
          </w:p>
        </w:tc>
        <w:tc>
          <w:tcPr>
            <w:tcW w:w="3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102,120</w:t>
            </w:r>
          </w:p>
        </w:tc>
        <w:tc>
          <w:tcPr>
            <w:tcW w:w="3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92,608</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201,926</w:t>
            </w:r>
          </w:p>
        </w:tc>
        <w:tc>
          <w:tcPr>
            <w:tcW w:w="3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181,028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7,952</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12,325</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15,744</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24,554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3,380</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5,053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6,692</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4,572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7,272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9,052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14,486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0.17</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23,076</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24,538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23,296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27,602</w:t>
            </w:r>
          </w:p>
        </w:tc>
        <w:tc>
          <w:tcPr>
            <w:tcW w:w="3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29,111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28,024</w:t>
            </w:r>
          </w:p>
        </w:tc>
        <w:tc>
          <w:tcPr>
            <w:tcW w:w="3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29,632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ind w:lef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7"/>
              </w:rPr>
              <w:t>4,572</w:t>
            </w:r>
          </w:p>
        </w:tc>
        <w:tc>
          <w:tcPr>
            <w:tcW w:w="92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7"/>
              </w:rPr>
              <w:t>7,272</w:t>
            </w:r>
          </w:p>
        </w:tc>
        <w:tc>
          <w:tcPr>
            <w:tcW w:w="4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9,052</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14,486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Other comprehensive income/(loss); change in funded status of</w:t>
            </w: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pension plan</w:t>
            </w:r>
          </w:p>
        </w:tc>
        <w:tc>
          <w:tcPr>
            <w:tcW w:w="920" w:type="dxa"/>
            <w:vAlign w:val="bottom"/>
            <w:shd w:val="clear" w:color="auto" w:fill="EEEEEE"/>
          </w:tcPr>
          <w:p>
            <w:pPr>
              <w:spacing w:after="0"/>
              <w:rPr>
                <w:sz w:val="21"/>
                <w:szCs w:val="21"/>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28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1"/>
                <w:szCs w:val="21"/>
                <w:color w:val="auto"/>
              </w:rPr>
            </w:pPr>
          </w:p>
        </w:tc>
        <w:tc>
          <w:tcPr>
            <w:tcW w:w="11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4,572</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7,272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9,052</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4,367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95,717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2,622</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(2,353)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5,172</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114,685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113,330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(463,546)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332,835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2,839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 in restricted cash and cash equivalents,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(5,544)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(133,937</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(312,654</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431,490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662,150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advances of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28,029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Repayments of residual interest financing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(430,750)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(4,133)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(5,379)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738</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21,126</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195,754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13,936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15,810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15,752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40,579</w:t>
            </w:r>
          </w:p>
        </w:tc>
        <w:tc>
          <w:tcPr>
            <w:tcW w:w="72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32,746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ind w:left="380"/>
              <w:spacing w:after="0" w:line="201" w:lineRule="exact"/>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3,302</w:t>
            </w:r>
          </w:p>
        </w:tc>
        <w:tc>
          <w:tcPr>
            <w:tcW w:w="720" w:type="dxa"/>
            <w:vAlign w:val="bottom"/>
            <w:gridSpan w:val="2"/>
          </w:tcPr>
          <w:p>
            <w:pPr>
              <w:jc w:val="right"/>
              <w:ind w:right="405"/>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FF0000"/>
              </w:rPr>
              <w: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 month period ended June 30, 2017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following table presents the primary components of Other Income for the three-month and six-month periods ending June 30,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80" w:type="dxa"/>
            <w:vAlign w:val="bottom"/>
            <w:gridSpan w:val="4"/>
          </w:tcPr>
          <w:p>
            <w:pPr>
              <w:jc w:val="center"/>
              <w:ind w:left="337"/>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40" w:type="dxa"/>
            <w:vAlign w:val="bottom"/>
            <w:shd w:val="clear" w:color="auto" w:fill="EEEEEE"/>
          </w:tcPr>
          <w:p>
            <w:pPr>
              <w:jc w:val="right"/>
              <w:ind w:right="77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3"/>
              </w:rPr>
              <w:t>1,634</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8"/>
              </w:rPr>
              <w:t>2,378</w:t>
            </w:r>
          </w:p>
        </w:tc>
        <w:tc>
          <w:tcPr>
            <w:tcW w:w="50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3,633</w:t>
            </w:r>
          </w:p>
        </w:tc>
        <w:tc>
          <w:tcPr>
            <w:tcW w:w="54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5,222</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510</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1,080</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138</w:t>
            </w:r>
          </w:p>
        </w:tc>
        <w:tc>
          <w:tcPr>
            <w:tcW w:w="9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324</w:t>
            </w: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Sales tax refunds</w:t>
            </w:r>
          </w:p>
        </w:tc>
        <w:tc>
          <w:tcPr>
            <w:tcW w:w="9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412</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EEEEEE"/>
          </w:tcPr>
          <w:p>
            <w:pPr>
              <w:spacing w:after="0"/>
              <w:rPr>
                <w:sz w:val="19"/>
                <w:szCs w:val="19"/>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161</w:t>
            </w:r>
          </w:p>
        </w:tc>
        <w:tc>
          <w:tcPr>
            <w:tcW w:w="54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117</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4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2,587</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June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2017, we recorded stock-based compensation costs in the amount of $1.3 million and $2.6 million, respectively. These stock-based compensation costs were $1.2 million and $2.6 million for the three and six months ended June 30, 2016. As of June 30, 2017, unrecognized stock-based compensation costs to be recognized over future periods equaled $9.0 million. This amount will be recognized as expense over a weighted-average period of 2.2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six months ended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9"/>
                <w:szCs w:val="19"/>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Exercise 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20" w:type="dxa"/>
            <w:vAlign w:val="bottom"/>
            <w:tcBorders>
              <w:top w:val="single" w:sz="8" w:color="auto"/>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12,595</w:t>
            </w:r>
          </w:p>
        </w:tc>
        <w:tc>
          <w:tcPr>
            <w:tcW w:w="3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4.56</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1,470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4.35</w:t>
            </w:r>
          </w:p>
        </w:tc>
        <w:tc>
          <w:tcPr>
            <w:tcW w:w="16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1.72</w:t>
            </w:r>
          </w:p>
        </w:tc>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5.67</w:t>
            </w:r>
          </w:p>
        </w:tc>
        <w:tc>
          <w:tcPr>
            <w:tcW w:w="16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60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87"/>
              </w:rPr>
              <w:t>4.85 years</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gridSpan w:val="2"/>
            <w:vMerge w:val="continue"/>
            <w:shd w:val="clear" w:color="auto" w:fill="EEEEEE"/>
          </w:tcPr>
          <w:p>
            <w:pPr>
              <w:spacing w:after="0"/>
              <w:rPr>
                <w:sz w:val="20"/>
                <w:szCs w:val="20"/>
                <w:color w:val="auto"/>
              </w:rPr>
            </w:pPr>
          </w:p>
        </w:tc>
        <w:tc>
          <w:tcPr>
            <w:tcW w:w="1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13,458</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4.61</w:t>
            </w:r>
          </w:p>
        </w:tc>
        <w:tc>
          <w:tcPr>
            <w:tcW w:w="1600" w:type="dxa"/>
            <w:vAlign w:val="bottom"/>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8,475</w:t>
            </w:r>
          </w:p>
        </w:tc>
        <w:tc>
          <w:tcPr>
            <w:tcW w:w="360" w:type="dxa"/>
            <w:vAlign w:val="bottom"/>
            <w:shd w:val="clear" w:color="auto" w:fill="EEEEEE"/>
          </w:tcPr>
          <w:p>
            <w:pPr>
              <w:spacing w:after="0"/>
              <w:rPr>
                <w:sz w:val="22"/>
                <w:szCs w:val="22"/>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4.36</w:t>
            </w:r>
          </w:p>
        </w:tc>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4.37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2017, the aggregate intrinsic value of options outstanding and exercisable was $13.4 million and $11.6 million, respectively. There were 429,300 options exercised for the six months ended June 30, 2017 compared to 29,200 for the comparable period in 2016. The total intrinsic value of options exercised was $1.3 million and $91,000 for the six-month periods ended June 30, 2017 and 2016. There were 2.4 million shares available for future stock option grants under existing plans as of June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six-month period ended June 30, 2017, we purchased 1.1 million shares of our common stock, at an average price of $4.75. We purchased 1,102,410 shares of our stock in the open market at an average price of $4.74. The remaining purchases of 30,149 shares were related to net exercises of outstanding options. In transactions during the six-month period ended June 30, 2017, the holders of options to purchase 60,000 shares of our common stock paid the aggregate $149,000 exercise price by surrender to us of 30,149 of such 60,000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six-month period ended June 30, 2016, we purchased 1.6 million shares of our stock in the open market at an average price of $4.06.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2017,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record at each measurement date, most recently as of June 30, 2017,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324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2,310,103</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2,266,619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Unearned acquisition fees and originations costs</w:t>
            </w: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4,419</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2,314,522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2,267,943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June 30, 2017 and December 31, 2016:</w:t>
      </w:r>
    </w:p>
    <w:p>
      <w:pPr>
        <w:spacing w:after="0" w:line="188"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8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11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2,115,708</w:t>
            </w:r>
          </w:p>
        </w:tc>
        <w:tc>
          <w:tcPr>
            <w:tcW w:w="3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2,053,759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2080" w:type="dxa"/>
            <w:vAlign w:val="bottom"/>
          </w:tcPr>
          <w:p>
            <w:pPr>
              <w:ind w:left="20"/>
              <w:spacing w:after="0"/>
              <w:rPr>
                <w:sz w:val="20"/>
                <w:szCs w:val="20"/>
                <w:color w:val="auto"/>
              </w:rPr>
            </w:pPr>
            <w:r>
              <w:rPr>
                <w:rFonts w:ascii="Arial" w:cs="Arial" w:eastAsia="Arial" w:hAnsi="Arial"/>
                <w:sz w:val="18"/>
                <w:szCs w:val="18"/>
                <w:color w:val="auto"/>
              </w:rPr>
              <w:t>- 60 days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121,354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116,073</w:t>
            </w:r>
          </w:p>
        </w:tc>
        <w:tc>
          <w:tcPr>
            <w:tcW w:w="0" w:type="dxa"/>
            <w:vAlign w:val="bottom"/>
          </w:tcPr>
          <w:p>
            <w:pPr>
              <w:spacing w:after="0"/>
              <w:rPr>
                <w:sz w:val="1"/>
                <w:szCs w:val="1"/>
                <w:color w:val="auto"/>
              </w:rPr>
            </w:pP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61</w:t>
            </w:r>
          </w:p>
        </w:tc>
        <w:tc>
          <w:tcPr>
            <w:tcW w:w="20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8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49,094</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52,404</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2080" w:type="dxa"/>
            <w:vAlign w:val="bottom"/>
          </w:tcPr>
          <w:p>
            <w:pPr>
              <w:ind w:left="20"/>
              <w:spacing w:after="0"/>
              <w:rPr>
                <w:sz w:val="20"/>
                <w:szCs w:val="20"/>
                <w:color w:val="auto"/>
              </w:rPr>
            </w:pPr>
            <w:r>
              <w:rPr>
                <w:rFonts w:ascii="Arial" w:cs="Arial" w:eastAsia="Arial" w:hAnsi="Arial"/>
                <w:sz w:val="18"/>
                <w:szCs w:val="18"/>
                <w:color w:val="auto"/>
              </w:rPr>
              <w:t>+ days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23,947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44,383</w:t>
            </w:r>
          </w:p>
        </w:tc>
        <w:tc>
          <w:tcPr>
            <w:tcW w:w="0" w:type="dxa"/>
            <w:vAlign w:val="bottom"/>
          </w:tcPr>
          <w:p>
            <w:pPr>
              <w:spacing w:after="0"/>
              <w:rPr>
                <w:sz w:val="1"/>
                <w:szCs w:val="1"/>
                <w:color w:val="auto"/>
              </w:rPr>
            </w:pPr>
          </w:p>
        </w:tc>
      </w:tr>
      <w:tr>
        <w:trPr>
          <w:trHeight w:val="223"/>
        </w:trPr>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8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2,310,103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2,266,619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receivables totaling $23.9 million and $44.4 million at June 30, 2017 and December 31, 2016,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99,255</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79,867</w:t>
            </w:r>
          </w:p>
        </w:tc>
        <w:tc>
          <w:tcPr>
            <w:tcW w:w="48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95,578</w:t>
            </w:r>
          </w:p>
        </w:tc>
        <w:tc>
          <w:tcPr>
            <w:tcW w:w="54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75,603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48,550</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44,423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95,717</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88,619</w:t>
            </w: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(48,474)</w:t>
            </w: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(41,901)</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(98,773)</w:t>
            </w:r>
          </w:p>
        </w:tc>
        <w:tc>
          <w:tcPr>
            <w:tcW w:w="5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(87,834)</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Recoveries</w:t>
            </w:r>
          </w:p>
        </w:tc>
        <w:tc>
          <w:tcPr>
            <w:tcW w:w="3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7,984</w:t>
            </w:r>
          </w:p>
        </w:tc>
        <w:tc>
          <w:tcPr>
            <w:tcW w:w="5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14,793</w:t>
            </w:r>
          </w:p>
        </w:tc>
        <w:tc>
          <w:tcPr>
            <w:tcW w:w="5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13,780</w:t>
            </w: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107,315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90,168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107,315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90,168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4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20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8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31,382</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40,069</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(23,076)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(28,924)</w:t>
            </w:r>
          </w:p>
        </w:tc>
      </w:tr>
      <w:tr>
        <w:trPr>
          <w:trHeight w:val="223"/>
        </w:trPr>
        <w:tc>
          <w:tcPr>
            <w:tcW w:w="42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8,306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11,145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Final</w:t>
            </w:r>
          </w:p>
        </w:tc>
        <w:tc>
          <w:tcPr>
            <w:tcW w:w="1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Receivables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Outstanding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Scheduled</w:t>
            </w: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Pledged at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 Rate at</w:t>
            </w:r>
          </w:p>
        </w:tc>
      </w:tr>
      <w:tr>
        <w:trPr>
          <w:trHeight w:val="230"/>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Payment</w:t>
            </w:r>
          </w:p>
        </w:tc>
        <w:tc>
          <w:tcPr>
            <w:tcW w:w="18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1620" w:type="dxa"/>
            <w:vAlign w:val="bottom"/>
            <w:gridSpan w:val="2"/>
          </w:tcPr>
          <w:p>
            <w:pPr>
              <w:ind w:left="460"/>
              <w:spacing w:after="0"/>
              <w:rPr>
                <w:sz w:val="20"/>
                <w:szCs w:val="20"/>
                <w:color w:val="auto"/>
              </w:rPr>
            </w:pPr>
            <w:r>
              <w:rPr>
                <w:rFonts w:ascii="Arial" w:cs="Arial" w:eastAsia="Arial" w:hAnsi="Arial"/>
                <w:sz w:val="18"/>
                <w:szCs w:val="18"/>
                <w:b w:val="1"/>
                <w:bCs w:val="1"/>
                <w:color w:val="auto"/>
              </w:rPr>
              <w:t>Series</w:t>
            </w:r>
          </w:p>
        </w:tc>
        <w:tc>
          <w:tcPr>
            <w:tcW w:w="19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Date (1)</w:t>
            </w: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2017 (2)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2012-C</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2019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147,000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14,421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2012-D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March 2020</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160,000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17,865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2013-A</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2020</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21,277</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185,000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19,482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28,661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2013-B</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September 2020</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29,141</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205,000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26,540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37,570</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2013-C</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2020</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35,387</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205,000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34,653</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46,830</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2013-D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March 2021</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35,962</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183,000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34,333</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46,345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2014-A</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2021</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43,308</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41,114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54,988</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2014-B</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September 2021</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59,344</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202,500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58,167</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75,140</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2014-C</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2021</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93,080</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273,000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91,285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116,280</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3.53%</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2014-D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March 2022</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101,294</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267,500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100,325</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127,307</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2015-A</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2022</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109,649</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245,000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108,821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134,466</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2015-B</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September 2022</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126,623</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125,584</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153,893</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2015-C</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2022</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172,332</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171,144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207,636</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3.74%</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2016-A</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March 2023</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220,103</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329,460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218,351</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262,260</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2016-B</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2023</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247,067</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332,690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240,209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284,752</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4.11%</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2016-C</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September 2023</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250,358</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318,500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244,183</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285,618</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2016-D</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2023</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180,742</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206,325</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175,822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200,221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CPS 2017-A</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April 2024</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193,575</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206,320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187,641</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30"/>
        </w:trPr>
        <w:tc>
          <w:tcPr>
            <w:tcW w:w="16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2017-B</w:t>
            </w:r>
          </w:p>
        </w:tc>
        <w:tc>
          <w:tcPr>
            <w:tcW w:w="1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2024</w:t>
            </w:r>
          </w:p>
        </w:tc>
        <w:tc>
          <w:tcPr>
            <w:tcW w:w="18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223,593</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225,170</w:t>
            </w:r>
          </w:p>
        </w:tc>
        <w:tc>
          <w:tcPr>
            <w:tcW w:w="1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217,340</w:t>
            </w:r>
          </w:p>
        </w:tc>
        <w:tc>
          <w:tcPr>
            <w:tcW w:w="12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2.74%</w:t>
            </w:r>
          </w:p>
        </w:tc>
      </w:tr>
      <w:tr>
        <w:trPr>
          <w:trHeight w:val="224"/>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2,142,835</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4,421,465</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2,094,994</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2,094,253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-130175</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both"/>
        <w:ind w:left="340" w:hanging="332"/>
        <w:spacing w:after="0" w:line="254"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$445.5 million in 2017, $740.9 million in 2018, $479.2 million in 2019, $272.5 million in 2020, $127.2 million in 2021, $16.7 million in 2022.</w:t>
      </w:r>
    </w:p>
    <w:p>
      <w:pPr>
        <w:spacing w:after="0" w:line="216"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$13.0 million and $13.4 million as of June 30, 2017 and December 31, 2016,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2017, we were in compliance with all such covenants.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2017, restricted cash under the various agreements totaled approximately $118.3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June 30, 2017 and December 31, 2016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gridSpan w:val="7"/>
          </w:tcPr>
          <w:p>
            <w:pPr>
              <w:ind w:left="118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1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700" w:type="dxa"/>
            <w:vAlign w:val="bottom"/>
          </w:tcPr>
          <w:p>
            <w:pPr>
              <w:spacing w:after="0"/>
              <w:rPr>
                <w:sz w:val="19"/>
                <w:szCs w:val="19"/>
                <w:color w:val="auto"/>
              </w:rPr>
            </w:pPr>
          </w:p>
        </w:tc>
        <w:tc>
          <w:tcPr>
            <w:tcW w:w="1720" w:type="dxa"/>
            <w:vAlign w:val="bottom"/>
            <w:gridSpan w:val="2"/>
            <w:vMerge w:val="restart"/>
          </w:tcPr>
          <w:p>
            <w:pPr>
              <w:jc w:val="center"/>
              <w:ind w:right="720"/>
              <w:spacing w:after="0"/>
              <w:rPr>
                <w:sz w:val="20"/>
                <w:szCs w:val="20"/>
                <w:color w:val="auto"/>
              </w:rPr>
            </w:pPr>
            <w:r>
              <w:rPr>
                <w:rFonts w:ascii="Arial" w:cs="Arial" w:eastAsia="Arial" w:hAnsi="Arial"/>
                <w:sz w:val="18"/>
                <w:szCs w:val="18"/>
                <w:b w:val="1"/>
                <w:bCs w:val="1"/>
                <w:color w:val="auto"/>
                <w:w w:val="91"/>
              </w:rPr>
              <w:t>Interest Rate</w:t>
            </w:r>
          </w:p>
        </w:tc>
        <w:tc>
          <w:tcPr>
            <w:tcW w:w="380" w:type="dxa"/>
            <w:vAlign w:val="bottom"/>
          </w:tcPr>
          <w:p>
            <w:pPr>
              <w:spacing w:after="0"/>
              <w:rPr>
                <w:sz w:val="19"/>
                <w:szCs w:val="19"/>
                <w:color w:val="auto"/>
              </w:rPr>
            </w:pPr>
          </w:p>
        </w:tc>
        <w:tc>
          <w:tcPr>
            <w:tcW w:w="202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93"/>
              </w:rPr>
              <w:t>Revolving Maturity</w:t>
            </w:r>
          </w:p>
        </w:tc>
        <w:tc>
          <w:tcPr>
            <w:tcW w:w="13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00" w:type="dxa"/>
            <w:vAlign w:val="bottom"/>
            <w:gridSpan w:val="3"/>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20" w:type="dxa"/>
            <w:vAlign w:val="bottom"/>
            <w:gridSpan w:val="3"/>
            <w:shd w:val="clear" w:color="auto" w:fill="EEEEEE"/>
          </w:tcPr>
          <w:p>
            <w:pPr>
              <w:jc w:val="center"/>
              <w:ind w:right="20"/>
              <w:spacing w:after="0" w:line="201" w:lineRule="exact"/>
              <w:rPr>
                <w:sz w:val="20"/>
                <w:szCs w:val="20"/>
                <w:color w:val="auto"/>
              </w:rPr>
            </w:pPr>
            <w:r>
              <w:rPr>
                <w:rFonts w:ascii="Arial" w:cs="Arial" w:eastAsia="Arial" w:hAnsi="Arial"/>
                <w:sz w:val="18"/>
                <w:szCs w:val="18"/>
                <w:color w:val="auto"/>
                <w:w w:val="91"/>
              </w:rPr>
              <w:t>5.50% over one month Libor</w:t>
            </w:r>
          </w:p>
        </w:tc>
        <w:tc>
          <w:tcPr>
            <w:tcW w:w="380" w:type="dxa"/>
            <w:vAlign w:val="bottom"/>
            <w:shd w:val="clear" w:color="auto" w:fill="EEEEEE"/>
          </w:tcPr>
          <w:p>
            <w:pPr>
              <w:spacing w:after="0"/>
              <w:rPr>
                <w:sz w:val="17"/>
                <w:szCs w:val="17"/>
                <w:color w:val="auto"/>
              </w:rPr>
            </w:pPr>
          </w:p>
        </w:tc>
        <w:tc>
          <w:tcPr>
            <w:tcW w:w="2020" w:type="dxa"/>
            <w:vAlign w:val="bottom"/>
            <w:gridSpan w:val="2"/>
            <w:vMerge w:val="restart"/>
            <w:shd w:val="clear" w:color="auto" w:fill="EEEEEE"/>
          </w:tcPr>
          <w:p>
            <w:pPr>
              <w:jc w:val="center"/>
              <w:ind w:right="520"/>
              <w:spacing w:after="0"/>
              <w:rPr>
                <w:sz w:val="20"/>
                <w:szCs w:val="20"/>
                <w:color w:val="auto"/>
              </w:rPr>
            </w:pPr>
            <w:r>
              <w:rPr>
                <w:rFonts w:ascii="Arial" w:cs="Arial" w:eastAsia="Arial" w:hAnsi="Arial"/>
                <w:sz w:val="18"/>
                <w:szCs w:val="18"/>
                <w:color w:val="auto"/>
                <w:w w:val="96"/>
              </w:rPr>
              <w:t>April 2019</w:t>
            </w:r>
          </w:p>
        </w:tc>
        <w:tc>
          <w:tcPr>
            <w:tcW w:w="1320" w:type="dxa"/>
            <w:vAlign w:val="bottom"/>
            <w:vMerge w:val="restart"/>
            <w:shd w:val="clear" w:color="auto" w:fill="EEEEEE"/>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60,602</w:t>
            </w:r>
          </w:p>
        </w:tc>
        <w:tc>
          <w:tcPr>
            <w:tcW w:w="580" w:type="dxa"/>
            <w:vAlign w:val="bottom"/>
            <w:gridSpan w:val="2"/>
            <w:vMerge w:val="restart"/>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64,352</w:t>
            </w:r>
          </w:p>
        </w:tc>
        <w:tc>
          <w:tcPr>
            <w:tcW w:w="0" w:type="dxa"/>
            <w:vAlign w:val="bottom"/>
          </w:tcPr>
          <w:p>
            <w:pPr>
              <w:spacing w:after="0"/>
              <w:rPr>
                <w:sz w:val="1"/>
                <w:szCs w:val="1"/>
                <w:color w:val="auto"/>
              </w:rPr>
            </w:pPr>
          </w:p>
        </w:tc>
      </w:tr>
      <w:tr>
        <w:trPr>
          <w:trHeight w:val="122"/>
        </w:trPr>
        <w:tc>
          <w:tcPr>
            <w:tcW w:w="2300" w:type="dxa"/>
            <w:vAlign w:val="bottom"/>
            <w:gridSpan w:val="3"/>
            <w:vMerge w:val="continue"/>
            <w:shd w:val="clear" w:color="auto" w:fill="EEEEEE"/>
          </w:tcPr>
          <w:p>
            <w:pPr>
              <w:spacing w:after="0"/>
              <w:rPr>
                <w:sz w:val="10"/>
                <w:szCs w:val="10"/>
                <w:color w:val="auto"/>
              </w:rPr>
            </w:pPr>
          </w:p>
        </w:tc>
        <w:tc>
          <w:tcPr>
            <w:tcW w:w="2420" w:type="dxa"/>
            <w:vAlign w:val="bottom"/>
            <w:gridSpan w:val="3"/>
            <w:vMerge w:val="restart"/>
            <w:shd w:val="clear" w:color="auto" w:fill="EEEEEE"/>
          </w:tcPr>
          <w:p>
            <w:pPr>
              <w:jc w:val="center"/>
              <w:ind w:right="20"/>
              <w:spacing w:after="0"/>
              <w:rPr>
                <w:sz w:val="20"/>
                <w:szCs w:val="20"/>
                <w:color w:val="auto"/>
              </w:rPr>
            </w:pPr>
            <w:r>
              <w:rPr>
                <w:rFonts w:ascii="Arial" w:cs="Arial" w:eastAsia="Arial" w:hAnsi="Arial"/>
                <w:sz w:val="18"/>
                <w:szCs w:val="18"/>
                <w:color w:val="auto"/>
                <w:w w:val="96"/>
              </w:rPr>
              <w:t>(Minimum 6.50%)</w:t>
            </w:r>
          </w:p>
        </w:tc>
        <w:tc>
          <w:tcPr>
            <w:tcW w:w="380" w:type="dxa"/>
            <w:vAlign w:val="bottom"/>
            <w:shd w:val="clear" w:color="auto" w:fill="EEEEEE"/>
          </w:tcPr>
          <w:p>
            <w:pPr>
              <w:spacing w:after="0"/>
              <w:rPr>
                <w:sz w:val="10"/>
                <w:szCs w:val="10"/>
                <w:color w:val="auto"/>
              </w:rPr>
            </w:pPr>
          </w:p>
        </w:tc>
        <w:tc>
          <w:tcPr>
            <w:tcW w:w="2020" w:type="dxa"/>
            <w:vAlign w:val="bottom"/>
            <w:gridSpan w:val="2"/>
            <w:vMerge w:val="continue"/>
            <w:shd w:val="clear" w:color="auto" w:fill="EEEEEE"/>
          </w:tcPr>
          <w:p>
            <w:pPr>
              <w:spacing w:after="0"/>
              <w:rPr>
                <w:sz w:val="10"/>
                <w:szCs w:val="10"/>
                <w:color w:val="auto"/>
              </w:rPr>
            </w:pPr>
          </w:p>
        </w:tc>
        <w:tc>
          <w:tcPr>
            <w:tcW w:w="1320" w:type="dxa"/>
            <w:vAlign w:val="bottom"/>
            <w:vMerge w:val="continue"/>
            <w:shd w:val="clear" w:color="auto" w:fill="EEEEEE"/>
          </w:tcPr>
          <w:p>
            <w:pPr>
              <w:spacing w:after="0"/>
              <w:rPr>
                <w:sz w:val="10"/>
                <w:szCs w:val="10"/>
                <w:color w:val="auto"/>
              </w:rPr>
            </w:pPr>
          </w:p>
        </w:tc>
        <w:tc>
          <w:tcPr>
            <w:tcW w:w="780" w:type="dxa"/>
            <w:vAlign w:val="bottom"/>
            <w:gridSpan w:val="2"/>
            <w:vMerge w:val="continue"/>
            <w:shd w:val="clear" w:color="auto" w:fill="EEEEEE"/>
          </w:tcPr>
          <w:p>
            <w:pPr>
              <w:spacing w:after="0"/>
              <w:rPr>
                <w:sz w:val="10"/>
                <w:szCs w:val="10"/>
                <w:color w:val="auto"/>
              </w:rPr>
            </w:pPr>
          </w:p>
        </w:tc>
        <w:tc>
          <w:tcPr>
            <w:tcW w:w="580" w:type="dxa"/>
            <w:vAlign w:val="bottom"/>
            <w:gridSpan w:val="2"/>
            <w:vMerge w:val="continue"/>
            <w:shd w:val="clear" w:color="auto" w:fill="EEEEEE"/>
          </w:tcPr>
          <w:p>
            <w:pPr>
              <w:spacing w:after="0"/>
              <w:rPr>
                <w:sz w:val="10"/>
                <w:szCs w:val="10"/>
                <w:color w:val="auto"/>
              </w:rPr>
            </w:pPr>
          </w:p>
        </w:tc>
        <w:tc>
          <w:tcPr>
            <w:tcW w:w="162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760" w:type="dxa"/>
            <w:vAlign w:val="bottom"/>
            <w:shd w:val="clear" w:color="auto" w:fill="EEEEEE"/>
          </w:tcPr>
          <w:p>
            <w:pPr>
              <w:spacing w:after="0"/>
              <w:rPr>
                <w:sz w:val="9"/>
                <w:szCs w:val="9"/>
                <w:color w:val="auto"/>
              </w:rPr>
            </w:pPr>
          </w:p>
        </w:tc>
        <w:tc>
          <w:tcPr>
            <w:tcW w:w="2420" w:type="dxa"/>
            <w:vAlign w:val="bottom"/>
            <w:gridSpan w:val="3"/>
            <w:vMerge w:val="continue"/>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5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20" w:type="dxa"/>
            <w:vAlign w:val="bottom"/>
            <w:gridSpan w:val="3"/>
            <w:shd w:val="clear" w:color="auto" w:fill="EEEEEE"/>
          </w:tcPr>
          <w:p>
            <w:pPr>
              <w:jc w:val="center"/>
              <w:ind w:right="20"/>
              <w:spacing w:after="0" w:line="201" w:lineRule="exact"/>
              <w:rPr>
                <w:sz w:val="20"/>
                <w:szCs w:val="20"/>
                <w:color w:val="auto"/>
              </w:rPr>
            </w:pPr>
            <w:r>
              <w:rPr>
                <w:rFonts w:ascii="Arial" w:cs="Arial" w:eastAsia="Arial" w:hAnsi="Arial"/>
                <w:sz w:val="18"/>
                <w:szCs w:val="18"/>
                <w:color w:val="auto"/>
                <w:w w:val="91"/>
              </w:rPr>
              <w:t>5.50% over one month Libor</w:t>
            </w:r>
          </w:p>
        </w:tc>
        <w:tc>
          <w:tcPr>
            <w:tcW w:w="380" w:type="dxa"/>
            <w:vAlign w:val="bottom"/>
            <w:shd w:val="clear" w:color="auto" w:fill="EEEEEE"/>
          </w:tcPr>
          <w:p>
            <w:pPr>
              <w:spacing w:after="0"/>
              <w:rPr>
                <w:sz w:val="17"/>
                <w:szCs w:val="17"/>
                <w:color w:val="auto"/>
              </w:rPr>
            </w:pPr>
          </w:p>
        </w:tc>
        <w:tc>
          <w:tcPr>
            <w:tcW w:w="2020" w:type="dxa"/>
            <w:vAlign w:val="bottom"/>
            <w:gridSpan w:val="2"/>
            <w:vMerge w:val="restart"/>
            <w:shd w:val="clear" w:color="auto" w:fill="EEEEEE"/>
          </w:tcPr>
          <w:p>
            <w:pPr>
              <w:jc w:val="center"/>
              <w:ind w:right="520"/>
              <w:spacing w:after="0"/>
              <w:rPr>
                <w:sz w:val="20"/>
                <w:szCs w:val="20"/>
                <w:color w:val="auto"/>
              </w:rPr>
            </w:pPr>
            <w:r>
              <w:rPr>
                <w:rFonts w:ascii="Arial" w:cs="Arial" w:eastAsia="Arial" w:hAnsi="Arial"/>
                <w:sz w:val="18"/>
                <w:szCs w:val="18"/>
                <w:color w:val="auto"/>
                <w:w w:val="92"/>
              </w:rPr>
              <w:t>August 2018</w:t>
            </w:r>
          </w:p>
        </w:tc>
        <w:tc>
          <w:tcPr>
            <w:tcW w:w="1320" w:type="dxa"/>
            <w:vAlign w:val="bottom"/>
            <w:shd w:val="clear" w:color="auto" w:fill="EEEEEE"/>
          </w:tcPr>
          <w:p>
            <w:pPr>
              <w:spacing w:after="0"/>
              <w:rPr>
                <w:sz w:val="17"/>
                <w:szCs w:val="17"/>
                <w:color w:val="auto"/>
              </w:rPr>
            </w:pPr>
          </w:p>
        </w:tc>
        <w:tc>
          <w:tcPr>
            <w:tcW w:w="78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41,539</w:t>
            </w: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26,445</w:t>
            </w:r>
          </w:p>
        </w:tc>
        <w:tc>
          <w:tcPr>
            <w:tcW w:w="0" w:type="dxa"/>
            <w:vAlign w:val="bottom"/>
          </w:tcPr>
          <w:p>
            <w:pPr>
              <w:spacing w:after="0"/>
              <w:rPr>
                <w:sz w:val="1"/>
                <w:szCs w:val="1"/>
                <w:color w:val="auto"/>
              </w:rPr>
            </w:pPr>
          </w:p>
        </w:tc>
      </w:tr>
      <w:tr>
        <w:trPr>
          <w:trHeight w:val="122"/>
        </w:trPr>
        <w:tc>
          <w:tcPr>
            <w:tcW w:w="6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2420" w:type="dxa"/>
            <w:vAlign w:val="bottom"/>
            <w:gridSpan w:val="3"/>
            <w:vMerge w:val="restart"/>
            <w:shd w:val="clear" w:color="auto" w:fill="EEEEEE"/>
          </w:tcPr>
          <w:p>
            <w:pPr>
              <w:jc w:val="center"/>
              <w:ind w:right="20"/>
              <w:spacing w:after="0"/>
              <w:rPr>
                <w:sz w:val="20"/>
                <w:szCs w:val="20"/>
                <w:color w:val="auto"/>
              </w:rPr>
            </w:pPr>
            <w:r>
              <w:rPr>
                <w:rFonts w:ascii="Arial" w:cs="Arial" w:eastAsia="Arial" w:hAnsi="Arial"/>
                <w:sz w:val="18"/>
                <w:szCs w:val="18"/>
                <w:color w:val="auto"/>
                <w:w w:val="96"/>
              </w:rPr>
              <w:t>(Minimum 6.25%)</w:t>
            </w:r>
          </w:p>
        </w:tc>
        <w:tc>
          <w:tcPr>
            <w:tcW w:w="380" w:type="dxa"/>
            <w:vAlign w:val="bottom"/>
            <w:shd w:val="clear" w:color="auto" w:fill="EEEEEE"/>
          </w:tcPr>
          <w:p>
            <w:pPr>
              <w:spacing w:after="0"/>
              <w:rPr>
                <w:sz w:val="10"/>
                <w:szCs w:val="10"/>
                <w:color w:val="auto"/>
              </w:rPr>
            </w:pPr>
          </w:p>
        </w:tc>
        <w:tc>
          <w:tcPr>
            <w:tcW w:w="2020" w:type="dxa"/>
            <w:vAlign w:val="bottom"/>
            <w:gridSpan w:val="2"/>
            <w:vMerge w:val="continue"/>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780" w:type="dxa"/>
            <w:vAlign w:val="bottom"/>
            <w:gridSpan w:val="2"/>
            <w:vMerge w:val="continue"/>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62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760" w:type="dxa"/>
            <w:vAlign w:val="bottom"/>
            <w:shd w:val="clear" w:color="auto" w:fill="EEEEEE"/>
          </w:tcPr>
          <w:p>
            <w:pPr>
              <w:spacing w:after="0"/>
              <w:rPr>
                <w:sz w:val="9"/>
                <w:szCs w:val="9"/>
                <w:color w:val="auto"/>
              </w:rPr>
            </w:pPr>
          </w:p>
        </w:tc>
        <w:tc>
          <w:tcPr>
            <w:tcW w:w="2420" w:type="dxa"/>
            <w:vAlign w:val="bottom"/>
            <w:gridSpan w:val="3"/>
            <w:vMerge w:val="continue"/>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5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20" w:type="dxa"/>
            <w:vAlign w:val="bottom"/>
            <w:gridSpan w:val="3"/>
            <w:shd w:val="clear" w:color="auto" w:fill="EEEEEE"/>
          </w:tcPr>
          <w:p>
            <w:pPr>
              <w:jc w:val="center"/>
              <w:ind w:right="20"/>
              <w:spacing w:after="0" w:line="201" w:lineRule="exact"/>
              <w:rPr>
                <w:sz w:val="20"/>
                <w:szCs w:val="20"/>
                <w:color w:val="auto"/>
              </w:rPr>
            </w:pPr>
            <w:r>
              <w:rPr>
                <w:rFonts w:ascii="Arial" w:cs="Arial" w:eastAsia="Arial" w:hAnsi="Arial"/>
                <w:sz w:val="18"/>
                <w:szCs w:val="18"/>
                <w:color w:val="auto"/>
                <w:w w:val="90"/>
              </w:rPr>
              <w:t>6.75% over a commercial</w:t>
            </w:r>
          </w:p>
        </w:tc>
        <w:tc>
          <w:tcPr>
            <w:tcW w:w="380" w:type="dxa"/>
            <w:vAlign w:val="bottom"/>
            <w:shd w:val="clear" w:color="auto" w:fill="EEEEEE"/>
          </w:tcPr>
          <w:p>
            <w:pPr>
              <w:spacing w:after="0"/>
              <w:rPr>
                <w:sz w:val="17"/>
                <w:szCs w:val="17"/>
                <w:color w:val="auto"/>
              </w:rPr>
            </w:pPr>
          </w:p>
        </w:tc>
        <w:tc>
          <w:tcPr>
            <w:tcW w:w="2020" w:type="dxa"/>
            <w:vAlign w:val="bottom"/>
            <w:gridSpan w:val="2"/>
            <w:vMerge w:val="restart"/>
            <w:shd w:val="clear" w:color="auto" w:fill="EEEEEE"/>
          </w:tcPr>
          <w:p>
            <w:pPr>
              <w:jc w:val="center"/>
              <w:ind w:right="520"/>
              <w:spacing w:after="0"/>
              <w:rPr>
                <w:sz w:val="20"/>
                <w:szCs w:val="20"/>
                <w:color w:val="auto"/>
              </w:rPr>
            </w:pPr>
            <w:r>
              <w:rPr>
                <w:rFonts w:ascii="Arial" w:cs="Arial" w:eastAsia="Arial" w:hAnsi="Arial"/>
                <w:sz w:val="18"/>
                <w:szCs w:val="18"/>
                <w:color w:val="auto"/>
                <w:w w:val="92"/>
              </w:rPr>
              <w:t>November 2017</w:t>
            </w:r>
          </w:p>
        </w:tc>
        <w:tc>
          <w:tcPr>
            <w:tcW w:w="1320" w:type="dxa"/>
            <w:vAlign w:val="bottom"/>
            <w:shd w:val="clear" w:color="auto" w:fill="EEEEEE"/>
          </w:tcPr>
          <w:p>
            <w:pPr>
              <w:spacing w:after="0"/>
              <w:rPr>
                <w:sz w:val="17"/>
                <w:szCs w:val="17"/>
                <w:color w:val="auto"/>
              </w:rPr>
            </w:pPr>
          </w:p>
        </w:tc>
        <w:tc>
          <w:tcPr>
            <w:tcW w:w="78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30,853</w:t>
            </w: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122"/>
        </w:trPr>
        <w:tc>
          <w:tcPr>
            <w:tcW w:w="66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2420" w:type="dxa"/>
            <w:vAlign w:val="bottom"/>
            <w:gridSpan w:val="3"/>
            <w:vMerge w:val="restart"/>
            <w:shd w:val="clear" w:color="auto" w:fill="EEEEEE"/>
          </w:tcPr>
          <w:p>
            <w:pPr>
              <w:jc w:val="center"/>
              <w:ind w:right="20"/>
              <w:spacing w:after="0"/>
              <w:rPr>
                <w:sz w:val="20"/>
                <w:szCs w:val="20"/>
                <w:color w:val="auto"/>
              </w:rPr>
            </w:pPr>
            <w:r>
              <w:rPr>
                <w:rFonts w:ascii="Arial" w:cs="Arial" w:eastAsia="Arial" w:hAnsi="Arial"/>
                <w:sz w:val="18"/>
                <w:szCs w:val="18"/>
                <w:color w:val="auto"/>
                <w:w w:val="92"/>
              </w:rPr>
              <w:t>paper rate (Minimum 7.75%)</w:t>
            </w:r>
          </w:p>
        </w:tc>
        <w:tc>
          <w:tcPr>
            <w:tcW w:w="380" w:type="dxa"/>
            <w:vAlign w:val="bottom"/>
            <w:shd w:val="clear" w:color="auto" w:fill="EEEEEE"/>
          </w:tcPr>
          <w:p>
            <w:pPr>
              <w:spacing w:after="0"/>
              <w:rPr>
                <w:sz w:val="10"/>
                <w:szCs w:val="10"/>
                <w:color w:val="auto"/>
              </w:rPr>
            </w:pPr>
          </w:p>
        </w:tc>
        <w:tc>
          <w:tcPr>
            <w:tcW w:w="2020" w:type="dxa"/>
            <w:vAlign w:val="bottom"/>
            <w:gridSpan w:val="2"/>
            <w:vMerge w:val="continue"/>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780" w:type="dxa"/>
            <w:vAlign w:val="bottom"/>
            <w:gridSpan w:val="2"/>
            <w:vMerge w:val="continue"/>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62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760" w:type="dxa"/>
            <w:vAlign w:val="bottom"/>
            <w:shd w:val="clear" w:color="auto" w:fill="EEEEEE"/>
          </w:tcPr>
          <w:p>
            <w:pPr>
              <w:spacing w:after="0"/>
              <w:rPr>
                <w:sz w:val="9"/>
                <w:szCs w:val="9"/>
                <w:color w:val="auto"/>
              </w:rPr>
            </w:pPr>
          </w:p>
        </w:tc>
        <w:tc>
          <w:tcPr>
            <w:tcW w:w="2420" w:type="dxa"/>
            <w:vAlign w:val="bottom"/>
            <w:gridSpan w:val="3"/>
            <w:vMerge w:val="continue"/>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5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420" w:type="dxa"/>
            <w:vAlign w:val="bottom"/>
            <w:gridSpan w:val="3"/>
            <w:shd w:val="clear" w:color="auto" w:fill="EEEEEE"/>
          </w:tcPr>
          <w:p>
            <w:pPr>
              <w:jc w:val="center"/>
              <w:ind w:right="20"/>
              <w:spacing w:after="0" w:line="201" w:lineRule="exact"/>
              <w:rPr>
                <w:sz w:val="20"/>
                <w:szCs w:val="20"/>
                <w:color w:val="auto"/>
              </w:rPr>
            </w:pPr>
            <w:r>
              <w:rPr>
                <w:rFonts w:ascii="Arial" w:cs="Arial" w:eastAsia="Arial" w:hAnsi="Arial"/>
                <w:sz w:val="18"/>
                <w:szCs w:val="18"/>
                <w:color w:val="auto"/>
                <w:w w:val="89"/>
              </w:rPr>
              <w:t>Weighted average rate of</w:t>
            </w:r>
          </w:p>
        </w:tc>
        <w:tc>
          <w:tcPr>
            <w:tcW w:w="2400" w:type="dxa"/>
            <w:vAlign w:val="bottom"/>
            <w:gridSpan w:val="3"/>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0"/>
              </w:rPr>
              <w:t>Weighted average maturity</w:t>
            </w:r>
          </w:p>
        </w:tc>
        <w:tc>
          <w:tcPr>
            <w:tcW w:w="132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420" w:type="dxa"/>
            <w:vAlign w:val="bottom"/>
            <w:gridSpan w:val="3"/>
            <w:shd w:val="clear" w:color="auto" w:fill="EEEEEE"/>
          </w:tcPr>
          <w:p>
            <w:pPr>
              <w:jc w:val="center"/>
              <w:ind w:right="40"/>
              <w:spacing w:after="0"/>
              <w:rPr>
                <w:sz w:val="20"/>
                <w:szCs w:val="20"/>
                <w:color w:val="auto"/>
              </w:rPr>
            </w:pPr>
            <w:r>
              <w:rPr>
                <w:rFonts w:ascii="Arial" w:cs="Arial" w:eastAsia="Arial" w:hAnsi="Arial"/>
                <w:sz w:val="18"/>
                <w:szCs w:val="18"/>
                <w:color w:val="auto"/>
                <w:w w:val="88"/>
              </w:rPr>
              <w:t>7.55% and 7.50% at June 30,</w:t>
            </w:r>
          </w:p>
        </w:tc>
        <w:tc>
          <w:tcPr>
            <w:tcW w:w="240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90"/>
              </w:rPr>
              <w:t>of July 2019 and January</w:t>
            </w:r>
          </w:p>
        </w:tc>
        <w:tc>
          <w:tcPr>
            <w:tcW w:w="13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3"/>
              </w:rPr>
              <w:t>Subordinated renewable notes</w:t>
            </w:r>
          </w:p>
        </w:tc>
        <w:tc>
          <w:tcPr>
            <w:tcW w:w="2420" w:type="dxa"/>
            <w:vAlign w:val="bottom"/>
            <w:gridSpan w:val="3"/>
            <w:shd w:val="clear" w:color="auto" w:fill="EEEEEE"/>
          </w:tcPr>
          <w:p>
            <w:pPr>
              <w:jc w:val="center"/>
              <w:ind w:right="20"/>
              <w:spacing w:after="0"/>
              <w:rPr>
                <w:sz w:val="20"/>
                <w:szCs w:val="20"/>
                <w:color w:val="auto"/>
              </w:rPr>
            </w:pPr>
            <w:r>
              <w:rPr>
                <w:rFonts w:ascii="Arial" w:cs="Arial" w:eastAsia="Arial" w:hAnsi="Arial"/>
                <w:sz w:val="18"/>
                <w:szCs w:val="18"/>
                <w:color w:val="auto"/>
                <w:w w:val="89"/>
              </w:rPr>
              <w:t>2017 and December 31, 2016</w:t>
            </w:r>
          </w:p>
        </w:tc>
        <w:tc>
          <w:tcPr>
            <w:tcW w:w="240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88"/>
              </w:rPr>
              <w:t>2019 at June 30, 2017 and</w:t>
            </w:r>
          </w:p>
        </w:tc>
        <w:tc>
          <w:tcPr>
            <w:tcW w:w="1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16,080</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16"/>
        </w:trPr>
        <w:tc>
          <w:tcPr>
            <w:tcW w:w="6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center"/>
              <w:ind w:right="720"/>
              <w:spacing w:after="0"/>
              <w:rPr>
                <w:sz w:val="20"/>
                <w:szCs w:val="20"/>
                <w:color w:val="auto"/>
              </w:rPr>
            </w:pPr>
            <w:r>
              <w:rPr>
                <w:rFonts w:ascii="Arial" w:cs="Arial" w:eastAsia="Arial" w:hAnsi="Arial"/>
                <w:sz w:val="18"/>
                <w:szCs w:val="18"/>
                <w:color w:val="auto"/>
                <w:w w:val="91"/>
              </w:rPr>
              <w:t>, respectively</w:t>
            </w:r>
          </w:p>
        </w:tc>
        <w:tc>
          <w:tcPr>
            <w:tcW w:w="38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89"/>
              </w:rPr>
              <w:t>December 31, 2016,</w:t>
            </w:r>
          </w:p>
        </w:tc>
        <w:tc>
          <w:tcPr>
            <w:tcW w:w="13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020" w:type="dxa"/>
            <w:vAlign w:val="bottom"/>
            <w:gridSpan w:val="2"/>
            <w:shd w:val="clear" w:color="auto" w:fill="EEEEEE"/>
          </w:tcPr>
          <w:p>
            <w:pPr>
              <w:jc w:val="center"/>
              <w:ind w:right="520"/>
              <w:spacing w:after="0"/>
              <w:rPr>
                <w:sz w:val="20"/>
                <w:szCs w:val="20"/>
                <w:color w:val="auto"/>
              </w:rPr>
            </w:pPr>
            <w:r>
              <w:rPr>
                <w:rFonts w:ascii="Arial" w:cs="Arial" w:eastAsia="Arial" w:hAnsi="Arial"/>
                <w:sz w:val="18"/>
                <w:szCs w:val="18"/>
                <w:color w:val="auto"/>
                <w:w w:val="90"/>
              </w:rPr>
              <w:t>respectively</w:t>
            </w:r>
          </w:p>
        </w:tc>
        <w:tc>
          <w:tcPr>
            <w:tcW w:w="132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5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760" w:type="dxa"/>
            <w:vAlign w:val="bottom"/>
            <w:tcBorders>
              <w:bottom w:val="single" w:sz="8" w:color="EEEEEE"/>
            </w:tcBorders>
          </w:tcPr>
          <w:p>
            <w:pPr>
              <w:spacing w:after="0"/>
              <w:rPr>
                <w:sz w:val="19"/>
                <w:szCs w:val="19"/>
                <w:color w:val="auto"/>
              </w:rPr>
            </w:pPr>
          </w:p>
        </w:tc>
        <w:tc>
          <w:tcPr>
            <w:tcW w:w="70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720" w:type="dxa"/>
            <w:vAlign w:val="bottom"/>
            <w:tcBorders>
              <w:bottom w:val="single" w:sz="8" w:color="EEEEEE"/>
            </w:tcBorders>
          </w:tcPr>
          <w:p>
            <w:pPr>
              <w:spacing w:after="0"/>
              <w:rPr>
                <w:sz w:val="19"/>
                <w:szCs w:val="19"/>
                <w:color w:val="auto"/>
              </w:rPr>
            </w:pPr>
          </w:p>
        </w:tc>
        <w:tc>
          <w:tcPr>
            <w:tcW w:w="380" w:type="dxa"/>
            <w:vAlign w:val="bottom"/>
            <w:tcBorders>
              <w:bottom w:val="single" w:sz="8" w:color="EEEEEE"/>
            </w:tcBorders>
          </w:tcPr>
          <w:p>
            <w:pPr>
              <w:spacing w:after="0"/>
              <w:rPr>
                <w:sz w:val="19"/>
                <w:szCs w:val="19"/>
                <w:color w:val="auto"/>
              </w:rPr>
            </w:pPr>
          </w:p>
        </w:tc>
        <w:tc>
          <w:tcPr>
            <w:tcW w:w="1500" w:type="dxa"/>
            <w:vAlign w:val="bottom"/>
            <w:tcBorders>
              <w:bottom w:val="single" w:sz="8" w:color="EEEEEE"/>
            </w:tcBorders>
          </w:tcPr>
          <w:p>
            <w:pPr>
              <w:spacing w:after="0"/>
              <w:rPr>
                <w:sz w:val="19"/>
                <w:szCs w:val="19"/>
                <w:color w:val="auto"/>
              </w:rPr>
            </w:pPr>
          </w:p>
        </w:tc>
        <w:tc>
          <w:tcPr>
            <w:tcW w:w="520" w:type="dxa"/>
            <w:vAlign w:val="bottom"/>
            <w:tcBorders>
              <w:bottom w:val="single" w:sz="8" w:color="EEEEEE"/>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EEEEEE"/>
            </w:tcBorders>
            <w:shd w:val="clear" w:color="auto" w:fill="EEEEEE"/>
          </w:tcPr>
          <w:p>
            <w:pPr>
              <w:spacing w:after="0"/>
              <w:rPr>
                <w:sz w:val="19"/>
                <w:szCs w:val="19"/>
                <w:color w:val="auto"/>
              </w:rPr>
            </w:pPr>
          </w:p>
        </w:tc>
        <w:tc>
          <w:tcPr>
            <w:tcW w:w="880" w:type="dxa"/>
            <w:vAlign w:val="bottom"/>
            <w:tcBorders>
              <w:bottom w:val="single" w:sz="8" w:color="EEEEEE"/>
            </w:tcBorders>
            <w:shd w:val="clear" w:color="auto" w:fill="EEEEEE"/>
          </w:tcPr>
          <w:p>
            <w:pPr>
              <w:spacing w:after="0"/>
              <w:rPr>
                <w:sz w:val="19"/>
                <w:szCs w:val="19"/>
                <w:color w:val="auto"/>
              </w:rPr>
            </w:pPr>
          </w:p>
        </w:tc>
        <w:tc>
          <w:tcPr>
            <w:tcW w:w="760" w:type="dxa"/>
            <w:vAlign w:val="bottom"/>
            <w:tcBorders>
              <w:bottom w:val="single" w:sz="8" w:color="EEEEEE"/>
            </w:tcBorders>
            <w:shd w:val="clear" w:color="auto" w:fill="EEEEEE"/>
          </w:tcPr>
          <w:p>
            <w:pPr>
              <w:spacing w:after="0"/>
              <w:rPr>
                <w:sz w:val="19"/>
                <w:szCs w:val="19"/>
                <w:color w:val="auto"/>
              </w:rPr>
            </w:pPr>
          </w:p>
        </w:tc>
        <w:tc>
          <w:tcPr>
            <w:tcW w:w="7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720" w:type="dxa"/>
            <w:vAlign w:val="bottom"/>
            <w:tcBorders>
              <w:bottom w:val="single" w:sz="8" w:color="EEEEEE"/>
            </w:tcBorders>
            <w:shd w:val="clear" w:color="auto" w:fill="EEEEEE"/>
          </w:tcPr>
          <w:p>
            <w:pPr>
              <w:spacing w:after="0"/>
              <w:rPr>
                <w:sz w:val="19"/>
                <w:szCs w:val="19"/>
                <w:color w:val="auto"/>
              </w:rPr>
            </w:pPr>
          </w:p>
        </w:tc>
        <w:tc>
          <w:tcPr>
            <w:tcW w:w="380" w:type="dxa"/>
            <w:vAlign w:val="bottom"/>
            <w:tcBorders>
              <w:bottom w:val="single" w:sz="8" w:color="EEEEEE"/>
            </w:tcBorders>
            <w:shd w:val="clear" w:color="auto" w:fill="EEEEEE"/>
          </w:tcPr>
          <w:p>
            <w:pPr>
              <w:spacing w:after="0"/>
              <w:rPr>
                <w:sz w:val="19"/>
                <w:szCs w:val="19"/>
                <w:color w:val="auto"/>
              </w:rPr>
            </w:pPr>
          </w:p>
        </w:tc>
        <w:tc>
          <w:tcPr>
            <w:tcW w:w="1500" w:type="dxa"/>
            <w:vAlign w:val="bottom"/>
            <w:tcBorders>
              <w:bottom w:val="single" w:sz="8" w:color="EEEEEE"/>
            </w:tcBorders>
            <w:shd w:val="clear" w:color="auto" w:fill="EEEEEE"/>
          </w:tcPr>
          <w:p>
            <w:pPr>
              <w:spacing w:after="0"/>
              <w:rPr>
                <w:sz w:val="19"/>
                <w:szCs w:val="19"/>
                <w:color w:val="auto"/>
              </w:rPr>
            </w:pPr>
          </w:p>
        </w:tc>
        <w:tc>
          <w:tcPr>
            <w:tcW w:w="520" w:type="dxa"/>
            <w:vAlign w:val="bottom"/>
            <w:tcBorders>
              <w:bottom w:val="single" w:sz="8" w:color="EEEEEE"/>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2"/>
              </w:rPr>
              <w:t>149,074</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119,914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$1.7 million and $1.6 million as of June 30, 2017 and December 31, 2016, respectively, have been excluded from the table above. These debt issuance costs are presented as a direct deduction to the carrying amount of the Warehouse lines of credit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2017, we renewed our $100 million warehouse credit line that was first established in May 2012. There was $60.6 million outstanding under this facility at June 30, 2017. The revolving period for this facility was extended to April 2019 followed by an amortization period through April 2021 for any receivables pledged at the end of the revolving period.</w:t>
      </w:r>
    </w:p>
    <w:p>
      <w:pPr>
        <w:spacing w:after="0" w:line="18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9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(In thousands)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60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107,344</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101,624</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211,840</w:t>
            </w: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$198,252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interest income</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220</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2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107,485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101,709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212,060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0"/>
              </w:rPr>
              <w:t>Six Months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0"/>
              </w:rPr>
              <w:t>(In thousands)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20,537</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16,875</w:t>
            </w:r>
          </w:p>
        </w:tc>
        <w:tc>
          <w:tcPr>
            <w:tcW w:w="50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40,617</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2,379</w:t>
            </w: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2,244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4,087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3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320</w:t>
            </w:r>
          </w:p>
        </w:tc>
        <w:tc>
          <w:tcPr>
            <w:tcW w:w="5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620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23,236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19,727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45,324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37,548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and six-month periods ended June 30, 2017 and 2016 were calculated using the weighted average number of shares outstanding for the related period. The following table reconciles the number of shares used in the computations of basic and diluted earnings per share for the three-month and six-month periods ended June 30, 2017 and 2016:</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right="40" w:hanging="197"/>
        <w:spacing w:after="0" w:line="291" w:lineRule="auto"/>
        <w:rPr>
          <w:sz w:val="20"/>
          <w:szCs w:val="20"/>
          <w:color w:val="auto"/>
        </w:rPr>
      </w:pPr>
      <w:r>
        <w:rPr>
          <w:rFonts w:ascii="Arial" w:cs="Arial" w:eastAsia="Arial" w:hAnsi="Arial"/>
          <w:sz w:val="16"/>
          <w:szCs w:val="16"/>
          <w:color w:val="auto"/>
        </w:rPr>
        <w:t>Weighted average number of common shares outstanding during the period used to compute basic earnings per share</w:t>
      </w:r>
    </w:p>
    <w:p>
      <w:pPr>
        <w:ind w:left="200" w:right="560" w:hanging="197"/>
        <w:spacing w:after="0" w:line="250"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 w:lineRule="exact"/>
        <w:rPr>
          <w:sz w:val="20"/>
          <w:szCs w:val="20"/>
          <w:color w:val="auto"/>
        </w:rPr>
      </w:pPr>
    </w:p>
    <w:p>
      <w:pPr>
        <w:ind w:left="200" w:hanging="197"/>
        <w:spacing w:after="0" w:line="276"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560" w:type="dxa"/>
            <w:vAlign w:val="bottom"/>
          </w:tcPr>
          <w:p>
            <w:pPr>
              <w:spacing w:after="0"/>
              <w:rPr>
                <w:sz w:val="19"/>
                <w:szCs w:val="19"/>
                <w:color w:val="auto"/>
              </w:rPr>
            </w:pPr>
          </w:p>
        </w:tc>
      </w:tr>
      <w:tr>
        <w:trPr>
          <w:trHeight w:val="234"/>
        </w:trPr>
        <w:tc>
          <w:tcPr>
            <w:tcW w:w="8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r>
      <w:tr>
        <w:trPr>
          <w:trHeight w:val="22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9"/>
                <w:szCs w:val="19"/>
                <w:color w:val="auto"/>
              </w:rPr>
            </w:pPr>
          </w:p>
        </w:tc>
      </w:tr>
      <w:tr>
        <w:trPr>
          <w:trHeight w:val="228"/>
        </w:trPr>
        <w:tc>
          <w:tcPr>
            <w:tcW w:w="860" w:type="dxa"/>
            <w:vAlign w:val="bottom"/>
          </w:tcPr>
          <w:p>
            <w:pPr>
              <w:spacing w:after="0"/>
              <w:rPr>
                <w:sz w:val="19"/>
                <w:szCs w:val="19"/>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(In thousands)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r>
      <w:tr>
        <w:trPr>
          <w:trHeight w:val="414"/>
        </w:trPr>
        <w:tc>
          <w:tcPr>
            <w:tcW w:w="86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23,076</w:t>
            </w:r>
          </w:p>
        </w:tc>
        <w:tc>
          <w:tcPr>
            <w:tcW w:w="86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24,538</w:t>
            </w:r>
          </w:p>
        </w:tc>
        <w:tc>
          <w:tcPr>
            <w:tcW w:w="86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23,296</w:t>
            </w:r>
          </w:p>
        </w:tc>
        <w:tc>
          <w:tcPr>
            <w:tcW w:w="1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24,917</w:t>
            </w:r>
          </w:p>
        </w:tc>
      </w:tr>
      <w:tr>
        <w:trPr>
          <w:trHeight w:val="446"/>
        </w:trPr>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4,526</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4,573</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4,728</w:t>
            </w:r>
          </w:p>
        </w:tc>
        <w:tc>
          <w:tcPr>
            <w:tcW w:w="1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4,715</w:t>
            </w:r>
          </w:p>
        </w:tc>
      </w:tr>
      <w:tr>
        <w:trPr>
          <w:trHeight w:val="20"/>
        </w:trPr>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439"/>
        </w:trPr>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27,602</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29,111</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28,024</w:t>
            </w:r>
          </w:p>
        </w:tc>
        <w:tc>
          <w:tcPr>
            <w:tcW w:w="1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29,632</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-874395</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-316865</wp:posOffset>
            </wp:positionV>
            <wp:extent cx="72466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300"/>
            <w:col w:w="6640"/>
          </w:cols>
          <w:pgMar w:left="240" w:top="796" w:right="239" w:bottom="1440" w:gutter="0" w:footer="0" w:header="0"/>
          <w:type w:val="continuous"/>
        </w:sectPr>
      </w:pP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2017 would have included an additional 8.7 million and 7.0 million shares, respectively attributable to the exercise of outstanding options and warrants. For the three-month and six-month periods ended June 30, 2016, an additional 7.9 million and 7.4 million shares, respectively, would be included in the diluted earnings per share calculation.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June 30, 2017 and December 31, 2016,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$45.2 million as of June 30, 2017 is more likely than not based on forecasted future net earnings. Our net deferred tax asset of $45.2 million consists of approximately $38.4 million of net U.S. federal deferred tax assets and $6.8 million of net state deferred tax assets.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was $3.4 million and $6.7 million for the three months and six months ended June 30, 2017 and represents an effective income tax rate of 43%, compared to income tax expense of $5.1 million and $10.1 million for the three and six months ended June 30, 2016, and represents an effective income tax rate of and 41%.</w:t>
      </w:r>
    </w:p>
    <w:p>
      <w:pPr>
        <w:spacing w:after="0" w:line="18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requested information relating to the underwriting criteria used to originate these automobile contracts and the representations and warranties relating to those underwriting criteria that were made in connection with the securitization of the automobile contracts. In response to the January 2015 subpoena we produced documents in March 2015, September 2016 and July 2017. We are unaware of any material developments in the government’s investigation subsequent to its initiation.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referenced above. We record at each measurement date, most recently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June 30, 2017 does not exceed $1 million.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5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six-month periods ended June 30, 2017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80" w:type="dxa"/>
            <w:vAlign w:val="bottom"/>
            <w:gridSpan w:val="4"/>
          </w:tcPr>
          <w:p>
            <w:pPr>
              <w:jc w:val="center"/>
              <w:ind w:left="337"/>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920" w:type="dxa"/>
            <w:vAlign w:val="bottom"/>
          </w:tcPr>
          <w:p>
            <w:pPr>
              <w:spacing w:after="0"/>
              <w:rPr>
                <w:sz w:val="19"/>
                <w:szCs w:val="19"/>
                <w:color w:val="auto"/>
              </w:rPr>
            </w:pPr>
          </w:p>
        </w:tc>
        <w:tc>
          <w:tcPr>
            <w:tcW w:w="176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428</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9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(287)</w:t>
            </w:r>
          </w:p>
        </w:tc>
        <w:tc>
          <w:tcPr>
            <w:tcW w:w="9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(574)</w:t>
            </w:r>
          </w:p>
        </w:tc>
        <w:tc>
          <w:tcPr>
            <w:tcW w:w="4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9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9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101</w:t>
            </w:r>
          </w:p>
        </w:tc>
        <w:tc>
          <w:tcPr>
            <w:tcW w:w="9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Net periodic cost (benefit)</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did not make any contributions to the Plan during the six-month periods ended June 30, 2017 and 2016. We do not anticipate making any contributions for the remainder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2017 the finance receivables related to the repossessed vehicles in inventory totaled $31.4 million. We have applied a valuation adjustment, or loss allowance, of $23.1 million, which is based on a recovery rate of approximately 26%, resulting in an estimated fair value and carrying amount of $8.3 million. The fair value and carrying amount of the repossessed inventory at December 31, 2016 was $11.1 million after applying a valuation adjustment of $28.9 million.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ended June 30, 2017 and 2016. We have no material level 3 assets that are measured at fair value on a non-recurring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June 30, 2017 and December 31, 2016,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As of June 30, 2017</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14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15,810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15,810</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118,298</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118,298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118,298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2,207,207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2,155,855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2,155,855</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36,952</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36,952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36,952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131,272</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131,272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131,272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4,094</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2,081,989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2,098,115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2,098,115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16,080</w:t>
            </w: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16,080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16,080</w:t>
            </w:r>
          </w:p>
        </w:tc>
        <w:tc>
          <w:tcPr>
            <w:tcW w:w="0" w:type="dxa"/>
            <w:vAlign w:val="bottom"/>
          </w:tcPr>
          <w:p>
            <w:pPr>
              <w:spacing w:after="0"/>
              <w:rPr>
                <w:sz w:val="1"/>
                <w:szCs w:val="1"/>
                <w:color w:val="auto"/>
              </w:rPr>
            </w:pPr>
          </w:p>
        </w:tc>
      </w:tr>
      <w:tr>
        <w:trPr>
          <w:trHeight w:val="446"/>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14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13,936</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13,936</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112,754</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112,754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112,754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2,104,503</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2,104,503</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36,233</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36,233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36,233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103,358</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103,358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103,358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3,715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2,080,900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2,138,892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2,138,892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14,949</w:t>
            </w: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14,949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w:t>
      </w:r>
      <w:r>
        <w:rPr>
          <w:rFonts w:ascii="Arial" w:cs="Arial" w:eastAsia="Arial" w:hAnsi="Arial"/>
          <w:sz w:val="17"/>
          <w:szCs w:val="17"/>
          <w:color w:val="auto"/>
        </w:rPr>
        <w:t>Therefore</w:t>
      </w:r>
      <w:r>
        <w:rPr>
          <w:rFonts w:ascii="Arial" w:cs="Arial" w:eastAsia="Arial" w:hAnsi="Arial"/>
          <w:sz w:val="17"/>
          <w:szCs w:val="17"/>
          <w:i w:val="1"/>
          <w:iCs w:val="1"/>
          <w:color w:val="auto"/>
        </w:rPr>
        <w:t>,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June 30, 2017 and December 31, 2016,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and Subordinated Renewable Notes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June 30, 2017, we have originated a total of approximately $13.9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240" w:type="dxa"/>
            <w:vAlign w:val="bottom"/>
            <w:gridSpan w:val="5"/>
          </w:tcPr>
          <w:p>
            <w:pPr>
              <w:ind w:left="1820"/>
              <w:spacing w:after="0"/>
              <w:rPr>
                <w:sz w:val="20"/>
                <w:szCs w:val="20"/>
                <w:color w:val="auto"/>
              </w:rPr>
            </w:pPr>
            <w:r>
              <w:rPr>
                <w:rFonts w:ascii="Arial" w:cs="Arial" w:eastAsia="Arial" w:hAnsi="Arial"/>
                <w:sz w:val="18"/>
                <w:szCs w:val="18"/>
                <w:b w:val="1"/>
                <w:bCs w:val="1"/>
                <w:color w:val="auto"/>
                <w:w w:val="91"/>
              </w:rPr>
              <w:t>Contract Purchases and Outstanding Managed Portfolio</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ind w:left="10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0"/>
              </w:rPr>
              <w:t>Contracts</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Managed</w:t>
            </w:r>
          </w:p>
        </w:tc>
        <w:tc>
          <w:tcPr>
            <w:tcW w:w="10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Portfolio at</w:t>
            </w:r>
          </w:p>
        </w:tc>
      </w:tr>
      <w:tr>
        <w:trPr>
          <w:trHeight w:val="234"/>
        </w:trPr>
        <w:tc>
          <w:tcPr>
            <w:tcW w:w="4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240" w:type="dxa"/>
            <w:vAlign w:val="bottom"/>
          </w:tcPr>
          <w:p>
            <w:pPr>
              <w:spacing w:after="0"/>
              <w:rPr>
                <w:sz w:val="20"/>
                <w:szCs w:val="20"/>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in Period</w:t>
            </w:r>
          </w:p>
        </w:tc>
        <w:tc>
          <w:tcPr>
            <w:tcW w:w="22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Period End</w:t>
            </w:r>
          </w:p>
        </w:tc>
      </w:tr>
      <w:tr>
        <w:trPr>
          <w:trHeight w:val="210"/>
        </w:trPr>
        <w:tc>
          <w:tcPr>
            <w:tcW w:w="41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8,599</w:t>
            </w: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1,194,722</w:t>
            </w:r>
          </w:p>
        </w:tc>
      </w:tr>
      <w:tr>
        <w:trPr>
          <w:trHeight w:val="216"/>
        </w:trPr>
        <w:tc>
          <w:tcPr>
            <w:tcW w:w="41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113,023</w:t>
            </w: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756,203</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333333"/>
                <w:w w:val="89"/>
              </w:rPr>
              <w:t>2011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284,236</w:t>
            </w: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794,649</w:t>
            </w:r>
          </w:p>
        </w:tc>
      </w:tr>
      <w:tr>
        <w:trPr>
          <w:trHeight w:val="216"/>
        </w:trPr>
        <w:tc>
          <w:tcPr>
            <w:tcW w:w="41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551,742</w:t>
            </w: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897,575</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764,087</w:t>
            </w: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1,231,422</w:t>
            </w:r>
          </w:p>
        </w:tc>
      </w:tr>
      <w:tr>
        <w:trPr>
          <w:trHeight w:val="216"/>
        </w:trPr>
        <w:tc>
          <w:tcPr>
            <w:tcW w:w="41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944,944</w:t>
            </w: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1,643,920</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333333"/>
                <w:w w:val="89"/>
              </w:rPr>
              <w:t>2015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1,060,538</w:t>
            </w: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2,031,136</w:t>
            </w:r>
          </w:p>
        </w:tc>
      </w:tr>
      <w:tr>
        <w:trPr>
          <w:trHeight w:val="216"/>
        </w:trPr>
        <w:tc>
          <w:tcPr>
            <w:tcW w:w="41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1,088,785</w:t>
            </w: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2,308,070</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Six months ended June 30, 2017</w:t>
            </w:r>
          </w:p>
        </w:tc>
        <w:tc>
          <w:tcPr>
            <w:tcW w:w="24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463,546</w:t>
            </w:r>
          </w:p>
        </w:tc>
        <w:tc>
          <w:tcPr>
            <w:tcW w:w="2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2,343,303</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1994 we have conducted 74 term securitizations of automobile contracts that we originated. As of June 30, 2017, 17 of those securitizations are active and all are structured as secured financings.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Recent Asset-Backed Term Securitizations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20" w:type="dxa"/>
            <w:vAlign w:val="bottom"/>
            <w:gridSpan w:val="5"/>
          </w:tcPr>
          <w:p>
            <w:pPr>
              <w:ind w:left="12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6"/>
              </w:rPr>
              <w:t>Receivables</w:t>
            </w:r>
          </w:p>
        </w:tc>
        <w:tc>
          <w:tcPr>
            <w:tcW w:w="100" w:type="dxa"/>
            <w:vAlign w:val="bottom"/>
          </w:tcPr>
          <w:p>
            <w:pPr>
              <w:spacing w:after="0"/>
              <w:rPr>
                <w:sz w:val="16"/>
                <w:szCs w:val="16"/>
                <w:color w:val="auto"/>
              </w:rPr>
            </w:pPr>
          </w:p>
        </w:tc>
      </w:tr>
      <w:tr>
        <w:trPr>
          <w:trHeight w:val="216"/>
        </w:trPr>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 Term</w:t>
            </w: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Pledged in Term</w:t>
            </w:r>
          </w:p>
        </w:tc>
      </w:tr>
      <w:tr>
        <w:trPr>
          <w:trHeight w:val="234"/>
        </w:trPr>
        <w:tc>
          <w:tcPr>
            <w:tcW w:w="236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Period</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Securitizations</w:t>
            </w:r>
          </w:p>
        </w:tc>
        <w:tc>
          <w:tcPr>
            <w:tcW w:w="14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2360" w:type="dxa"/>
            <w:vAlign w:val="bottom"/>
            <w:tcBorders>
              <w:top w:val="single" w:sz="8" w:color="auto"/>
            </w:tcBorders>
            <w:shd w:val="clear" w:color="auto" w:fill="EEEEEE"/>
          </w:tcPr>
          <w:p>
            <w:pPr>
              <w:jc w:val="center"/>
              <w:ind w:left="1590"/>
              <w:spacing w:after="0"/>
              <w:rPr>
                <w:sz w:val="20"/>
                <w:szCs w:val="20"/>
                <w:color w:val="auto"/>
              </w:rPr>
            </w:pPr>
            <w:r>
              <w:rPr>
                <w:rFonts w:ascii="Arial" w:cs="Arial" w:eastAsia="Arial" w:hAnsi="Arial"/>
                <w:sz w:val="18"/>
                <w:szCs w:val="18"/>
                <w:color w:val="333333"/>
                <w:w w:val="89"/>
              </w:rPr>
              <w:t>2006</w:t>
            </w:r>
          </w:p>
        </w:tc>
        <w:tc>
          <w:tcPr>
            <w:tcW w:w="16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360" w:type="dxa"/>
            <w:vAlign w:val="bottom"/>
          </w:tcPr>
          <w:p>
            <w:pPr>
              <w:jc w:val="center"/>
              <w:ind w:left="1590"/>
              <w:spacing w:after="0"/>
              <w:rPr>
                <w:sz w:val="20"/>
                <w:szCs w:val="20"/>
                <w:color w:val="auto"/>
              </w:rPr>
            </w:pPr>
            <w:r>
              <w:rPr>
                <w:rFonts w:ascii="Arial" w:cs="Arial" w:eastAsia="Arial" w:hAnsi="Arial"/>
                <w:sz w:val="18"/>
                <w:szCs w:val="18"/>
                <w:color w:val="333333"/>
                <w:w w:val="89"/>
              </w:rPr>
              <w:t>2007</w:t>
            </w:r>
          </w:p>
        </w:tc>
        <w:tc>
          <w:tcPr>
            <w:tcW w:w="3580" w:type="dxa"/>
            <w:vAlign w:val="bottom"/>
            <w:gridSpan w:val="3"/>
          </w:tcPr>
          <w:p>
            <w:pPr>
              <w:jc w:val="center"/>
              <w:ind w:left="1930"/>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1,118,097</w:t>
            </w:r>
          </w:p>
        </w:tc>
      </w:tr>
      <w:tr>
        <w:trPr>
          <w:trHeight w:val="216"/>
        </w:trPr>
        <w:tc>
          <w:tcPr>
            <w:tcW w:w="2360" w:type="dxa"/>
            <w:vAlign w:val="bottom"/>
            <w:shd w:val="clear" w:color="auto" w:fill="EEEEEE"/>
          </w:tcPr>
          <w:p>
            <w:pPr>
              <w:jc w:val="center"/>
              <w:ind w:left="1590"/>
              <w:spacing w:after="0"/>
              <w:rPr>
                <w:sz w:val="20"/>
                <w:szCs w:val="20"/>
                <w:color w:val="auto"/>
              </w:rPr>
            </w:pPr>
            <w:r>
              <w:rPr>
                <w:rFonts w:ascii="Arial" w:cs="Arial" w:eastAsia="Arial" w:hAnsi="Arial"/>
                <w:sz w:val="18"/>
                <w:szCs w:val="18"/>
                <w:color w:val="333333"/>
                <w:w w:val="89"/>
              </w:rPr>
              <w:t>2008</w:t>
            </w:r>
          </w:p>
        </w:tc>
        <w:tc>
          <w:tcPr>
            <w:tcW w:w="3580" w:type="dxa"/>
            <w:vAlign w:val="bottom"/>
            <w:gridSpan w:val="3"/>
            <w:shd w:val="clear" w:color="auto" w:fill="EEEEEE"/>
          </w:tcPr>
          <w:p>
            <w:pPr>
              <w:jc w:val="center"/>
              <w:ind w:left="1930"/>
              <w:spacing w:after="0"/>
              <w:rPr>
                <w:sz w:val="20"/>
                <w:szCs w:val="20"/>
                <w:color w:val="auto"/>
              </w:rPr>
            </w:pPr>
            <w:r>
              <w:rPr>
                <w:rFonts w:ascii="Arial" w:cs="Arial" w:eastAsia="Arial" w:hAnsi="Arial"/>
                <w:sz w:val="18"/>
                <w:szCs w:val="18"/>
                <w:color w:val="auto"/>
                <w:w w:val="79"/>
              </w:rPr>
              <w:t>2</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509,022</w:t>
            </w:r>
          </w:p>
        </w:tc>
      </w:tr>
      <w:tr>
        <w:trPr>
          <w:trHeight w:val="216"/>
        </w:trPr>
        <w:tc>
          <w:tcPr>
            <w:tcW w:w="2360" w:type="dxa"/>
            <w:vAlign w:val="bottom"/>
          </w:tcPr>
          <w:p>
            <w:pPr>
              <w:jc w:val="center"/>
              <w:ind w:left="1590"/>
              <w:spacing w:after="0"/>
              <w:rPr>
                <w:sz w:val="20"/>
                <w:szCs w:val="20"/>
                <w:color w:val="auto"/>
              </w:rPr>
            </w:pPr>
            <w:r>
              <w:rPr>
                <w:rFonts w:ascii="Arial" w:cs="Arial" w:eastAsia="Arial" w:hAnsi="Arial"/>
                <w:sz w:val="18"/>
                <w:szCs w:val="18"/>
                <w:color w:val="333333"/>
                <w:w w:val="89"/>
              </w:rPr>
              <w:t>2009</w:t>
            </w:r>
          </w:p>
        </w:tc>
        <w:tc>
          <w:tcPr>
            <w:tcW w:w="3580" w:type="dxa"/>
            <w:vAlign w:val="bottom"/>
            <w:gridSpan w:val="3"/>
          </w:tcPr>
          <w:p>
            <w:pPr>
              <w:jc w:val="center"/>
              <w:ind w:left="1930"/>
              <w:spacing w:after="0"/>
              <w:rPr>
                <w:sz w:val="20"/>
                <w:szCs w:val="20"/>
                <w:color w:val="auto"/>
              </w:rPr>
            </w:pPr>
            <w:r>
              <w:rPr>
                <w:rFonts w:ascii="Arial" w:cs="Arial" w:eastAsia="Arial" w:hAnsi="Arial"/>
                <w:sz w:val="18"/>
                <w:szCs w:val="18"/>
                <w:color w:val="auto"/>
                <w:w w:val="79"/>
              </w:rPr>
              <w:t>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EEEEEE"/>
          </w:tcPr>
          <w:p>
            <w:pPr>
              <w:jc w:val="center"/>
              <w:ind w:left="1590"/>
              <w:spacing w:after="0"/>
              <w:rPr>
                <w:sz w:val="20"/>
                <w:szCs w:val="20"/>
                <w:color w:val="auto"/>
              </w:rPr>
            </w:pPr>
            <w:r>
              <w:rPr>
                <w:rFonts w:ascii="Arial" w:cs="Arial" w:eastAsia="Arial" w:hAnsi="Arial"/>
                <w:sz w:val="18"/>
                <w:szCs w:val="18"/>
                <w:color w:val="333333"/>
                <w:w w:val="89"/>
              </w:rPr>
              <w:t>2010</w:t>
            </w:r>
          </w:p>
        </w:tc>
        <w:tc>
          <w:tcPr>
            <w:tcW w:w="3580" w:type="dxa"/>
            <w:vAlign w:val="bottom"/>
            <w:gridSpan w:val="3"/>
            <w:shd w:val="clear" w:color="auto" w:fill="EEEEEE"/>
          </w:tcPr>
          <w:p>
            <w:pPr>
              <w:jc w:val="center"/>
              <w:ind w:left="1930"/>
              <w:spacing w:after="0"/>
              <w:rPr>
                <w:sz w:val="20"/>
                <w:szCs w:val="20"/>
                <w:color w:val="auto"/>
              </w:rPr>
            </w:pPr>
            <w:r>
              <w:rPr>
                <w:rFonts w:ascii="Arial" w:cs="Arial" w:eastAsia="Arial" w:hAnsi="Arial"/>
                <w:sz w:val="18"/>
                <w:szCs w:val="18"/>
                <w:color w:val="auto"/>
                <w:w w:val="79"/>
              </w:rPr>
              <w:t>1</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103,772</w:t>
            </w:r>
          </w:p>
        </w:tc>
      </w:tr>
      <w:tr>
        <w:trPr>
          <w:trHeight w:val="216"/>
        </w:trPr>
        <w:tc>
          <w:tcPr>
            <w:tcW w:w="2360" w:type="dxa"/>
            <w:vAlign w:val="bottom"/>
          </w:tcPr>
          <w:p>
            <w:pPr>
              <w:jc w:val="center"/>
              <w:ind w:left="1590"/>
              <w:spacing w:after="0"/>
              <w:rPr>
                <w:sz w:val="20"/>
                <w:szCs w:val="20"/>
                <w:color w:val="auto"/>
              </w:rPr>
            </w:pPr>
            <w:r>
              <w:rPr>
                <w:rFonts w:ascii="Arial" w:cs="Arial" w:eastAsia="Arial" w:hAnsi="Arial"/>
                <w:sz w:val="18"/>
                <w:szCs w:val="18"/>
                <w:color w:val="333333"/>
                <w:w w:val="89"/>
              </w:rPr>
              <w:t>2011</w:t>
            </w:r>
          </w:p>
        </w:tc>
        <w:tc>
          <w:tcPr>
            <w:tcW w:w="3580" w:type="dxa"/>
            <w:vAlign w:val="bottom"/>
            <w:gridSpan w:val="3"/>
          </w:tcPr>
          <w:p>
            <w:pPr>
              <w:jc w:val="center"/>
              <w:ind w:left="1930"/>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335,593</w:t>
            </w:r>
          </w:p>
        </w:tc>
      </w:tr>
      <w:tr>
        <w:trPr>
          <w:trHeight w:val="216"/>
        </w:trPr>
        <w:tc>
          <w:tcPr>
            <w:tcW w:w="2360" w:type="dxa"/>
            <w:vAlign w:val="bottom"/>
            <w:shd w:val="clear" w:color="auto" w:fill="EEEEEE"/>
          </w:tcPr>
          <w:p>
            <w:pPr>
              <w:jc w:val="center"/>
              <w:ind w:left="1590"/>
              <w:spacing w:after="0"/>
              <w:rPr>
                <w:sz w:val="20"/>
                <w:szCs w:val="20"/>
                <w:color w:val="auto"/>
              </w:rPr>
            </w:pPr>
            <w:r>
              <w:rPr>
                <w:rFonts w:ascii="Arial" w:cs="Arial" w:eastAsia="Arial" w:hAnsi="Arial"/>
                <w:sz w:val="18"/>
                <w:szCs w:val="18"/>
                <w:color w:val="333333"/>
                <w:w w:val="89"/>
              </w:rPr>
              <w:t>2012</w:t>
            </w:r>
          </w:p>
        </w:tc>
        <w:tc>
          <w:tcPr>
            <w:tcW w:w="3580" w:type="dxa"/>
            <w:vAlign w:val="bottom"/>
            <w:gridSpan w:val="3"/>
            <w:shd w:val="clear" w:color="auto" w:fill="EEEEEE"/>
          </w:tcPr>
          <w:p>
            <w:pPr>
              <w:jc w:val="center"/>
              <w:ind w:left="1930"/>
              <w:spacing w:after="0"/>
              <w:rPr>
                <w:sz w:val="20"/>
                <w:szCs w:val="20"/>
                <w:color w:val="auto"/>
              </w:rPr>
            </w:pPr>
            <w:r>
              <w:rPr>
                <w:rFonts w:ascii="Arial" w:cs="Arial" w:eastAsia="Arial" w:hAnsi="Arial"/>
                <w:sz w:val="18"/>
                <w:szCs w:val="18"/>
                <w:color w:val="auto"/>
                <w:w w:val="79"/>
              </w:rPr>
              <w:t>4</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603,500</w:t>
            </w:r>
          </w:p>
        </w:tc>
      </w:tr>
      <w:tr>
        <w:trPr>
          <w:trHeight w:val="216"/>
        </w:trPr>
        <w:tc>
          <w:tcPr>
            <w:tcW w:w="2360" w:type="dxa"/>
            <w:vAlign w:val="bottom"/>
          </w:tcPr>
          <w:p>
            <w:pPr>
              <w:jc w:val="center"/>
              <w:ind w:left="1590"/>
              <w:spacing w:after="0"/>
              <w:rPr>
                <w:sz w:val="20"/>
                <w:szCs w:val="20"/>
                <w:color w:val="auto"/>
              </w:rPr>
            </w:pPr>
            <w:r>
              <w:rPr>
                <w:rFonts w:ascii="Arial" w:cs="Arial" w:eastAsia="Arial" w:hAnsi="Arial"/>
                <w:sz w:val="18"/>
                <w:szCs w:val="18"/>
                <w:color w:val="333333"/>
                <w:w w:val="89"/>
              </w:rPr>
              <w:t>2013</w:t>
            </w:r>
          </w:p>
        </w:tc>
        <w:tc>
          <w:tcPr>
            <w:tcW w:w="3580" w:type="dxa"/>
            <w:vAlign w:val="bottom"/>
            <w:gridSpan w:val="3"/>
          </w:tcPr>
          <w:p>
            <w:pPr>
              <w:jc w:val="center"/>
              <w:ind w:left="1930"/>
              <w:spacing w:after="0"/>
              <w:rPr>
                <w:sz w:val="20"/>
                <w:szCs w:val="20"/>
                <w:color w:val="auto"/>
              </w:rPr>
            </w:pPr>
            <w:r>
              <w:rPr>
                <w:rFonts w:ascii="Arial" w:cs="Arial" w:eastAsia="Arial" w:hAnsi="Arial"/>
                <w:sz w:val="18"/>
                <w:szCs w:val="18"/>
                <w:color w:val="auto"/>
                <w:w w:val="79"/>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778,000</w:t>
            </w:r>
          </w:p>
        </w:tc>
      </w:tr>
      <w:tr>
        <w:trPr>
          <w:trHeight w:val="216"/>
        </w:trPr>
        <w:tc>
          <w:tcPr>
            <w:tcW w:w="2360" w:type="dxa"/>
            <w:vAlign w:val="bottom"/>
            <w:shd w:val="clear" w:color="auto" w:fill="EEEEEE"/>
          </w:tcPr>
          <w:p>
            <w:pPr>
              <w:jc w:val="center"/>
              <w:ind w:left="1590"/>
              <w:spacing w:after="0"/>
              <w:rPr>
                <w:sz w:val="20"/>
                <w:szCs w:val="20"/>
                <w:color w:val="auto"/>
              </w:rPr>
            </w:pPr>
            <w:r>
              <w:rPr>
                <w:rFonts w:ascii="Arial" w:cs="Arial" w:eastAsia="Arial" w:hAnsi="Arial"/>
                <w:sz w:val="18"/>
                <w:szCs w:val="18"/>
                <w:color w:val="333333"/>
                <w:w w:val="89"/>
              </w:rPr>
              <w:t>2014</w:t>
            </w:r>
          </w:p>
        </w:tc>
        <w:tc>
          <w:tcPr>
            <w:tcW w:w="3580" w:type="dxa"/>
            <w:vAlign w:val="bottom"/>
            <w:gridSpan w:val="3"/>
            <w:shd w:val="clear" w:color="auto" w:fill="EEEEEE"/>
          </w:tcPr>
          <w:p>
            <w:pPr>
              <w:jc w:val="center"/>
              <w:ind w:left="1930"/>
              <w:spacing w:after="0"/>
              <w:rPr>
                <w:sz w:val="20"/>
                <w:szCs w:val="20"/>
                <w:color w:val="auto"/>
              </w:rPr>
            </w:pPr>
            <w:r>
              <w:rPr>
                <w:rFonts w:ascii="Arial" w:cs="Arial" w:eastAsia="Arial" w:hAnsi="Arial"/>
                <w:sz w:val="18"/>
                <w:szCs w:val="18"/>
                <w:color w:val="auto"/>
                <w:w w:val="79"/>
              </w:rPr>
              <w:t>4</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923,000</w:t>
            </w:r>
          </w:p>
        </w:tc>
      </w:tr>
      <w:tr>
        <w:trPr>
          <w:trHeight w:val="216"/>
        </w:trPr>
        <w:tc>
          <w:tcPr>
            <w:tcW w:w="2360" w:type="dxa"/>
            <w:vAlign w:val="bottom"/>
          </w:tcPr>
          <w:p>
            <w:pPr>
              <w:jc w:val="center"/>
              <w:ind w:left="1590"/>
              <w:spacing w:after="0"/>
              <w:rPr>
                <w:sz w:val="20"/>
                <w:szCs w:val="20"/>
                <w:color w:val="auto"/>
              </w:rPr>
            </w:pPr>
            <w:r>
              <w:rPr>
                <w:rFonts w:ascii="Arial" w:cs="Arial" w:eastAsia="Arial" w:hAnsi="Arial"/>
                <w:sz w:val="18"/>
                <w:szCs w:val="18"/>
                <w:color w:val="333333"/>
                <w:w w:val="89"/>
              </w:rPr>
              <w:t>2015</w:t>
            </w:r>
          </w:p>
        </w:tc>
        <w:tc>
          <w:tcPr>
            <w:tcW w:w="3580" w:type="dxa"/>
            <w:vAlign w:val="bottom"/>
            <w:gridSpan w:val="3"/>
          </w:tcPr>
          <w:p>
            <w:pPr>
              <w:jc w:val="center"/>
              <w:ind w:left="1930"/>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795,000</w:t>
            </w:r>
          </w:p>
        </w:tc>
      </w:tr>
      <w:tr>
        <w:trPr>
          <w:trHeight w:val="216"/>
        </w:trPr>
        <w:tc>
          <w:tcPr>
            <w:tcW w:w="2360" w:type="dxa"/>
            <w:vAlign w:val="bottom"/>
            <w:shd w:val="clear" w:color="auto" w:fill="EEEEEE"/>
          </w:tcPr>
          <w:p>
            <w:pPr>
              <w:jc w:val="center"/>
              <w:ind w:left="1590"/>
              <w:spacing w:after="0"/>
              <w:rPr>
                <w:sz w:val="20"/>
                <w:szCs w:val="20"/>
                <w:color w:val="auto"/>
              </w:rPr>
            </w:pPr>
            <w:r>
              <w:rPr>
                <w:rFonts w:ascii="Arial" w:cs="Arial" w:eastAsia="Arial" w:hAnsi="Arial"/>
                <w:sz w:val="18"/>
                <w:szCs w:val="18"/>
                <w:color w:val="333333"/>
                <w:w w:val="89"/>
              </w:rPr>
              <w:t>2016</w:t>
            </w:r>
          </w:p>
        </w:tc>
        <w:tc>
          <w:tcPr>
            <w:tcW w:w="3580" w:type="dxa"/>
            <w:vAlign w:val="bottom"/>
            <w:gridSpan w:val="3"/>
            <w:shd w:val="clear" w:color="auto" w:fill="EEEEEE"/>
          </w:tcPr>
          <w:p>
            <w:pPr>
              <w:jc w:val="center"/>
              <w:ind w:left="1930"/>
              <w:spacing w:after="0"/>
              <w:rPr>
                <w:sz w:val="20"/>
                <w:szCs w:val="20"/>
                <w:color w:val="auto"/>
              </w:rPr>
            </w:pPr>
            <w:r>
              <w:rPr>
                <w:rFonts w:ascii="Arial" w:cs="Arial" w:eastAsia="Arial" w:hAnsi="Arial"/>
                <w:sz w:val="18"/>
                <w:szCs w:val="18"/>
                <w:color w:val="auto"/>
                <w:w w:val="79"/>
              </w:rPr>
              <w:t>4</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1,214,997</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w w:val="88"/>
              </w:rPr>
              <w:t>Six months ended June 30, 2017</w:t>
            </w:r>
          </w:p>
        </w:tc>
        <w:tc>
          <w:tcPr>
            <w:tcW w:w="3580" w:type="dxa"/>
            <w:vAlign w:val="bottom"/>
            <w:gridSpan w:val="3"/>
          </w:tcPr>
          <w:p>
            <w:pPr>
              <w:jc w:val="center"/>
              <w:ind w:left="1930"/>
              <w:spacing w:after="0"/>
              <w:rPr>
                <w:sz w:val="20"/>
                <w:szCs w:val="20"/>
                <w:color w:val="auto"/>
              </w:rPr>
            </w:pPr>
            <w:r>
              <w:rPr>
                <w:rFonts w:ascii="Arial" w:cs="Arial" w:eastAsia="Arial" w:hAnsi="Arial"/>
                <w:sz w:val="18"/>
                <w:szCs w:val="18"/>
                <w:color w:val="auto"/>
                <w:w w:val="79"/>
              </w:rPr>
              <w:t>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440,000</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$100 million facility, with a revolving period extending to April 2017, followed by an amortization period to April 2019. That facility was renewed in April 2017, extending the revolving period to April 2019, followed by an amortization period to April 2021. In November 2015, we entered into a third $100 million facility, with a revolving period extending to November 2017, followed by an amortization period to November 2019.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2017, we were in compliance with all such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2017 with the three months ended June 30, 2016</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June 30, 2017, our revenues were $110.1 million, an increase of $5.1 million, or 4.9%,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$104.9 million. The primary reason for the increase in revenues is an increase in interest income. Interest income for the three months ended June 30, 2017 increased $5.7 million, or 5.7%, to $107.5 million from $101.7 million in the prior year. The primary reason for the increase in interest income is the increase in finance receivables held by consolidated subsidiaries. The table below shows the outstanding and average balances of our portfolio held by consolidated subsidiaries for the three months ended June 30, 2017 and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June 30, 2017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8"/>
              </w:rPr>
              <w:t>Finance Receivables Owned by</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4"/>
          </w:tcPr>
          <w:p>
            <w:pPr>
              <w:jc w:val="right"/>
              <w:ind w:right="1150"/>
              <w:spacing w:after="0" w:line="191" w:lineRule="exact"/>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Consolidated Subsidiaries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Average balance for the three-month period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2,340.2</w:t>
            </w:r>
          </w:p>
        </w:tc>
        <w:tc>
          <w:tcPr>
            <w:tcW w:w="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Ending balance for the period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2,343.3</w:t>
            </w:r>
          </w:p>
        </w:tc>
        <w:tc>
          <w:tcPr>
            <w:tcW w:w="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three months ended June 30, 2017, other income of $2.6 million decreased by $637,000, or 19.8% compared to the prior year. The three-month period ended June 30, 2017 includes a decrease of $744,000 in revenue associated with direct mail and other related products and services that we offer to our dealers. That decrease was somewhat offset by an increase of $50,000 in payments from third-party providers of convenience fees paid by our customers for web based and other electronic payments, an increase of $44,000 on payments to us for our interest in certain sold charge offs and acquired third-party portfolios and an increase of $13,000 on sales tax refunds.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operating expenses were $102.1 million for the three months ended June 30, 2017, compared to $92.6 million for the prior period, an increase of $9.5 million, or 10.3%. The increase is primarily due to the increase in our consolidated portfolio and associated servicing costs, and the related increases in interest expense and in our provision for credit losses.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Employee costs increased by $1.9 million or 12.1%, to $17.6 million during the three months ended June 30, 2017, representing 17.2% of total operating expenses, from $15.7 million for the prior year, or 16.9% of total operating expenses. The table below summarizes our employees by category as well as contract purchases and units in our managed portfolio as of, and for the three-month periods ended, June 30, 2017 and 2016: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233.9</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319.1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14,244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2,343.3</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2,253.7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173,598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164,403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$6.8 million, an increase of $251,000, or 3.8% compared to the previous year and represented 6.7%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three months ended June 30, 2017 increased by $3.5 million to $23.2 million, or 17.8% and represented 22.8% of total operating expenses, compared to $19.7 million in the previous year, when it was 21.3% of total operating expenses.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Interest on securitization trust debt increased by $3.7 million, or 21.7%, for the three months ended June 30, 2017 compared to the prior period. The average balance of securitization trust debt increased 5.9% to $2,168.0 million for the three months ended June 30, 2017 compared to $2,047.6 million for the three months ended June 30, 2016. In addition, the blended interest rates on new term securitizations have generally increased since June 2014. As a result, the cost of securitization debt during the three-month period ended June 30, 2017 was 3.8%, compared to 3.3%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220" w:type="dxa"/>
            <w:vAlign w:val="bottom"/>
            <w:tcBorders>
              <w:bottom w:val="single" w:sz="8" w:color="EEEEEE"/>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Blended Cost of Funds</w:t>
            </w: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7"/>
              </w:rPr>
              <w:t>June 2014</w:t>
            </w:r>
          </w:p>
        </w:tc>
        <w:tc>
          <w:tcPr>
            <w:tcW w:w="220" w:type="dxa"/>
            <w:vAlign w:val="bottom"/>
            <w:shd w:val="clear" w:color="auto" w:fill="EEEEEE"/>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2.37%</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333333"/>
                <w:w w:val="88"/>
              </w:rPr>
              <w:t>September 2014</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2.71%</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8"/>
              </w:rPr>
              <w:t>December 2014</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3.07%</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333333"/>
                <w:w w:val="92"/>
              </w:rPr>
              <w:t>March 2015</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3.04%</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7"/>
              </w:rPr>
              <w:t>June 2015</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3.18%</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333333"/>
                <w:w w:val="88"/>
              </w:rPr>
              <w:t>September 2015</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3.78%</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7"/>
              </w:rPr>
              <w:t>January 2016</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4.34%</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333333"/>
                <w:w w:val="96"/>
              </w:rPr>
              <w:t>April 2016</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4.65%</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July 2016</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4.48%</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October 2016</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3.66%</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January 2017</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3.90%</w:t>
            </w:r>
          </w:p>
        </w:tc>
        <w:tc>
          <w:tcPr>
            <w:tcW w:w="2840" w:type="dxa"/>
            <w:vAlign w:val="bottom"/>
          </w:tcPr>
          <w:p>
            <w:pPr>
              <w:spacing w:after="0"/>
              <w:rPr>
                <w:sz w:val="21"/>
                <w:szCs w:val="21"/>
                <w:color w:val="auto"/>
              </w:rPr>
            </w:pPr>
          </w:p>
        </w:tc>
      </w:tr>
      <w:tr>
        <w:trPr>
          <w:trHeight w:val="230"/>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3.45%</w:t>
            </w:r>
          </w:p>
        </w:tc>
        <w:tc>
          <w:tcPr>
            <w:tcW w:w="2840" w:type="dxa"/>
            <w:vAlign w:val="bottom"/>
          </w:tcPr>
          <w:p>
            <w:pPr>
              <w:spacing w:after="0"/>
              <w:rPr>
                <w:sz w:val="20"/>
                <w:szCs w:val="20"/>
                <w:color w:val="auto"/>
              </w:rPr>
            </w:pPr>
          </w:p>
        </w:tc>
      </w:tr>
      <w:tr>
        <w:trPr>
          <w:trHeight w:val="769"/>
        </w:trPr>
        <w:tc>
          <w:tcPr>
            <w:tcW w:w="28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w:t>
            </w:r>
          </w:p>
        </w:tc>
        <w:tc>
          <w:tcPr>
            <w:tcW w:w="27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089" w:gutter="0" w:footer="0" w:header="0"/>
        </w:sectPr>
      </w:pPr>
    </w:p>
    <w:bookmarkStart w:id="21" w:name="page22"/>
    <w:bookmarkEnd w:id="21"/>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$42,000, or 11.7%. The decrease is due to a decrease in the average yield on our subordinated renewable notes to 7.9% for the three-month period ended June 30, 2017 compared to the prior year when the average yield on our subordinated renewable notes was 9.5%. The decrease in the average yield on our subordinated renewable notes offset an increase in the average balance of $859,000, or 5.6%, for the three months ended June 30, 2017 compared to the prior period.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expense on warehouse debt increased by $135,000, or 6.0%, for the three months ended June 30, 2017 compared to the prior period. When possible, we hold contracts with our own cash rather than pledging them to one of our warehouse facilities to minimize interest expense.</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June 30,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00" w:type="dxa"/>
            <w:vAlign w:val="bottom"/>
            <w:tcBorders>
              <w:top w:val="single" w:sz="8" w:color="EEEEEE"/>
            </w:tcBorders>
            <w:gridSpan w:val="3"/>
            <w:shd w:val="clear" w:color="auto" w:fill="EEEEEE"/>
          </w:tcPr>
          <w:p>
            <w:pPr>
              <w:jc w:val="center"/>
              <w:ind w:right="40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8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6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8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2,306,632</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107,485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2,182,203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101,709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5"/>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FFFFFF"/>
              </w:rPr>
              <w: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72,404</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2,379</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84,564</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2,244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7,770</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2,167,971</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20,537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2,047,621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16,874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16,180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320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15,321</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vMerge w:val="restart"/>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48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180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tcBorders>
            <w:shd w:val="clear" w:color="auto" w:fill="EEEEEE"/>
          </w:tcPr>
          <w:p>
            <w:pPr>
              <w:spacing w:after="0"/>
              <w:rPr>
                <w:sz w:val="22"/>
                <w:szCs w:val="22"/>
                <w:color w:val="auto"/>
              </w:rPr>
            </w:pPr>
          </w:p>
        </w:tc>
        <w:tc>
          <w:tcPr>
            <w:tcW w:w="260" w:type="dxa"/>
            <w:vAlign w:val="bottom"/>
            <w:tcBorders>
              <w:bottom w:val="single" w:sz="8" w:color="EEEEEE"/>
            </w:tcBorders>
            <w:shd w:val="clear" w:color="auto" w:fill="EEEEEE"/>
          </w:tcPr>
          <w:p>
            <w:pPr>
              <w:spacing w:after="0"/>
              <w:rPr>
                <w:sz w:val="22"/>
                <w:szCs w:val="22"/>
                <w:color w:val="auto"/>
              </w:rPr>
            </w:pPr>
          </w:p>
        </w:tc>
        <w:tc>
          <w:tcPr>
            <w:tcW w:w="180" w:type="dxa"/>
            <w:vAlign w:val="bottom"/>
            <w:tcBorders>
              <w:bottom w:val="single" w:sz="8" w:color="EEEEEE"/>
            </w:tcBorders>
            <w:vMerge w:val="continue"/>
            <w:shd w:val="clear" w:color="auto" w:fill="EEEEEE"/>
          </w:tcPr>
          <w:p>
            <w:pPr>
              <w:spacing w:after="0"/>
              <w:rPr>
                <w:sz w:val="22"/>
                <w:szCs w:val="22"/>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2,256,555</w:t>
            </w:r>
          </w:p>
        </w:tc>
        <w:tc>
          <w:tcPr>
            <w:tcW w:w="340" w:type="dxa"/>
            <w:vAlign w:val="bottom"/>
            <w:tcBorders>
              <w:bottom w:val="single" w:sz="8" w:color="EEEEEE"/>
            </w:tcBorders>
            <w:shd w:val="clear" w:color="auto" w:fill="EEEEEE"/>
          </w:tcPr>
          <w:p>
            <w:pPr>
              <w:spacing w:after="0"/>
              <w:rPr>
                <w:sz w:val="22"/>
                <w:szCs w:val="22"/>
                <w:color w:val="auto"/>
              </w:rPr>
            </w:pPr>
          </w:p>
        </w:tc>
        <w:tc>
          <w:tcPr>
            <w:tcW w:w="180" w:type="dxa"/>
            <w:vAlign w:val="bottom"/>
            <w:tcBorders>
              <w:bottom w:val="single" w:sz="8" w:color="EEEEEE"/>
            </w:tcBorders>
            <w:shd w:val="clear" w:color="auto" w:fill="EEEEEE"/>
          </w:tcPr>
          <w:p>
            <w:pPr>
              <w:spacing w:after="0"/>
              <w:rPr>
                <w:sz w:val="22"/>
                <w:szCs w:val="22"/>
                <w:color w:val="auto"/>
              </w:rPr>
            </w:pPr>
          </w:p>
        </w:tc>
        <w:tc>
          <w:tcPr>
            <w:tcW w:w="1340" w:type="dxa"/>
            <w:vAlign w:val="bottom"/>
            <w:tcBorders>
              <w:bottom w:val="single" w:sz="8" w:color="EEEEEE"/>
            </w:tcBorders>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23,236</w:t>
            </w:r>
          </w:p>
        </w:tc>
        <w:tc>
          <w:tcPr>
            <w:tcW w:w="1480" w:type="dxa"/>
            <w:vAlign w:val="bottom"/>
            <w:tcBorders>
              <w:bottom w:val="single" w:sz="8" w:color="EEEEEE"/>
            </w:tcBorders>
            <w:gridSpan w:val="2"/>
            <w:vMerge w:val="continue"/>
            <w:shd w:val="clear" w:color="auto" w:fill="EEEEEE"/>
          </w:tcPr>
          <w:p>
            <w:pPr>
              <w:spacing w:after="0"/>
              <w:rPr>
                <w:sz w:val="22"/>
                <w:szCs w:val="22"/>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2,155,276</w:t>
            </w:r>
          </w:p>
        </w:tc>
        <w:tc>
          <w:tcPr>
            <w:tcW w:w="320" w:type="dxa"/>
            <w:vAlign w:val="bottom"/>
            <w:tcBorders>
              <w:bottom w:val="single" w:sz="8" w:color="EEEEEE"/>
            </w:tcBorders>
            <w:vMerge w:val="continue"/>
            <w:shd w:val="clear" w:color="auto" w:fill="EEEEEE"/>
          </w:tcPr>
          <w:p>
            <w:pPr>
              <w:spacing w:after="0"/>
              <w:rPr>
                <w:sz w:val="22"/>
                <w:szCs w:val="22"/>
                <w:color w:val="auto"/>
              </w:rPr>
            </w:pPr>
          </w:p>
        </w:tc>
        <w:tc>
          <w:tcPr>
            <w:tcW w:w="180" w:type="dxa"/>
            <w:vAlign w:val="bottom"/>
            <w:tcBorders>
              <w:bottom w:val="single" w:sz="8" w:color="EEEEEE"/>
            </w:tcBorders>
            <w:shd w:val="clear" w:color="auto" w:fill="EEEEEE"/>
          </w:tcPr>
          <w:p>
            <w:pPr>
              <w:spacing w:after="0"/>
              <w:rPr>
                <w:sz w:val="22"/>
                <w:szCs w:val="22"/>
                <w:color w:val="auto"/>
              </w:rPr>
            </w:pPr>
          </w:p>
        </w:tc>
        <w:tc>
          <w:tcPr>
            <w:tcW w:w="12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19,727</w:t>
            </w:r>
          </w:p>
        </w:tc>
        <w:tc>
          <w:tcPr>
            <w:tcW w:w="1240" w:type="dxa"/>
            <w:vAlign w:val="bottom"/>
            <w:tcBorders>
              <w:bottom w:val="single" w:sz="8" w:color="EEEEEE"/>
            </w:tcBorders>
            <w:gridSpan w:val="2"/>
            <w:vMerge w:val="continue"/>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20" w:type="dxa"/>
            <w:vAlign w:val="bottom"/>
            <w:tcBorders>
              <w:top w:val="single" w:sz="8" w:color="auto"/>
              <w:bottom w:val="single" w:sz="8" w:color="EEEEEE"/>
            </w:tcBorders>
          </w:tcPr>
          <w:p>
            <w:pPr>
              <w:spacing w:after="0"/>
              <w:rPr>
                <w:sz w:val="17"/>
                <w:szCs w:val="17"/>
                <w:color w:val="auto"/>
              </w:rPr>
            </w:pPr>
          </w:p>
        </w:tc>
        <w:tc>
          <w:tcPr>
            <w:tcW w:w="1060" w:type="dxa"/>
            <w:vAlign w:val="bottom"/>
            <w:tcBorders>
              <w:top w:val="single" w:sz="8" w:color="auto"/>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0" w:type="dxa"/>
            <w:vAlign w:val="bottom"/>
            <w:tcBorders>
              <w:top w:val="single" w:sz="8" w:color="auto"/>
              <w:bottom w:val="single" w:sz="8" w:color="EEEEEE"/>
            </w:tcBorders>
          </w:tcPr>
          <w:p>
            <w:pPr>
              <w:spacing w:after="0"/>
              <w:rPr>
                <w:sz w:val="17"/>
                <w:szCs w:val="17"/>
                <w:color w:val="auto"/>
              </w:rPr>
            </w:pPr>
          </w:p>
        </w:tc>
        <w:tc>
          <w:tcPr>
            <w:tcW w:w="1020" w:type="dxa"/>
            <w:vAlign w:val="bottom"/>
            <w:tcBorders>
              <w:top w:val="single" w:sz="8" w:color="auto"/>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gridSpan w:val="2"/>
          </w:tcPr>
          <w:p>
            <w:pPr>
              <w:jc w:val="right"/>
              <w:ind w:right="100"/>
              <w:spacing w:after="0" w:line="196" w:lineRule="exact"/>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400" w:type="dxa"/>
            <w:vAlign w:val="bottom"/>
            <w:tcBorders>
              <w:bottom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FFFFFF"/>
              </w:rPr>
              <w:t>$</w:t>
            </w: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84,249</w:t>
            </w:r>
          </w:p>
        </w:tc>
        <w:tc>
          <w:tcPr>
            <w:tcW w:w="36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81,982</w:t>
            </w:r>
          </w:p>
        </w:tc>
        <w:tc>
          <w:tcPr>
            <w:tcW w:w="3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(4)</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FFFFFF"/>
              </w:rPr>
              <w:t>$</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197"/>
        </w:trPr>
        <w:tc>
          <w:tcPr>
            <w:tcW w:w="2560" w:type="dxa"/>
            <w:vAlign w:val="bottom"/>
            <w:gridSpan w:val="6"/>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40" w:type="dxa"/>
            <w:vAlign w:val="bottom"/>
            <w:gridSpan w:val="5"/>
          </w:tcPr>
          <w:p>
            <w:pPr>
              <w:spacing w:after="0" w:line="201" w:lineRule="exact"/>
              <w:rPr>
                <w:sz w:val="20"/>
                <w:szCs w:val="20"/>
                <w:color w:val="auto"/>
              </w:rPr>
            </w:pPr>
            <w:r>
              <w:rPr>
                <w:rFonts w:ascii="Arial" w:cs="Arial" w:eastAsia="Arial" w:hAnsi="Arial"/>
                <w:sz w:val="18"/>
                <w:szCs w:val="18"/>
                <w:color w:val="auto"/>
                <w:w w:val="96"/>
              </w:rPr>
              <w:t>Ratio of average interest earning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ind w:left="160"/>
              <w:spacing w:after="0"/>
              <w:rPr>
                <w:sz w:val="20"/>
                <w:szCs w:val="20"/>
                <w:color w:val="auto"/>
              </w:rPr>
            </w:pPr>
            <w:r>
              <w:rPr>
                <w:rFonts w:ascii="Arial" w:cs="Arial" w:eastAsia="Arial" w:hAnsi="Arial"/>
                <w:sz w:val="18"/>
                <w:szCs w:val="18"/>
                <w:color w:val="auto"/>
              </w:rPr>
              <w:t>assets to average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40" w:type="dxa"/>
            <w:vAlign w:val="bottom"/>
            <w:gridSpan w:val="5"/>
          </w:tcPr>
          <w:p>
            <w:pPr>
              <w:ind w:left="160"/>
              <w:spacing w:after="0"/>
              <w:rPr>
                <w:sz w:val="20"/>
                <w:szCs w:val="20"/>
                <w:color w:val="auto"/>
              </w:rPr>
            </w:pPr>
            <w:r>
              <w:rPr>
                <w:rFonts w:ascii="Arial" w:cs="Arial" w:eastAsia="Arial" w:hAnsi="Arial"/>
                <w:sz w:val="18"/>
                <w:szCs w:val="18"/>
                <w:color w:val="auto"/>
              </w:rPr>
              <w:t>bearing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FFFFFF"/>
              </w:rPr>
              <w:t>$</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27" w:lineRule="auto"/>
        <w:rPr>
          <w:sz w:val="20"/>
          <w:szCs w:val="20"/>
          <w:color w:val="auto"/>
        </w:rPr>
      </w:pPr>
      <w:r>
        <w:rPr>
          <w:rFonts w:ascii="Arial" w:cs="Arial" w:eastAsia="Arial" w:hAnsi="Arial"/>
          <w:sz w:val="22"/>
          <w:szCs w:val="22"/>
          <w:color w:val="auto"/>
        </w:rPr>
        <w:t>____________________________________</w:t>
      </w:r>
    </w:p>
    <w:p>
      <w:pPr>
        <w:ind w:left="240" w:hanging="232"/>
        <w:spacing w:after="0" w:line="222"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240" w:hanging="232"/>
        <w:spacing w:after="0" w:line="221"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240" w:hanging="232"/>
        <w:spacing w:after="0" w:line="221"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Interest expense includes deferred financing costs and non-utilization fees.</w:t>
      </w:r>
    </w:p>
    <w:p>
      <w:pPr>
        <w:ind w:left="240" w:hanging="232"/>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Annualized net interest income divided by average interest earning assets.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gridSpan w:val="8"/>
          </w:tcPr>
          <w:p>
            <w:pPr>
              <w:jc w:val="center"/>
              <w:ind w:left="930"/>
              <w:spacing w:after="0"/>
              <w:rPr>
                <w:sz w:val="20"/>
                <w:szCs w:val="20"/>
                <w:color w:val="auto"/>
              </w:rPr>
            </w:pPr>
            <w:r>
              <w:rPr>
                <w:rFonts w:ascii="Arial" w:cs="Arial" w:eastAsia="Arial" w:hAnsi="Arial"/>
                <w:sz w:val="18"/>
                <w:szCs w:val="18"/>
                <w:b w:val="1"/>
                <w:bCs w:val="1"/>
                <w:color w:val="auto"/>
                <w:w w:val="90"/>
              </w:rPr>
              <w:t>Three Months Ended June 30, 2017</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80" w:type="dxa"/>
            <w:vAlign w:val="bottom"/>
            <w:gridSpan w:val="2"/>
            <w:vMerge w:val="restart"/>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Compared to June 30, 2016</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680"/>
              <w:spacing w:after="0" w:line="195" w:lineRule="exact"/>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600"/>
              <w:spacing w:after="0" w:line="195" w:lineRule="exact"/>
              <w:rPr>
                <w:sz w:val="20"/>
                <w:szCs w:val="20"/>
                <w:color w:val="auto"/>
              </w:rPr>
            </w:pPr>
            <w:r>
              <w:rPr>
                <w:rFonts w:ascii="Arial" w:cs="Arial" w:eastAsia="Arial" w:hAnsi="Arial"/>
                <w:sz w:val="18"/>
                <w:szCs w:val="18"/>
                <w:b w:val="1"/>
                <w:bCs w:val="1"/>
                <w:color w:val="auto"/>
              </w:rPr>
              <w:t>Change Due</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w w:val="93"/>
              </w:rPr>
              <w:t>Change Due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780" w:type="dxa"/>
            <w:vAlign w:val="bottom"/>
            <w:gridSpan w:val="2"/>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 Volume</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3060" w:type="dxa"/>
            <w:vAlign w:val="bottom"/>
            <w:gridSpan w:val="4"/>
            <w:shd w:val="clear" w:color="auto" w:fill="EEEEEE"/>
          </w:tcPr>
          <w:p>
            <w:pPr>
              <w:jc w:val="center"/>
              <w:ind w:right="1000"/>
              <w:spacing w:after="0" w:line="176" w:lineRule="exact"/>
              <w:rPr>
                <w:sz w:val="20"/>
                <w:szCs w:val="20"/>
                <w:color w:val="auto"/>
              </w:rPr>
            </w:pPr>
            <w:r>
              <w:rPr>
                <w:rFonts w:ascii="Arial" w:cs="Arial" w:eastAsia="Arial" w:hAnsi="Arial"/>
                <w:sz w:val="18"/>
                <w:szCs w:val="18"/>
                <w:b w:val="1"/>
                <w:bCs w:val="1"/>
                <w:color w:val="auto"/>
                <w:w w:val="88"/>
              </w:rPr>
              <w:t>Interest Earning Assets</w:t>
            </w: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80"/>
              <w:spacing w:after="0" w:line="176" w:lineRule="exact"/>
              <w:rPr>
                <w:sz w:val="20"/>
                <w:szCs w:val="20"/>
                <w:color w:val="auto"/>
              </w:rPr>
            </w:pPr>
            <w:r>
              <w:rPr>
                <w:rFonts w:ascii="Arial" w:cs="Arial" w:eastAsia="Arial" w:hAnsi="Arial"/>
                <w:sz w:val="18"/>
                <w:szCs w:val="18"/>
                <w:color w:val="FFFFFF"/>
              </w:rPr>
              <w:t>$</w:t>
            </w: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w w:val="89"/>
              </w:rPr>
              <w:t>Finance receivables gross</w:t>
            </w:r>
          </w:p>
        </w:tc>
        <w:tc>
          <w:tcPr>
            <w:tcW w:w="1780" w:type="dxa"/>
            <w:vAlign w:val="bottom"/>
            <w:tcBorders>
              <w:top w:val="single" w:sz="8" w:color="auto"/>
            </w:tcBorders>
          </w:tcPr>
          <w:p>
            <w:pPr>
              <w:spacing w:after="0"/>
              <w:rPr>
                <w:sz w:val="20"/>
                <w:szCs w:val="20"/>
                <w:color w:val="auto"/>
              </w:rPr>
            </w:pPr>
          </w:p>
        </w:tc>
        <w:tc>
          <w:tcPr>
            <w:tcW w:w="1140" w:type="dxa"/>
            <w:vAlign w:val="bottom"/>
            <w:tcBorders>
              <w:top w:val="single" w:sz="8" w:color="EEEEEE"/>
            </w:tcBorders>
            <w:gridSpan w:val="2"/>
          </w:tcPr>
          <w:p>
            <w:pPr>
              <w:spacing w:after="0"/>
              <w:rPr>
                <w:sz w:val="20"/>
                <w:szCs w:val="20"/>
                <w:color w:val="auto"/>
              </w:rPr>
            </w:pPr>
          </w:p>
        </w:tc>
        <w:tc>
          <w:tcPr>
            <w:tcW w:w="1300" w:type="dxa"/>
            <w:vAlign w:val="bottom"/>
            <w:tcBorders>
              <w:top w:val="single" w:sz="8" w:color="EEEEEE"/>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5,776</w:t>
            </w:r>
          </w:p>
        </w:tc>
        <w:tc>
          <w:tcPr>
            <w:tcW w:w="80" w:type="dxa"/>
            <w:vAlign w:val="bottom"/>
            <w:tcBorders>
              <w:top w:val="single" w:sz="8" w:color="EEEEEE"/>
            </w:tcBorders>
          </w:tcPr>
          <w:p>
            <w:pPr>
              <w:spacing w:after="0"/>
              <w:rPr>
                <w:sz w:val="20"/>
                <w:szCs w:val="20"/>
                <w:color w:val="auto"/>
              </w:rPr>
            </w:pPr>
          </w:p>
        </w:tc>
        <w:tc>
          <w:tcPr>
            <w:tcW w:w="440" w:type="dxa"/>
            <w:vAlign w:val="bottom"/>
            <w:tcBorders>
              <w:top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EEEEEE"/>
            </w:tcBorders>
            <w:gridSpan w:val="2"/>
          </w:tcPr>
          <w:p>
            <w:pPr>
              <w:jc w:val="right"/>
              <w:ind w:right="280"/>
              <w:spacing w:after="0"/>
              <w:rPr>
                <w:sz w:val="20"/>
                <w:szCs w:val="20"/>
                <w:color w:val="auto"/>
              </w:rPr>
            </w:pPr>
            <w:r>
              <w:rPr>
                <w:rFonts w:ascii="Arial" w:cs="Arial" w:eastAsia="Arial" w:hAnsi="Arial"/>
                <w:sz w:val="18"/>
                <w:szCs w:val="18"/>
                <w:color w:val="auto"/>
              </w:rPr>
              <w:t>6,353</w:t>
            </w:r>
          </w:p>
        </w:tc>
        <w:tc>
          <w:tcPr>
            <w:tcW w:w="320" w:type="dxa"/>
            <w:vAlign w:val="bottom"/>
            <w:tcBorders>
              <w:top w:val="single" w:sz="8" w:color="EEEEEE"/>
            </w:tcBorders>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EEEEEE"/>
            </w:tcBorders>
            <w:gridSpan w:val="2"/>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gridSpan w:val="5"/>
            <w:shd w:val="clear" w:color="auto" w:fill="EEEEEE"/>
          </w:tcPr>
          <w:p>
            <w:pPr>
              <w:jc w:val="center"/>
              <w:ind w:left="6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380" w:type="dxa"/>
            <w:vAlign w:val="bottom"/>
            <w:gridSpan w:val="2"/>
            <w:shd w:val="clear" w:color="auto" w:fill="EEEEEE"/>
          </w:tcPr>
          <w:p>
            <w:pPr>
              <w:jc w:val="right"/>
              <w:ind w:right="80"/>
              <w:spacing w:after="0" w:line="176" w:lineRule="exact"/>
              <w:rPr>
                <w:sz w:val="20"/>
                <w:szCs w:val="20"/>
                <w:color w:val="auto"/>
              </w:rPr>
            </w:pPr>
            <w:r>
              <w:rPr>
                <w:rFonts w:ascii="Arial" w:cs="Arial" w:eastAsia="Arial" w:hAnsi="Arial"/>
                <w:sz w:val="18"/>
                <w:szCs w:val="18"/>
                <w:color w:val="FFFFFF"/>
              </w:rPr>
              <w:t>$</w:t>
            </w:r>
          </w:p>
        </w:tc>
        <w:tc>
          <w:tcPr>
            <w:tcW w:w="2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44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13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4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3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(246)</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992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8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2,267</w:t>
            </w: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5,916</w:t>
            </w:r>
          </w:p>
        </w:tc>
        <w:tc>
          <w:tcPr>
            <w:tcW w:w="28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three months ended June 30, 2017 compared to the prior year period is the result of our decision to offer dealers slightly lower acquisition fees and also to require slightly lower contract interest rates on a portion of the contracts we purchase.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jc w:val="both"/>
        <w:ind w:firstLine="648"/>
        <w:spacing w:after="0" w:line="255" w:lineRule="auto"/>
        <w:rPr>
          <w:sz w:val="20"/>
          <w:szCs w:val="20"/>
          <w:color w:val="auto"/>
        </w:rPr>
      </w:pPr>
      <w:r>
        <w:rPr>
          <w:rFonts w:ascii="Arial" w:cs="Arial" w:eastAsia="Arial" w:hAnsi="Arial"/>
          <w:sz w:val="18"/>
          <w:szCs w:val="18"/>
          <w:color w:val="auto"/>
        </w:rPr>
        <w:t>Provision for credit losses was $48.6 million for the three months ended June 30, 2017, an increase of $4.1 million, or 9.3% compared to the prior year and represented 47.5%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decreased by $741,000, or 15.7%, to $4.0 million during the three months ended June 30, 2017, compared to $4.7 million in the prior year period, and represented 3.9% of total operating expenses. For the three months ended June 30, 2017, we purchased 14,244 contracts representing $233.9 million in receivables compared to 19,316 contracts representing $319.1 million in receivables in the prior period.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Occupancy expenses increased by $444,000 or 34.5%, to $1.7 million compared to $1.3 million in the previous year and represented 1.7% of total operating expenses. In July 2015, we entered into a lease for additional office space in Irvine, California. We then occupied that space, and incurred incremental occupancy expense, in phases. The first phase was in July 2015 and the second and final phase was in April 2016. In May 2017, we acquired additional office space in Las Vegas, Nevada.</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$29,000 or 15.1%, to $220,000 compared to $192,000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June 30, 2017, we recorded income tax expense of $3.4 million, representing a 42.5% effective income tax rate. In the prior year period, we recorded $5.1 million in income tax expense, representing a 41.0%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2017 with the six months ended June 30, 2016</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six months ended June 30, 2017, our revenues were $217.7 million, an increase of $12.1 million, or 5.9%,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$205.6 million. The primary reason for the increase in revenues is an increase in interest income. Interest income for the six months ended June 30, 2017 increased $13.7 million, or 6.9%, to $212.1 million from $198.4 million in the prior year. The primary reason for the increase in interest income is the increase in finance receivables held by consolidated subsidiaries. The table below shows the outstanding and average balances of our portfolio held by consolidated subsidiaries for the six months ended June 30, 2017 and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June 30, 2017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8"/>
              </w:rPr>
              <w:t>Finance Receivables Owned by</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4"/>
          </w:tcPr>
          <w:p>
            <w:pPr>
              <w:jc w:val="right"/>
              <w:ind w:right="1150"/>
              <w:spacing w:after="0" w:line="191" w:lineRule="exact"/>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Consolidated Subsidiaries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Average balance for the six-month period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2,326.0</w:t>
            </w:r>
          </w:p>
        </w:tc>
        <w:tc>
          <w:tcPr>
            <w:tcW w:w="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Ending balance for the period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2,343.3</w:t>
            </w:r>
          </w:p>
        </w:tc>
        <w:tc>
          <w:tcPr>
            <w:tcW w:w="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six months ended June 30, 2017, other income of $5.6 million decreased by $1.6 million, or 22.2% compared to the prior year. The six-month period ended June 30, 2017 includes a decrease of $1.6 million in revenue associated with direct mail and other related products and services that we offer to our dealers. We also incurred a decrease of $25,000 in payments from third-party providers of convenience fees paid by our customers for web based and other electronic payments, an increase of $14,000 on payments to us for our interest in certain sold charge offs and acquired third-party portfolios and an increase of $11,000 on sales tax refunds.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Expenses. Our operating expenses consist largely of provision for credit losses, interest expense, employee costs, marketing and general and 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operating expenses were $201.9 million for the six months ended June 30, 2017, compared to $181.0 million for the prior period, an increase of $20.9 million, or 11.5%. The increase is primarily due to the increase in our consolidated portfolio and associated servicing costs, and the related increases in interest expense and in our provision for credit losses.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Employee costs increased by $4.5 million or 14.7%, to $35.4 million during the six months ended June 30, 2017, representing 17.5% of total operating expenses, from $30.8 million for the prior year, or 17.0% of total operating expenses. The table below summarizes our employees by category as well as contract purchases and units in our managed portfolio as of, and for the six-month periods ended, June 30, 2017 and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463.5</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631.4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28,548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38,538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2,343.3</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2,253.7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173,598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164,403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$13.7 million, an increase of $1.8 million, or 15.5% compared to the previous year and represented 6.8%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six months ended June 30, 2017 increased by $7.8 million to $45.3 million, or 20.7% and represented 22.4% of total operating expenses, compared to $37.5 million in the previous year, when it was 20.7% of total operating expenses.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Interest on securitization trust debt increased by $9.0 million, or 28.4%, for the six months ended June 30, 2017 compared to the prior period. The average balance of securitization trust debt increased 8.8% to $2,168.0 million for the six months ended June 30, 2017 compared to $1,993.0 million for the six months ended June 30, 2016. In addition, the blended interest rates on new term securitizations have generally increased since June 2014. As a result, the cost of securitization debt during the six-month period ended June 30, 2017 was 3.7%, compared to 3.2%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220" w:type="dxa"/>
            <w:vAlign w:val="bottom"/>
            <w:tcBorders>
              <w:bottom w:val="single" w:sz="8" w:color="EEEEEE"/>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Blended Cost of Funds</w:t>
            </w: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7"/>
              </w:rPr>
              <w:t>June 2014</w:t>
            </w:r>
          </w:p>
        </w:tc>
        <w:tc>
          <w:tcPr>
            <w:tcW w:w="220" w:type="dxa"/>
            <w:vAlign w:val="bottom"/>
            <w:shd w:val="clear" w:color="auto" w:fill="EEEEEE"/>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2.37%</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333333"/>
                <w:w w:val="88"/>
              </w:rPr>
              <w:t>September 2014</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2.71%</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8"/>
              </w:rPr>
              <w:t>December 2014</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3.07%</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333333"/>
                <w:w w:val="92"/>
              </w:rPr>
              <w:t>March 2015</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3.04%</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7"/>
              </w:rPr>
              <w:t>June 2015</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3.18%</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333333"/>
                <w:w w:val="88"/>
              </w:rPr>
              <w:t>September 2015</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3.78%</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7"/>
              </w:rPr>
              <w:t>January 2016</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4.34%</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333333"/>
                <w:w w:val="96"/>
              </w:rPr>
              <w:t>April 2016</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4.65%</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July 2016</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4.48%</w:t>
            </w: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October 2016</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3.66%</w:t>
            </w:r>
          </w:p>
        </w:tc>
        <w:tc>
          <w:tcPr>
            <w:tcW w:w="2840" w:type="dxa"/>
            <w:vAlign w:val="bottom"/>
          </w:tcPr>
          <w:p>
            <w:pPr>
              <w:spacing w:after="0"/>
              <w:rPr>
                <w:sz w:val="20"/>
                <w:szCs w:val="20"/>
                <w:color w:val="auto"/>
              </w:rPr>
            </w:pPr>
          </w:p>
        </w:tc>
      </w:tr>
      <w:tr>
        <w:trPr>
          <w:trHeight w:val="249"/>
        </w:trPr>
        <w:tc>
          <w:tcPr>
            <w:tcW w:w="2880" w:type="dxa"/>
            <w:vAlign w:val="bottom"/>
          </w:tcPr>
          <w:p>
            <w:pPr>
              <w:spacing w:after="0"/>
              <w:rPr>
                <w:sz w:val="21"/>
                <w:szCs w:val="21"/>
                <w:color w:val="auto"/>
              </w:rPr>
            </w:pPr>
          </w:p>
        </w:tc>
        <w:tc>
          <w:tcPr>
            <w:tcW w:w="2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January 2017</w:t>
            </w:r>
          </w:p>
        </w:tc>
        <w:tc>
          <w:tcPr>
            <w:tcW w:w="296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3"/>
              </w:rPr>
              <w:t>3.90%</w:t>
            </w:r>
          </w:p>
        </w:tc>
        <w:tc>
          <w:tcPr>
            <w:tcW w:w="2840" w:type="dxa"/>
            <w:vAlign w:val="bottom"/>
          </w:tcPr>
          <w:p>
            <w:pPr>
              <w:spacing w:after="0"/>
              <w:rPr>
                <w:sz w:val="21"/>
                <w:szCs w:val="21"/>
                <w:color w:val="auto"/>
              </w:rPr>
            </w:pPr>
          </w:p>
        </w:tc>
      </w:tr>
      <w:tr>
        <w:trPr>
          <w:trHeight w:val="230"/>
        </w:trPr>
        <w:tc>
          <w:tcPr>
            <w:tcW w:w="28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29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3.45%</w:t>
            </w:r>
          </w:p>
        </w:tc>
        <w:tc>
          <w:tcPr>
            <w:tcW w:w="2840" w:type="dxa"/>
            <w:vAlign w:val="bottom"/>
          </w:tcPr>
          <w:p>
            <w:pPr>
              <w:spacing w:after="0"/>
              <w:rPr>
                <w:sz w:val="20"/>
                <w:szCs w:val="20"/>
                <w:color w:val="auto"/>
              </w:rPr>
            </w:pPr>
          </w:p>
        </w:tc>
      </w:tr>
      <w:tr>
        <w:trPr>
          <w:trHeight w:val="776"/>
        </w:trPr>
        <w:tc>
          <w:tcPr>
            <w:tcW w:w="28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w:t>
            </w:r>
          </w:p>
        </w:tc>
        <w:tc>
          <w:tcPr>
            <w:tcW w:w="27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022"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$106,000, or 14.6%. The decrease is due to a decrease in the average yield on our subordinated renewable notes to 7.9% for the six-month period ended June 30, 2017 compared to the prior year when the average yield on our subordinated renewable notes was 9.5%. The decrease in the average yield on our subordinated renewable notes offset an increase in the average balance of $382,000, or 2.5%, for the six months ended June 30, 2017 compared to the prior period.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expense on warehouse debt decreased by $579,000, or 12.4%, for the six months ended June 30, 2017 compared to the prior period. When possible, we hold contracts with our own cash rather than pledging them to one of our warehouse facilities to minimize interest expense.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90"/>
              </w:rPr>
              <w:t>Six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00" w:type="dxa"/>
            <w:vAlign w:val="bottom"/>
            <w:tcBorders>
              <w:top w:val="single" w:sz="8" w:color="EEEEEE"/>
            </w:tcBorders>
            <w:gridSpan w:val="3"/>
            <w:shd w:val="clear" w:color="auto" w:fill="EEEEEE"/>
          </w:tcPr>
          <w:p>
            <w:pPr>
              <w:jc w:val="center"/>
              <w:ind w:right="40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8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6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8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2,289,285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212,060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2,119,581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198,372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5"/>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FFFFFF"/>
              </w:rPr>
              <w: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62,462</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4,087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91,415</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4,666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8,188</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2,167,966</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40,617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1,993,009</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31,639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15,746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620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15,364</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vMerge w:val="restart"/>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48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180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tcBorders>
            <w:shd w:val="clear" w:color="auto" w:fill="EEEEEE"/>
          </w:tcPr>
          <w:p>
            <w:pPr>
              <w:spacing w:after="0"/>
              <w:rPr>
                <w:sz w:val="22"/>
                <w:szCs w:val="22"/>
                <w:color w:val="auto"/>
              </w:rPr>
            </w:pPr>
          </w:p>
        </w:tc>
        <w:tc>
          <w:tcPr>
            <w:tcW w:w="260" w:type="dxa"/>
            <w:vAlign w:val="bottom"/>
            <w:tcBorders>
              <w:bottom w:val="single" w:sz="8" w:color="EEEEEE"/>
            </w:tcBorders>
            <w:shd w:val="clear" w:color="auto" w:fill="EEEEEE"/>
          </w:tcPr>
          <w:p>
            <w:pPr>
              <w:spacing w:after="0"/>
              <w:rPr>
                <w:sz w:val="22"/>
                <w:szCs w:val="22"/>
                <w:color w:val="auto"/>
              </w:rPr>
            </w:pPr>
          </w:p>
        </w:tc>
        <w:tc>
          <w:tcPr>
            <w:tcW w:w="180" w:type="dxa"/>
            <w:vAlign w:val="bottom"/>
            <w:tcBorders>
              <w:bottom w:val="single" w:sz="8" w:color="EEEEEE"/>
            </w:tcBorders>
            <w:vMerge w:val="continue"/>
            <w:shd w:val="clear" w:color="auto" w:fill="EEEEEE"/>
          </w:tcPr>
          <w:p>
            <w:pPr>
              <w:spacing w:after="0"/>
              <w:rPr>
                <w:sz w:val="22"/>
                <w:szCs w:val="22"/>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2,246,174</w:t>
            </w:r>
          </w:p>
        </w:tc>
        <w:tc>
          <w:tcPr>
            <w:tcW w:w="340" w:type="dxa"/>
            <w:vAlign w:val="bottom"/>
            <w:tcBorders>
              <w:bottom w:val="single" w:sz="8" w:color="EEEEEE"/>
            </w:tcBorders>
            <w:shd w:val="clear" w:color="auto" w:fill="EEEEEE"/>
          </w:tcPr>
          <w:p>
            <w:pPr>
              <w:spacing w:after="0"/>
              <w:rPr>
                <w:sz w:val="22"/>
                <w:szCs w:val="22"/>
                <w:color w:val="auto"/>
              </w:rPr>
            </w:pPr>
          </w:p>
        </w:tc>
        <w:tc>
          <w:tcPr>
            <w:tcW w:w="180" w:type="dxa"/>
            <w:vAlign w:val="bottom"/>
            <w:tcBorders>
              <w:bottom w:val="single" w:sz="8" w:color="EEEEEE"/>
            </w:tcBorders>
            <w:shd w:val="clear" w:color="auto" w:fill="EEEEEE"/>
          </w:tcPr>
          <w:p>
            <w:pPr>
              <w:spacing w:after="0"/>
              <w:rPr>
                <w:sz w:val="22"/>
                <w:szCs w:val="22"/>
                <w:color w:val="auto"/>
              </w:rPr>
            </w:pPr>
          </w:p>
        </w:tc>
        <w:tc>
          <w:tcPr>
            <w:tcW w:w="1340" w:type="dxa"/>
            <w:vAlign w:val="bottom"/>
            <w:tcBorders>
              <w:bottom w:val="single" w:sz="8" w:color="EEEEEE"/>
            </w:tcBorders>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45,324</w:t>
            </w:r>
          </w:p>
        </w:tc>
        <w:tc>
          <w:tcPr>
            <w:tcW w:w="1480" w:type="dxa"/>
            <w:vAlign w:val="bottom"/>
            <w:tcBorders>
              <w:bottom w:val="single" w:sz="8" w:color="EEEEEE"/>
            </w:tcBorders>
            <w:gridSpan w:val="2"/>
            <w:vMerge w:val="continue"/>
            <w:shd w:val="clear" w:color="auto" w:fill="EEEEEE"/>
          </w:tcPr>
          <w:p>
            <w:pPr>
              <w:spacing w:after="0"/>
              <w:rPr>
                <w:sz w:val="22"/>
                <w:szCs w:val="22"/>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2,107,976</w:t>
            </w:r>
          </w:p>
        </w:tc>
        <w:tc>
          <w:tcPr>
            <w:tcW w:w="320" w:type="dxa"/>
            <w:vAlign w:val="bottom"/>
            <w:tcBorders>
              <w:bottom w:val="single" w:sz="8" w:color="EEEEEE"/>
            </w:tcBorders>
            <w:vMerge w:val="continue"/>
            <w:shd w:val="clear" w:color="auto" w:fill="EEEEEE"/>
          </w:tcPr>
          <w:p>
            <w:pPr>
              <w:spacing w:after="0"/>
              <w:rPr>
                <w:sz w:val="22"/>
                <w:szCs w:val="22"/>
                <w:color w:val="auto"/>
              </w:rPr>
            </w:pPr>
          </w:p>
        </w:tc>
        <w:tc>
          <w:tcPr>
            <w:tcW w:w="180" w:type="dxa"/>
            <w:vAlign w:val="bottom"/>
            <w:tcBorders>
              <w:bottom w:val="single" w:sz="8" w:color="EEEEEE"/>
            </w:tcBorders>
            <w:shd w:val="clear" w:color="auto" w:fill="EEEEEE"/>
          </w:tcPr>
          <w:p>
            <w:pPr>
              <w:spacing w:after="0"/>
              <w:rPr>
                <w:sz w:val="22"/>
                <w:szCs w:val="22"/>
                <w:color w:val="auto"/>
              </w:rPr>
            </w:pPr>
          </w:p>
        </w:tc>
        <w:tc>
          <w:tcPr>
            <w:tcW w:w="12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37,548</w:t>
            </w:r>
          </w:p>
        </w:tc>
        <w:tc>
          <w:tcPr>
            <w:tcW w:w="1240" w:type="dxa"/>
            <w:vAlign w:val="bottom"/>
            <w:tcBorders>
              <w:bottom w:val="single" w:sz="8" w:color="EEEEEE"/>
            </w:tcBorders>
            <w:gridSpan w:val="2"/>
            <w:vMerge w:val="continue"/>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20" w:type="dxa"/>
            <w:vAlign w:val="bottom"/>
            <w:tcBorders>
              <w:top w:val="single" w:sz="8" w:color="auto"/>
              <w:bottom w:val="single" w:sz="8" w:color="EEEEEE"/>
            </w:tcBorders>
          </w:tcPr>
          <w:p>
            <w:pPr>
              <w:spacing w:after="0"/>
              <w:rPr>
                <w:sz w:val="17"/>
                <w:szCs w:val="17"/>
                <w:color w:val="auto"/>
              </w:rPr>
            </w:pPr>
          </w:p>
        </w:tc>
        <w:tc>
          <w:tcPr>
            <w:tcW w:w="1060" w:type="dxa"/>
            <w:vAlign w:val="bottom"/>
            <w:tcBorders>
              <w:top w:val="single" w:sz="8" w:color="auto"/>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0" w:type="dxa"/>
            <w:vAlign w:val="bottom"/>
            <w:tcBorders>
              <w:top w:val="single" w:sz="8" w:color="auto"/>
              <w:bottom w:val="single" w:sz="8" w:color="EEEEEE"/>
            </w:tcBorders>
          </w:tcPr>
          <w:p>
            <w:pPr>
              <w:spacing w:after="0"/>
              <w:rPr>
                <w:sz w:val="17"/>
                <w:szCs w:val="17"/>
                <w:color w:val="auto"/>
              </w:rPr>
            </w:pPr>
          </w:p>
        </w:tc>
        <w:tc>
          <w:tcPr>
            <w:tcW w:w="1020" w:type="dxa"/>
            <w:vAlign w:val="bottom"/>
            <w:tcBorders>
              <w:top w:val="single" w:sz="8" w:color="auto"/>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gridSpan w:val="2"/>
          </w:tcPr>
          <w:p>
            <w:pPr>
              <w:jc w:val="right"/>
              <w:ind w:right="100"/>
              <w:spacing w:after="0" w:line="196" w:lineRule="exact"/>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400" w:type="dxa"/>
            <w:vAlign w:val="bottom"/>
            <w:tcBorders>
              <w:bottom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FFFFFF"/>
              </w:rPr>
              <w:t>$</w:t>
            </w: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166,736</w:t>
            </w:r>
          </w:p>
        </w:tc>
        <w:tc>
          <w:tcPr>
            <w:tcW w:w="36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160,824</w:t>
            </w:r>
          </w:p>
        </w:tc>
        <w:tc>
          <w:tcPr>
            <w:tcW w:w="3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(4)</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FFFFFF"/>
              </w:rPr>
              <w:t>$</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line="20" w:lineRule="exact"/>
              <w:rPr>
                <w:sz w:val="1"/>
                <w:szCs w:val="1"/>
                <w:color w:val="auto"/>
              </w:rPr>
            </w:pPr>
          </w:p>
        </w:tc>
      </w:tr>
      <w:tr>
        <w:trPr>
          <w:trHeight w:val="197"/>
        </w:trPr>
        <w:tc>
          <w:tcPr>
            <w:tcW w:w="2560" w:type="dxa"/>
            <w:vAlign w:val="bottom"/>
            <w:gridSpan w:val="6"/>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40" w:type="dxa"/>
            <w:vAlign w:val="bottom"/>
            <w:gridSpan w:val="5"/>
          </w:tcPr>
          <w:p>
            <w:pPr>
              <w:spacing w:after="0" w:line="201" w:lineRule="exact"/>
              <w:rPr>
                <w:sz w:val="20"/>
                <w:szCs w:val="20"/>
                <w:color w:val="auto"/>
              </w:rPr>
            </w:pPr>
            <w:r>
              <w:rPr>
                <w:rFonts w:ascii="Arial" w:cs="Arial" w:eastAsia="Arial" w:hAnsi="Arial"/>
                <w:sz w:val="18"/>
                <w:szCs w:val="18"/>
                <w:color w:val="auto"/>
                <w:w w:val="96"/>
              </w:rPr>
              <w:t>Ratio of average interest earning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ind w:left="160"/>
              <w:spacing w:after="0"/>
              <w:rPr>
                <w:sz w:val="20"/>
                <w:szCs w:val="20"/>
                <w:color w:val="auto"/>
              </w:rPr>
            </w:pPr>
            <w:r>
              <w:rPr>
                <w:rFonts w:ascii="Arial" w:cs="Arial" w:eastAsia="Arial" w:hAnsi="Arial"/>
                <w:sz w:val="18"/>
                <w:szCs w:val="18"/>
                <w:color w:val="auto"/>
              </w:rPr>
              <w:t>assets to average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5"/>
          </w:tcPr>
          <w:p>
            <w:pPr>
              <w:ind w:left="160"/>
              <w:spacing w:after="0"/>
              <w:rPr>
                <w:sz w:val="20"/>
                <w:szCs w:val="20"/>
                <w:color w:val="auto"/>
              </w:rPr>
            </w:pPr>
            <w:r>
              <w:rPr>
                <w:rFonts w:ascii="Arial" w:cs="Arial" w:eastAsia="Arial" w:hAnsi="Arial"/>
                <w:sz w:val="18"/>
                <w:szCs w:val="18"/>
                <w:color w:val="auto"/>
              </w:rPr>
              <w:t>bearing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FFFFFF"/>
              </w:rPr>
              <w:t>$</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w:t>
      </w:r>
    </w:p>
    <w:p>
      <w:pPr>
        <w:ind w:left="240" w:hanging="232"/>
        <w:spacing w:after="0" w:line="225" w:lineRule="auto"/>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240" w:hanging="232"/>
        <w:spacing w:after="0" w:line="221" w:lineRule="auto"/>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240" w:hanging="232"/>
        <w:spacing w:after="0" w:line="221" w:lineRule="auto"/>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Interest expense includes deferred financing costs and non-utilization fees.</w:t>
      </w:r>
    </w:p>
    <w:p>
      <w:pPr>
        <w:ind w:left="240" w:hanging="232"/>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Annualized net interest income divided by average interest earning assets.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gridSpan w:val="8"/>
          </w:tcPr>
          <w:p>
            <w:pPr>
              <w:jc w:val="center"/>
              <w:ind w:left="990"/>
              <w:spacing w:after="0"/>
              <w:rPr>
                <w:sz w:val="20"/>
                <w:szCs w:val="20"/>
                <w:color w:val="auto"/>
              </w:rPr>
            </w:pPr>
            <w:r>
              <w:rPr>
                <w:rFonts w:ascii="Arial" w:cs="Arial" w:eastAsia="Arial" w:hAnsi="Arial"/>
                <w:sz w:val="18"/>
                <w:szCs w:val="18"/>
                <w:b w:val="1"/>
                <w:bCs w:val="1"/>
                <w:color w:val="auto"/>
                <w:w w:val="90"/>
              </w:rPr>
              <w:t>Six Months Ended June 30, 2017</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80" w:type="dxa"/>
            <w:vAlign w:val="bottom"/>
            <w:gridSpan w:val="2"/>
            <w:vMerge w:val="restart"/>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Compared to June 30, 2016</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680"/>
              <w:spacing w:after="0" w:line="195" w:lineRule="exact"/>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600"/>
              <w:spacing w:after="0" w:line="195" w:lineRule="exact"/>
              <w:rPr>
                <w:sz w:val="20"/>
                <w:szCs w:val="20"/>
                <w:color w:val="auto"/>
              </w:rPr>
            </w:pPr>
            <w:r>
              <w:rPr>
                <w:rFonts w:ascii="Arial" w:cs="Arial" w:eastAsia="Arial" w:hAnsi="Arial"/>
                <w:sz w:val="18"/>
                <w:szCs w:val="18"/>
                <w:b w:val="1"/>
                <w:bCs w:val="1"/>
                <w:color w:val="auto"/>
              </w:rPr>
              <w:t>Change Due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w w:val="98"/>
              </w:rPr>
              <w:t>Change Due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780" w:type="dxa"/>
            <w:vAlign w:val="bottom"/>
            <w:gridSpan w:val="2"/>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 Volume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3060" w:type="dxa"/>
            <w:vAlign w:val="bottom"/>
            <w:gridSpan w:val="4"/>
            <w:shd w:val="clear" w:color="auto" w:fill="EEEEEE"/>
          </w:tcPr>
          <w:p>
            <w:pPr>
              <w:jc w:val="center"/>
              <w:ind w:right="1000"/>
              <w:spacing w:after="0" w:line="176" w:lineRule="exact"/>
              <w:rPr>
                <w:sz w:val="20"/>
                <w:szCs w:val="20"/>
                <w:color w:val="auto"/>
              </w:rPr>
            </w:pPr>
            <w:r>
              <w:rPr>
                <w:rFonts w:ascii="Arial" w:cs="Arial" w:eastAsia="Arial" w:hAnsi="Arial"/>
                <w:sz w:val="18"/>
                <w:szCs w:val="18"/>
                <w:b w:val="1"/>
                <w:bCs w:val="1"/>
                <w:color w:val="auto"/>
                <w:w w:val="88"/>
              </w:rPr>
              <w:t>Interest Earning Assets</w:t>
            </w: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80"/>
              <w:spacing w:after="0" w:line="176" w:lineRule="exact"/>
              <w:rPr>
                <w:sz w:val="20"/>
                <w:szCs w:val="20"/>
                <w:color w:val="auto"/>
              </w:rPr>
            </w:pPr>
            <w:r>
              <w:rPr>
                <w:rFonts w:ascii="Arial" w:cs="Arial" w:eastAsia="Arial" w:hAnsi="Arial"/>
                <w:sz w:val="18"/>
                <w:szCs w:val="18"/>
                <w:color w:val="FFFFFF"/>
              </w:rPr>
              <w:t>$</w:t>
            </w: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w w:val="89"/>
              </w:rPr>
              <w:t>Finance receivables gross</w:t>
            </w:r>
          </w:p>
        </w:tc>
        <w:tc>
          <w:tcPr>
            <w:tcW w:w="1780" w:type="dxa"/>
            <w:vAlign w:val="bottom"/>
            <w:tcBorders>
              <w:top w:val="single" w:sz="8" w:color="auto"/>
            </w:tcBorders>
          </w:tcPr>
          <w:p>
            <w:pPr>
              <w:spacing w:after="0"/>
              <w:rPr>
                <w:sz w:val="20"/>
                <w:szCs w:val="20"/>
                <w:color w:val="auto"/>
              </w:rPr>
            </w:pPr>
          </w:p>
        </w:tc>
        <w:tc>
          <w:tcPr>
            <w:tcW w:w="1140" w:type="dxa"/>
            <w:vAlign w:val="bottom"/>
            <w:tcBorders>
              <w:top w:val="single" w:sz="8" w:color="EEEEEE"/>
            </w:tcBorders>
            <w:gridSpan w:val="2"/>
          </w:tcPr>
          <w:p>
            <w:pPr>
              <w:spacing w:after="0"/>
              <w:rPr>
                <w:sz w:val="20"/>
                <w:szCs w:val="20"/>
                <w:color w:val="auto"/>
              </w:rPr>
            </w:pPr>
          </w:p>
        </w:tc>
        <w:tc>
          <w:tcPr>
            <w:tcW w:w="1300" w:type="dxa"/>
            <w:vAlign w:val="bottom"/>
            <w:tcBorders>
              <w:top w:val="single" w:sz="8" w:color="EEEEEE"/>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EEEEEE"/>
            </w:tcBorders>
            <w:gridSpan w:val="2"/>
          </w:tcPr>
          <w:p>
            <w:pPr>
              <w:jc w:val="right"/>
              <w:ind w:right="80"/>
              <w:spacing w:after="0"/>
              <w:rPr>
                <w:sz w:val="20"/>
                <w:szCs w:val="20"/>
                <w:color w:val="auto"/>
              </w:rPr>
            </w:pPr>
            <w:r>
              <w:rPr>
                <w:rFonts w:ascii="Arial" w:cs="Arial" w:eastAsia="Arial" w:hAnsi="Arial"/>
                <w:sz w:val="18"/>
                <w:szCs w:val="18"/>
                <w:color w:val="auto"/>
              </w:rPr>
              <w:t>13,688</w:t>
            </w:r>
          </w:p>
        </w:tc>
        <w:tc>
          <w:tcPr>
            <w:tcW w:w="440" w:type="dxa"/>
            <w:vAlign w:val="bottom"/>
            <w:tcBorders>
              <w:top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EEEEEE"/>
            </w:tcBorders>
            <w:gridSpan w:val="2"/>
          </w:tcPr>
          <w:p>
            <w:pPr>
              <w:jc w:val="right"/>
              <w:ind w:right="280"/>
              <w:spacing w:after="0"/>
              <w:rPr>
                <w:sz w:val="20"/>
                <w:szCs w:val="20"/>
                <w:color w:val="auto"/>
              </w:rPr>
            </w:pPr>
            <w:r>
              <w:rPr>
                <w:rFonts w:ascii="Arial" w:cs="Arial" w:eastAsia="Arial" w:hAnsi="Arial"/>
                <w:sz w:val="18"/>
                <w:szCs w:val="18"/>
                <w:color w:val="auto"/>
              </w:rPr>
              <w:t>15,977</w:t>
            </w:r>
          </w:p>
        </w:tc>
        <w:tc>
          <w:tcPr>
            <w:tcW w:w="260" w:type="dxa"/>
            <w:vAlign w:val="bottom"/>
            <w:tcBorders>
              <w:top w:val="single" w:sz="8" w:color="EEEEEE"/>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EEEEEE"/>
            </w:tcBorders>
            <w:gridSpan w:val="2"/>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gridSpan w:val="5"/>
            <w:shd w:val="clear" w:color="auto" w:fill="EEEEEE"/>
          </w:tcPr>
          <w:p>
            <w:pPr>
              <w:jc w:val="center"/>
              <w:ind w:left="6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380" w:type="dxa"/>
            <w:vAlign w:val="bottom"/>
            <w:gridSpan w:val="2"/>
            <w:shd w:val="clear" w:color="auto" w:fill="EEEEEE"/>
          </w:tcPr>
          <w:p>
            <w:pPr>
              <w:jc w:val="right"/>
              <w:ind w:right="80"/>
              <w:spacing w:after="0" w:line="176" w:lineRule="exact"/>
              <w:rPr>
                <w:sz w:val="20"/>
                <w:szCs w:val="20"/>
                <w:color w:val="auto"/>
              </w:rPr>
            </w:pPr>
            <w:r>
              <w:rPr>
                <w:rFonts w:ascii="Arial" w:cs="Arial" w:eastAsia="Arial" w:hAnsi="Arial"/>
                <w:sz w:val="18"/>
                <w:szCs w:val="18"/>
                <w:color w:val="FFFFFF"/>
              </w:rPr>
              <w:t>$</w:t>
            </w:r>
          </w:p>
        </w:tc>
        <w:tc>
          <w:tcPr>
            <w:tcW w:w="2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44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3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4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(1,512)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(516)</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(516)</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8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8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5,912</w:t>
            </w: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15,210</w:t>
            </w:r>
          </w:p>
        </w:tc>
        <w:tc>
          <w:tcPr>
            <w:tcW w:w="28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(9,298</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six months ended June 30, 2017 compared to the prior year period is the result of our decision to offer dealers slightly lower acquisition fees and also to require slightly lower contract interest rates on a portion of the contracts we purchase.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Provision for credit losses was $95.7 million for the six months ended June 30, 2017, an increase of $7.1 million, or 8.0% compared to the prior year and represented 47.4%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decreased by $1.5 million, or 15.4%, to $8.0 million during the six months ended June 30, 2017, compared to $9.4 million in the prior year period, and represented 3.9% of total operating expenses. For the six months ended June 30, 2017, we purchased 28,548 contracts representing $463.5 million in receivables compared to 38,538 contracts representing $631.4 million in receivables in the prior period.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Occupancy expenses increased by $1.0 million or 43.1%, to $3.4 million compared to $2.4 million in the previous year and represented 1.7% of total operating expenses. In July 2015, we entered into a lease for additional office space in Irvine, California. We then occupied that space, and incurred incremental occupancy expense, in phases. The first phase was in July 2015 and the second and final phase was in April 2016. In May 2017, we acquired additional office space in Las Vegas, Nevada.</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$81,000 or 22.2%, to $448,000 compared to $367,000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six months ended June 30, 2017, we recorded income tax expense of $6.7 million, representing a 42.5% effective income tax rate. In the prior year period, we recorded $10.1 million in income tax expense, representing a 41.0%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entered into a consent decree with the FTC that required us to make certain procedural changes in our servicing practices, which we believe have contributed to somewhat higher delinquencies and extensions compared to prior periods.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42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w w:val="87"/>
              </w:rPr>
              <w:t>Delinquency, Repossession and Extension Experience (1)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Total Owned Portfolio</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2017</w:t>
            </w:r>
          </w:p>
        </w:tc>
        <w:tc>
          <w:tcPr>
            <w:tcW w:w="2480" w:type="dxa"/>
            <w:vAlign w:val="bottom"/>
            <w:gridSpan w:val="5"/>
          </w:tcPr>
          <w:p>
            <w:pPr>
              <w:ind w:left="560"/>
              <w:spacing w:after="0"/>
              <w:rPr>
                <w:sz w:val="20"/>
                <w:szCs w:val="20"/>
                <w:color w:val="auto"/>
              </w:rPr>
            </w:pPr>
            <w:r>
              <w:rPr>
                <w:rFonts w:ascii="Arial" w:cs="Arial" w:eastAsia="Arial" w:hAnsi="Arial"/>
                <w:sz w:val="18"/>
                <w:szCs w:val="18"/>
                <w:b w:val="1"/>
                <w:bCs w:val="1"/>
                <w:color w:val="auto"/>
              </w:rPr>
              <w:t>June 30, 2016</w:t>
            </w:r>
          </w:p>
        </w:tc>
        <w:tc>
          <w:tcPr>
            <w:tcW w:w="2240" w:type="dxa"/>
            <w:vAlign w:val="bottom"/>
            <w:gridSpan w:val="6"/>
          </w:tcPr>
          <w:p>
            <w:pPr>
              <w:ind w:left="3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95"/>
              </w:rPr>
              <w:t>Number of</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20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Contracts</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Contracts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6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173,597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2,343,297</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164,392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2,141,601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169,720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2,308,058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6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8,877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121,354</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6,710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89,126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8,673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9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3,722</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49,094</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2,961</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32,817</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3,998</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52,403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120"/>
              <w:spacing w:after="0"/>
              <w:rPr>
                <w:sz w:val="20"/>
                <w:szCs w:val="20"/>
                <w:color w:val="auto"/>
              </w:rPr>
            </w:pPr>
            <w:r>
              <w:rPr>
                <w:rFonts w:ascii="Arial" w:cs="Arial" w:eastAsia="Arial" w:hAnsi="Arial"/>
                <w:sz w:val="18"/>
                <w:szCs w:val="18"/>
                <w:color w:val="auto"/>
              </w:rPr>
              <w:t>91+ days</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23,947</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31,231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600" w:type="dxa"/>
            <w:vAlign w:val="bottom"/>
            <w:tcBorders>
              <w:top w:val="single" w:sz="8" w:color="EEEEEE"/>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14,506</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194,395</w:t>
            </w:r>
          </w:p>
        </w:tc>
        <w:tc>
          <w:tcPr>
            <w:tcW w:w="36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12,248</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153,174</w:t>
            </w:r>
          </w:p>
        </w:tc>
        <w:tc>
          <w:tcPr>
            <w:tcW w:w="3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16,078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212,860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31,383</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38,836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40,125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0"/>
              </w:rPr>
              <w:t>Total delinquencies and amount in repossession</w:t>
            </w:r>
          </w:p>
        </w:tc>
        <w:tc>
          <w:tcPr>
            <w:tcW w:w="600" w:type="dxa"/>
            <w:vAlign w:val="bottom"/>
            <w:tcBorders>
              <w:top w:val="single" w:sz="8" w:color="EEEEEE"/>
            </w:tcBorders>
            <w:shd w:val="clear" w:color="auto" w:fill="EEEEEE"/>
          </w:tcPr>
          <w:p>
            <w:pPr>
              <w:spacing w:after="0"/>
              <w:rPr>
                <w:sz w:val="15"/>
                <w:szCs w:val="15"/>
                <w:color w:val="auto"/>
              </w:rPr>
            </w:pPr>
          </w:p>
        </w:tc>
        <w:tc>
          <w:tcPr>
            <w:tcW w:w="94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auto"/>
            </w:tcBorders>
            <w:shd w:val="clear" w:color="auto" w:fill="EEEEEE"/>
          </w:tcPr>
          <w:p>
            <w:pPr>
              <w:spacing w:after="0"/>
              <w:rPr>
                <w:sz w:val="15"/>
                <w:szCs w:val="15"/>
                <w:color w:val="auto"/>
              </w:rPr>
            </w:pPr>
          </w:p>
        </w:tc>
        <w:tc>
          <w:tcPr>
            <w:tcW w:w="80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92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auto"/>
            </w:tcBorders>
            <w:shd w:val="clear" w:color="auto" w:fill="EEEEEE"/>
          </w:tcPr>
          <w:p>
            <w:pPr>
              <w:spacing w:after="0"/>
              <w:rPr>
                <w:sz w:val="15"/>
                <w:szCs w:val="15"/>
                <w:color w:val="auto"/>
              </w:rPr>
            </w:pPr>
          </w:p>
        </w:tc>
        <w:tc>
          <w:tcPr>
            <w:tcW w:w="80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90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auto"/>
            </w:tcBorders>
            <w:shd w:val="clear" w:color="auto" w:fill="EEEEEE"/>
          </w:tcPr>
          <w:p>
            <w:pPr>
              <w:spacing w:after="0"/>
              <w:rPr>
                <w:sz w:val="15"/>
                <w:szCs w:val="15"/>
                <w:color w:val="auto"/>
              </w:rPr>
            </w:pPr>
          </w:p>
        </w:tc>
        <w:tc>
          <w:tcPr>
            <w:tcW w:w="80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w:t>
            </w:r>
          </w:p>
        </w:tc>
        <w:tc>
          <w:tcPr>
            <w:tcW w:w="600" w:type="dxa"/>
            <w:vAlign w:val="bottom"/>
            <w:shd w:val="clear" w:color="auto" w:fill="EEEEEE"/>
          </w:tcPr>
          <w:p>
            <w:pPr>
              <w:spacing w:after="0"/>
              <w:rPr>
                <w:sz w:val="22"/>
                <w:szCs w:val="22"/>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16,971</w:t>
            </w:r>
          </w:p>
        </w:tc>
        <w:tc>
          <w:tcPr>
            <w:tcW w:w="360" w:type="dxa"/>
            <w:vAlign w:val="bottom"/>
            <w:shd w:val="clear" w:color="auto" w:fill="EEEEEE"/>
          </w:tcPr>
          <w:p>
            <w:pPr>
              <w:spacing w:after="0"/>
              <w:rPr>
                <w:sz w:val="22"/>
                <w:szCs w:val="22"/>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225,778</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14,938</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192,010</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19,240</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252,985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w w:val="88"/>
              </w:rPr>
              <w:t>Delinquencies as a percentage of gross servicing</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portfolio</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0"/>
              </w:rPr>
              <w:t>Total delinquencies and amount in repossession</w:t>
            </w:r>
          </w:p>
        </w:tc>
        <w:tc>
          <w:tcPr>
            <w:tcW w:w="6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6"/>
              </w:rPr>
              <w:t>as a percentage of gross servicing portfolio</w:t>
            </w:r>
          </w:p>
        </w:tc>
        <w:tc>
          <w:tcPr>
            <w:tcW w:w="19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9.6%</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6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Contracts with one extension, accruing (4)</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32,871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449,931</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28,330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385,978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34,354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479,237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w w:val="90"/>
              </w:rPr>
              <w:t>Contracts with two or more extensions, accruing</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(4)</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42,732</w:t>
            </w:r>
          </w:p>
        </w:tc>
        <w:tc>
          <w:tcPr>
            <w:tcW w:w="12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583,364</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22,001</w:t>
            </w:r>
          </w:p>
        </w:tc>
        <w:tc>
          <w:tcPr>
            <w:tcW w:w="12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291,921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30,450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407,631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EEEEEE"/>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75,603</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1,033,295</w:t>
            </w:r>
          </w:p>
        </w:tc>
        <w:tc>
          <w:tcPr>
            <w:tcW w:w="36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50,331</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677,899</w:t>
            </w:r>
          </w:p>
        </w:tc>
        <w:tc>
          <w:tcPr>
            <w:tcW w:w="3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64,804</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886,868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color w:val="auto"/>
                <w:w w:val="96"/>
              </w:rPr>
              <w:t>Contracts with one extension, non-accrual (4)</w:t>
            </w:r>
          </w:p>
        </w:tc>
        <w:tc>
          <w:tcPr>
            <w:tcW w:w="19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14,863</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18,519</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1,676</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w w:val="99"/>
              </w:rPr>
              <w:t>Contracts with two or more extensions, non-</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accrual (4)</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21,896</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18,808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EEEEEE"/>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2,855</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36,759</w:t>
            </w:r>
          </w:p>
        </w:tc>
        <w:tc>
          <w:tcPr>
            <w:tcW w:w="36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2,926</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37,327</w:t>
            </w:r>
          </w:p>
        </w:tc>
        <w:tc>
          <w:tcPr>
            <w:tcW w:w="3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47,952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78,458</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97"/>
              </w:rPr>
              <w:t>1,070,054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53,257</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rPr>
              <w:t>715,226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rPr>
              <w:t>934,820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0</wp:posOffset>
            </wp:positionV>
            <wp:extent cx="5746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0</wp:posOffset>
            </wp:positionV>
            <wp:extent cx="591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0</wp:posOffset>
            </wp:positionV>
            <wp:extent cx="591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-154940</wp:posOffset>
            </wp:positionV>
            <wp:extent cx="4562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jc w:val="both"/>
        <w:ind w:firstLine="8"/>
        <w:spacing w:after="0" w:line="253" w:lineRule="auto"/>
        <w:tabs>
          <w:tab w:leader="none" w:pos="27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91" w:lineRule="exact"/>
        <w:rPr>
          <w:rFonts w:ascii="Arial" w:cs="Arial" w:eastAsia="Arial" w:hAnsi="Arial"/>
          <w:sz w:val="18"/>
          <w:szCs w:val="18"/>
          <w:i w:val="1"/>
          <w:iCs w:val="1"/>
          <w:color w:val="auto"/>
        </w:rPr>
      </w:pPr>
    </w:p>
    <w:p>
      <w:pPr>
        <w:jc w:val="both"/>
        <w:ind w:firstLine="8"/>
        <w:spacing w:after="0" w:line="259" w:lineRule="auto"/>
        <w:tabs>
          <w:tab w:leader="none" w:pos="27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86"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9"/>
                <w:szCs w:val="19"/>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2,326,008</w:t>
            </w:r>
          </w:p>
        </w:tc>
        <w:tc>
          <w:tcPr>
            <w:tcW w:w="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2,157,554</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2,226,056</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w:t>
      </w:r>
    </w:p>
    <w:p>
      <w:pPr>
        <w:spacing w:after="0" w:line="23" w:lineRule="exact"/>
        <w:rPr>
          <w:sz w:val="20"/>
          <w:szCs w:val="20"/>
          <w:color w:val="auto"/>
        </w:rPr>
      </w:pPr>
    </w:p>
    <w:p>
      <w:pPr>
        <w:ind w:firstLine="8"/>
        <w:spacing w:after="0" w:line="261" w:lineRule="auto"/>
        <w:tabs>
          <w:tab w:leader="none" w:pos="278"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spacing w:after="0" w:line="183" w:lineRule="exact"/>
        <w:rPr>
          <w:rFonts w:ascii="Arial" w:cs="Arial" w:eastAsia="Arial" w:hAnsi="Arial"/>
          <w:sz w:val="18"/>
          <w:szCs w:val="18"/>
          <w:i w:val="1"/>
          <w:iCs w:val="1"/>
          <w:color w:val="auto"/>
        </w:rPr>
      </w:pPr>
    </w:p>
    <w:p>
      <w:pPr>
        <w:jc w:val="both"/>
        <w:ind w:firstLine="8"/>
        <w:spacing w:after="0" w:line="279" w:lineRule="auto"/>
        <w:tabs>
          <w:tab w:leader="none" w:pos="26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2017 and June 30, 2016 percentages represent six months ended June 30, 2017 and June 30, 2016 annualized. December 31, 2016 represents 12 months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jc w:val="both"/>
        <w:ind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2017, for accounts that received extensions from 2008 through 2015 (2016 and 2017 extension data are not included at this time due to insufficient passage of time for meaningful evaluation of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 Charged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 Charged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 Active 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Charged Off</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Off &gt; 6</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Charged Off</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Off &lt;= 6</w:t>
            </w:r>
          </w:p>
        </w:tc>
        <w:tc>
          <w:tcPr>
            <w:tcW w:w="10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Avg Months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Active or Paid</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 Off at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&gt; 6 Months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Months</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&lt;= 6 Months</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Months</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to Charge</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 of</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 Extensions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Off at June 30,</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After</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After</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After</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After</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Off Post</w:t>
            </w:r>
          </w:p>
        </w:tc>
        <w:tc>
          <w:tcPr>
            <w:tcW w:w="0" w:type="dxa"/>
            <w:vAlign w:val="bottom"/>
          </w:tcPr>
          <w:p>
            <w:pPr>
              <w:spacing w:after="0"/>
              <w:rPr>
                <w:sz w:val="1"/>
                <w:szCs w:val="1"/>
                <w:color w:val="auto"/>
              </w:rPr>
            </w:pPr>
          </w:p>
        </w:tc>
      </w:tr>
      <w:tr>
        <w:trPr>
          <w:trHeight w:val="234"/>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Extension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Granted</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Extension</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Extension</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Extension</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Extension</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Extension</w:t>
            </w:r>
          </w:p>
        </w:tc>
        <w:tc>
          <w:tcPr>
            <w:tcW w:w="0" w:type="dxa"/>
            <w:vAlign w:val="bottom"/>
          </w:tcPr>
          <w:p>
            <w:pPr>
              <w:spacing w:after="0"/>
              <w:rPr>
                <w:sz w:val="1"/>
                <w:szCs w:val="1"/>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35,588</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10,710</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30.1%</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20,059</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56.4%</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4,819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13.5%</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32,226</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10,278</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31.9%</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16,165</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50.2%</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5,783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17.9%</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26,167</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12,169</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46.5%</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11,999</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45.9%</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1,999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18,786</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10,989</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58.5%</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6,865</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36.5%</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18,783</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11,455</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61.0%</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6,532</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34.8%</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23,398</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12,476</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53.3%</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9,946</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42.5%</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976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25,773</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14,023</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54.4%</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10,924</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42.4%</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53,319</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36,584</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68.6%</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15,653</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29.4%</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1,082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61.0% were either paid in full or active and performing at June 30, 2017.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17 months after the extension, indicating that even in the cases of an ultimate loss, the obligor serviced the account with additional payments of principal and interest.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9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9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Average number of extensions granted per month</w:t>
            </w:r>
          </w:p>
        </w:tc>
        <w:tc>
          <w:tcPr>
            <w:tcW w:w="600" w:type="dxa"/>
            <w:vAlign w:val="bottom"/>
          </w:tcPr>
          <w:p>
            <w:pPr>
              <w:jc w:val="right"/>
              <w:spacing w:after="0"/>
              <w:rPr>
                <w:sz w:val="20"/>
                <w:szCs w:val="20"/>
                <w:color w:val="auto"/>
              </w:rPr>
            </w:pPr>
            <w:r>
              <w:rPr>
                <w:rFonts w:ascii="Arial" w:cs="Arial" w:eastAsia="Arial" w:hAnsi="Arial"/>
                <w:sz w:val="18"/>
                <w:szCs w:val="18"/>
                <w:color w:val="auto"/>
              </w:rPr>
              <w:t>9,598</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5,274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Average number of outstanding accounts</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172,121</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158,035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163,050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5.6%</w:t>
            </w:r>
          </w:p>
        </w:tc>
        <w:tc>
          <w:tcPr>
            <w:tcW w:w="1000" w:type="dxa"/>
            <w:vAlign w:val="bottom"/>
          </w:tcPr>
          <w:p>
            <w:pPr>
              <w:spacing w:after="0"/>
              <w:rPr>
                <w:sz w:val="17"/>
                <w:szCs w:val="17"/>
                <w:color w:val="auto"/>
              </w:rPr>
            </w:pPr>
          </w:p>
        </w:tc>
        <w:tc>
          <w:tcPr>
            <w:tcW w:w="9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3.3%</w:t>
            </w:r>
          </w:p>
        </w:tc>
        <w:tc>
          <w:tcPr>
            <w:tcW w:w="1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______________________</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gridSpan w:val="3"/>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5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2017</w:t>
            </w:r>
          </w:p>
        </w:tc>
        <w:tc>
          <w:tcPr>
            <w:tcW w:w="2480" w:type="dxa"/>
            <w:vAlign w:val="bottom"/>
            <w:gridSpan w:val="5"/>
          </w:tcPr>
          <w:p>
            <w:pPr>
              <w:ind w:left="560"/>
              <w:spacing w:after="0"/>
              <w:rPr>
                <w:sz w:val="20"/>
                <w:szCs w:val="20"/>
                <w:color w:val="auto"/>
              </w:rPr>
            </w:pPr>
            <w:r>
              <w:rPr>
                <w:rFonts w:ascii="Arial" w:cs="Arial" w:eastAsia="Arial" w:hAnsi="Arial"/>
                <w:sz w:val="18"/>
                <w:szCs w:val="18"/>
                <w:b w:val="1"/>
                <w:bCs w:val="1"/>
                <w:color w:val="auto"/>
              </w:rPr>
              <w:t>June 30, 2016</w:t>
            </w:r>
          </w:p>
        </w:tc>
        <w:tc>
          <w:tcPr>
            <w:tcW w:w="2240" w:type="dxa"/>
            <w:vAlign w:val="bottom"/>
            <w:gridSpan w:val="6"/>
          </w:tcPr>
          <w:p>
            <w:pPr>
              <w:ind w:left="3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5"/>
              </w:rPr>
              <w:t>Number of</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Contracts</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Contracts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9"/>
              </w:rPr>
              <w:t>(Dollars in thousands)</w:t>
            </w: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34,055</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464,795</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29,793</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404,497</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36,030</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22,108</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307,357</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13,942</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187,305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12,130</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165,846</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6,267</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82,626</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8,794</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6,247</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83,349</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30,826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36,404</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8,346</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1,426</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12,303</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1,626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78,458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1,070,054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53,257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715,226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68,479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934,820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Managed portfolio (excluding originated and owned</w:t>
            </w: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by 3rd parties)</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173,597</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2,343,297</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164,392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2,253,686</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169,720</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7"/>
              </w:rPr>
              <w:t>2,308,058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i w:val="1"/>
                <w:iCs w:val="1"/>
                <w:color w:val="auto"/>
              </w:rPr>
              <w:t>________________________</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30" w:name="page31"/>
    <w:bookmarkEnd w:id="30"/>
    <w:p>
      <w:pPr>
        <w:jc w:val="both"/>
        <w:ind w:firstLine="648"/>
        <w:spacing w:after="0" w:line="302" w:lineRule="auto"/>
        <w:rPr>
          <w:sz w:val="20"/>
          <w:szCs w:val="20"/>
          <w:color w:val="auto"/>
        </w:rPr>
      </w:pPr>
      <w:r>
        <w:rPr>
          <w:rFonts w:ascii="Arial" w:cs="Arial" w:eastAsia="Arial" w:hAnsi="Arial"/>
          <w:sz w:val="16"/>
          <w:szCs w:val="16"/>
          <w:color w:val="auto"/>
        </w:rPr>
        <w:t>Net cash provided by operating activities for the six-month period ended June 30, 2017 was $114.7 million, an increase of $1.4 million, compared to net cash provided by operating activities for the six-month period ended June 30, 2016 of $113.3 million. Cash provided by operating activities is significantly affected by our net income before provisions for credit losses. For the six months ended June 30, 2017, our net income excluding provisions for credit losses was $104.8 million, or $1.7 million more than our net income excluding provisions for credit losses for the six months ended June 30, 2016.</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investing activities for the six-month period ended June 30, 2017 was $133.9 million compared to net cash used in investing activities of $312.7 million in the prior year period. Cash provided by investing activities primarily results from principal payments and other proceeds received on finance receivables held for investment. Cash used in investing activities generally relates to originations of automobile contracts. Originations of finance receivables held for investment were $463.5 million and $631.4 million during the first six months of 2017 and 2016, respectively.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for the six months ended June 30, 2017 was $21.1 million compared to net cash provided by financing activities of $195.8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2017, we issued $431.5 million in new securitization trust debt compared to $662.2 million in the same period of 2016. In addition, we repaid $430.8 million in securitization trust debt in the six months ended June 30, 2017 compared to repayments of securitization trust debt of $424.2 million in the prior year period. In the six months ended June 30, 2017, we had net advances on warehouse lines of credit of $28.0 million, compared to net repayments of $29.9 million in the prior year’s period.</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June 30, 2017, we had unrestricted cash of $15.8 million and $167.0 million aggregate available borrowings under our three warehouse credit facilities (assuming the availability of sufficient eligible collateral). As of June 30, 2017, we had approximately $19.2 million of such eligible collateral. During the six-month period ended June 30, 2017, we completed two securitizations aggregating $431.5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2017,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jc w:val="both"/>
        <w:ind w:firstLine="648"/>
        <w:spacing w:after="0" w:line="273" w:lineRule="auto"/>
        <w:rPr>
          <w:sz w:val="20"/>
          <w:szCs w:val="20"/>
          <w:color w:val="auto"/>
        </w:rPr>
      </w:pPr>
      <w:r>
        <w:rPr>
          <w:rFonts w:ascii="Arial" w:cs="Arial" w:eastAsia="Arial" w:hAnsi="Arial"/>
          <w:sz w:val="17"/>
          <w:szCs w:val="17"/>
          <w:color w:val="auto"/>
        </w:rPr>
        <w:t>We have and will continue to have a substantial amount of indebtedness. At June 30, 2017, we had approximately $2,229.3 million of debt outstanding. Such debt consisted primarily of $2,082.0 million of securitization trust debt and $131.3 million of warehouse lines of credit. Our securitization trust debt has increased by $125.4 million while our warehouse lines of credit have decreased by $33.8 million since June 30, 2016 (each net of deferred financing costs). As of June 30, 2016, our debt included $8.3 million of residual interest financing which was repaid in full in November 2016. Since 2005, we have offered renewable subordinated notes to the public on a continuous basis, and such notes have maturities that range from six months to 10 years. We had $16.1 million and $15.3 million in subordinated renewable notes outstanding at June 30, 2017 and 2016, respectively.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recent operating results include pre-tax earnings of $15.7 million for the six months ended June 30, 2017 and $49.7 million, $61.4 million, $52.2 million, $37.2 million and $9.2 for the years ended December 31, 2016, December 31, 2015, December 31, 2014,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7, 2017.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and will continue to have a substantial amount of indebtedness. At June 30, 2017, we had approximately $2,229.3 million of debt outstanding. Such debt consisted primarily of $2,082.0 million of securitization trust debt and $131.3 million of warehouse lines of credit. Our securitization trust debt has increased by $125.4 million while our warehouse lines of credit have decreased by $33.8 million since June 30, 2016 (each net of deferred financing costs). As of June 30, 2016, our debt included $8.3 million of residual interest financing which was repaid in full in November 2016. Since 2005, we have offered renewable subordinated notes to the public on a continuous basis, and such notes have maturities that range from six months to 10 years. We had $16.1 million and $15.3 million in subordinated renewable notes outstanding at June 30, 2017 and 2016, respectively. Our substantial indebtedness could adversely affect our financial condition by, among other things:</w:t>
      </w:r>
    </w:p>
    <w:p>
      <w:pPr>
        <w:spacing w:after="0" w:line="17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June 30, 2017, we repurchased 540,793 shares from existing shareholders, as reflected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that May Yet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Publicly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Average</w:t>
            </w: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Price Paid</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or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460"/>
              <w:spacing w:after="0"/>
              <w:rPr>
                <w:sz w:val="20"/>
                <w:szCs w:val="20"/>
                <w:color w:val="auto"/>
              </w:rPr>
            </w:pPr>
            <w:r>
              <w:rPr>
                <w:rFonts w:ascii="Arial" w:cs="Arial" w:eastAsia="Arial" w:hAnsi="Arial"/>
                <w:sz w:val="18"/>
                <w:szCs w:val="18"/>
                <w:b w:val="1"/>
                <w:bCs w:val="1"/>
                <w:color w:val="auto"/>
              </w:rPr>
              <w:t>Period(1)</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per Share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Programs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April 2017</w:t>
            </w: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142,500</w:t>
            </w:r>
          </w:p>
        </w:tc>
        <w:tc>
          <w:tcPr>
            <w:tcW w:w="4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4.65</w:t>
            </w:r>
          </w:p>
        </w:tc>
        <w:tc>
          <w:tcPr>
            <w:tcW w:w="1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142,500</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179,600</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040"/>
              <w:spacing w:after="0"/>
              <w:rPr>
                <w:sz w:val="20"/>
                <w:szCs w:val="20"/>
                <w:color w:val="auto"/>
              </w:rPr>
            </w:pPr>
            <w:r>
              <w:rPr>
                <w:rFonts w:ascii="Arial" w:cs="Arial" w:eastAsia="Arial" w:hAnsi="Arial"/>
                <w:sz w:val="18"/>
                <w:szCs w:val="18"/>
                <w:color w:val="auto"/>
              </w:rPr>
              <w:t>4.62</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179,600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10,432,825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June 2017</w:t>
            </w: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218,693</w:t>
            </w:r>
          </w:p>
        </w:tc>
        <w:tc>
          <w:tcPr>
            <w:tcW w:w="4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4.42</w:t>
            </w:r>
          </w:p>
        </w:tc>
        <w:tc>
          <w:tcPr>
            <w:tcW w:w="1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218,693</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9,467,096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w w:val="79"/>
              </w:rPr>
              <w:t>4.54</w:t>
            </w:r>
          </w:p>
        </w:tc>
        <w:tc>
          <w:tcPr>
            <w:tcW w:w="36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0</wp:posOffset>
            </wp:positionV>
            <wp:extent cx="3481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-130175</wp:posOffset>
            </wp:positionV>
            <wp:extent cx="3481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2017, our board of directors had authorized the purchase of up to $64.5 million of our outstanding securities, under a program first announced in our annual report for the year 2002, filed on March 26, 2003. All purchases described in the table above were under the program announced in March 2003, which has no fixed expiration date. Our board of directors in May 2017 increased the aggregate authorization by $10 million from $54.5 million to $64.5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0940" w:type="dxa"/>
            <w:vAlign w:val="bottom"/>
            <w:gridSpan w:val="4"/>
          </w:tcPr>
          <w:p>
            <w:pPr>
              <w:ind w:left="180"/>
              <w:spacing w:after="0"/>
              <w:rPr>
                <w:sz w:val="20"/>
                <w:szCs w:val="20"/>
                <w:color w:val="auto"/>
              </w:rPr>
            </w:pPr>
            <w:r>
              <w:rPr>
                <w:rFonts w:ascii="Arial" w:cs="Arial" w:eastAsia="Arial" w:hAnsi="Arial"/>
                <w:sz w:val="18"/>
                <w:szCs w:val="18"/>
                <w:color w:val="auto"/>
              </w:rPr>
              <w:t>The Exhibits listed below are filed with this report.</w:t>
            </w:r>
          </w:p>
        </w:tc>
      </w:tr>
      <w:tr>
        <w:trPr>
          <w:trHeight w:val="418"/>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4.14</w:t>
            </w:r>
          </w:p>
        </w:tc>
        <w:tc>
          <w:tcPr>
            <w:tcW w:w="90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r>
      <w:tr>
        <w:trPr>
          <w:trHeight w:val="216"/>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exclusion set forth in subdivisions (b)(iv)(iii)(A) and (b)(v) of Item 601 of Regulation S-K (17 CFR 229.601). The registrant agrees to</w:t>
            </w:r>
          </w:p>
        </w:tc>
      </w:tr>
      <w:tr>
        <w:trPr>
          <w:trHeight w:val="216"/>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4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85"/>
              </w:rPr>
              <w:t>31.1</w:t>
            </w:r>
          </w:p>
        </w:tc>
        <w:tc>
          <w:tcPr>
            <w:tcW w:w="900" w:type="dxa"/>
            <w:vAlign w:val="bottom"/>
          </w:tcPr>
          <w:p>
            <w:pPr>
              <w:spacing w:after="0"/>
              <w:rPr>
                <w:sz w:val="16"/>
                <w:szCs w:val="16"/>
                <w:color w:val="auto"/>
              </w:rPr>
            </w:pPr>
          </w:p>
        </w:tc>
        <w:tc>
          <w:tcPr>
            <w:tcW w:w="10040" w:type="dxa"/>
            <w:vAlign w:val="bottom"/>
            <w:gridSpan w:val="3"/>
          </w:tcPr>
          <w:p>
            <w:pPr>
              <w:spacing w:after="0" w:line="190" w:lineRule="exact"/>
              <w:rPr>
                <w:rFonts w:ascii="Arial" w:cs="Arial" w:eastAsia="Arial" w:hAnsi="Arial"/>
                <w:sz w:val="18"/>
                <w:szCs w:val="18"/>
                <w:color w:val="0000EE"/>
              </w:rPr>
            </w:pPr>
            <w:hyperlink w:anchor="page36">
              <w:r>
                <w:rPr>
                  <w:rFonts w:ascii="Arial" w:cs="Arial" w:eastAsia="Arial" w:hAnsi="Arial"/>
                  <w:sz w:val="18"/>
                  <w:szCs w:val="18"/>
                  <w:color w:val="0000EE"/>
                </w:rPr>
                <w:t>Rule 13a-14(a) Certification of the Chief Executive Officer of the registrant.</w:t>
              </w:r>
            </w:hyperlink>
          </w:p>
        </w:tc>
      </w:tr>
      <w:tr>
        <w:trPr>
          <w:trHeight w:val="196"/>
        </w:trPr>
        <w:tc>
          <w:tcPr>
            <w:tcW w:w="4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5"/>
              </w:rPr>
              <w:t>31.2</w:t>
            </w:r>
          </w:p>
        </w:tc>
        <w:tc>
          <w:tcPr>
            <w:tcW w:w="900" w:type="dxa"/>
            <w:vAlign w:val="bottom"/>
          </w:tcPr>
          <w:p>
            <w:pPr>
              <w:spacing w:after="0"/>
              <w:rPr>
                <w:sz w:val="17"/>
                <w:szCs w:val="17"/>
                <w:color w:val="auto"/>
              </w:rPr>
            </w:pPr>
          </w:p>
        </w:tc>
        <w:tc>
          <w:tcPr>
            <w:tcW w:w="5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Rule 13a-14(a) Certification of the Chief Financial Officer of the registrant.</w:t>
              </w:r>
            </w:hyperlink>
          </w:p>
        </w:tc>
        <w:tc>
          <w:tcPr>
            <w:tcW w:w="40" w:type="dxa"/>
            <w:vAlign w:val="bottom"/>
            <w:tcBorders>
              <w:top w:val="single" w:sz="8" w:color="0000EE"/>
            </w:tcBorders>
          </w:tcPr>
          <w:p>
            <w:pPr>
              <w:spacing w:after="0"/>
              <w:rPr>
                <w:sz w:val="17"/>
                <w:szCs w:val="17"/>
                <w:color w:val="auto"/>
              </w:rPr>
            </w:pPr>
          </w:p>
        </w:tc>
        <w:tc>
          <w:tcPr>
            <w:tcW w:w="4540" w:type="dxa"/>
            <w:vAlign w:val="bottom"/>
          </w:tcPr>
          <w:p>
            <w:pPr>
              <w:spacing w:after="0"/>
              <w:rPr>
                <w:sz w:val="17"/>
                <w:szCs w:val="17"/>
                <w:color w:val="auto"/>
              </w:rPr>
            </w:pPr>
          </w:p>
        </w:tc>
      </w:tr>
    </w:tbl>
    <w:p>
      <w:pPr>
        <w:spacing w:after="0" w:line="13" w:lineRule="exact"/>
        <w:rPr>
          <w:sz w:val="20"/>
          <w:szCs w:val="20"/>
          <w:color w:val="auto"/>
        </w:rPr>
      </w:pPr>
    </w:p>
    <w:p>
      <w:pPr>
        <w:ind w:left="1380" w:hanging="1372"/>
        <w:spacing w:after="0"/>
        <w:tabs>
          <w:tab w:leader="none" w:pos="1380" w:val="left"/>
        </w:tabs>
        <w:numPr>
          <w:ilvl w:val="0"/>
          <w:numId w:val="20"/>
        </w:numPr>
        <w:rPr>
          <w:rFonts w:ascii="Arial" w:cs="Arial" w:eastAsia="Arial" w:hAnsi="Arial"/>
          <w:sz w:val="18"/>
          <w:szCs w:val="18"/>
          <w:color w:val="0000EE"/>
        </w:rPr>
      </w:pPr>
      <w:hyperlink w:anchor="page38">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40" w:type="dxa"/>
            <w:vAlign w:val="bottom"/>
          </w:tcPr>
          <w:p>
            <w:pPr>
              <w:ind w:left="340"/>
              <w:spacing w:after="0"/>
              <w:rPr>
                <w:sz w:val="20"/>
                <w:szCs w:val="20"/>
                <w:color w:val="auto"/>
              </w:rPr>
            </w:pPr>
            <w:r>
              <w:rPr>
                <w:rFonts w:ascii="Arial" w:cs="Arial" w:eastAsia="Arial" w:hAnsi="Arial"/>
                <w:sz w:val="18"/>
                <w:szCs w:val="18"/>
                <w:color w:val="auto"/>
              </w:rPr>
              <w:t>XBRL Instances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tcPr>
          <w:p>
            <w:pPr>
              <w:ind w:left="3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Pr>
          <w:p>
            <w:pPr>
              <w:ind w:left="3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tcPr>
          <w:p>
            <w:pPr>
              <w:ind w:left="3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2" w:lineRule="exact"/>
        <w:rPr>
          <w:sz w:val="20"/>
          <w:szCs w:val="20"/>
          <w:color w:val="auto"/>
        </w:rPr>
      </w:pPr>
    </w:p>
    <w:p>
      <w:pPr>
        <w:jc w:val="both"/>
        <w:ind w:left="260" w:firstLine="319"/>
        <w:spacing w:after="0" w:line="259" w:lineRule="auto"/>
        <w:tabs>
          <w:tab w:leader="none" w:pos="7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2017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30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0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36" w:name="page37"/>
    <w:bookmarkEnd w:id="36"/>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2017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74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2017,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43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60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2019-12-29T05:06:12Z</dcterms:created>
  <dcterms:modified xsi:type="dcterms:W3CDTF">2019-12-29T05:06:12Z</dcterms:modified>
</cp:coreProperties>
</file>