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195" w:lineRule="exact"/>
        <w:rPr>
          <w:sz w:val="24"/>
          <w:szCs w:val="24"/>
          <w:color w:val="auto"/>
        </w:rPr>
      </w:pPr>
    </w:p>
    <w:p>
      <w:pPr>
        <w:ind w:left="1940" w:hanging="207"/>
        <w:spacing w:after="0"/>
        <w:tabs>
          <w:tab w:leader="none" w:pos="1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001-14116</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CONSUMER PORTFOLIO SERVICES,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California</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3800 Howard Hughes Pkwy, Las Vegas, NV</w:t>
            </w:r>
          </w:p>
        </w:tc>
        <w:tc>
          <w:tcPr>
            <w:tcW w:w="3760" w:type="dxa"/>
            <w:vAlign w:val="bottom"/>
          </w:tcPr>
          <w:p>
            <w:pPr>
              <w:jc w:val="right"/>
              <w:ind w:right="1070"/>
              <w:spacing w:after="0"/>
              <w:rPr>
                <w:sz w:val="20"/>
                <w:szCs w:val="20"/>
                <w:color w:val="auto"/>
              </w:rPr>
            </w:pPr>
            <w:r>
              <w:rPr>
                <w:rFonts w:ascii="Arial" w:cs="Arial" w:eastAsia="Arial" w:hAnsi="Arial"/>
                <w:sz w:val="18"/>
                <w:szCs w:val="18"/>
                <w:b w:val="1"/>
                <w:bCs w:val="1"/>
                <w:color w:val="auto"/>
              </w:rPr>
              <w:t>89169</w:t>
            </w:r>
          </w:p>
        </w:tc>
      </w:tr>
      <w:tr>
        <w:trPr>
          <w:trHeight w:val="234"/>
        </w:trPr>
        <w:tc>
          <w:tcPr>
            <w:tcW w:w="564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3380" w:type="dxa"/>
            <w:vAlign w:val="bottom"/>
            <w:gridSpan w:val="3"/>
          </w:tcPr>
          <w:p>
            <w:pPr>
              <w:spacing w:after="0"/>
              <w:rPr>
                <w:sz w:val="20"/>
                <w:szCs w:val="20"/>
                <w:color w:val="auto"/>
              </w:rPr>
            </w:pPr>
            <w:r>
              <w:rPr>
                <w:rFonts w:ascii="Arial" w:cs="Arial" w:eastAsia="Arial" w:hAnsi="Arial"/>
                <w:sz w:val="18"/>
                <w:szCs w:val="18"/>
                <w:color w:val="auto"/>
                <w:w w:val="90"/>
              </w:rPr>
              <w:t>Name of Each Exchange on Which Registered</w:t>
            </w:r>
          </w:p>
        </w:tc>
        <w:tc>
          <w:tcPr>
            <w:tcW w:w="46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37"/>
        </w:trPr>
        <w:tc>
          <w:tcPr>
            <w:tcW w:w="6900" w:type="dxa"/>
            <w:vAlign w:val="bottom"/>
            <w:gridSpan w:val="3"/>
          </w:tcPr>
          <w:p>
            <w:pPr>
              <w:ind w:left="1900"/>
              <w:spacing w:after="0"/>
              <w:rPr>
                <w:sz w:val="20"/>
                <w:szCs w:val="20"/>
                <w:color w:val="auto"/>
              </w:rPr>
            </w:pPr>
            <w:r>
              <w:rPr>
                <w:rFonts w:ascii="Arial" w:cs="Arial" w:eastAsia="Arial" w:hAnsi="Arial"/>
                <w:sz w:val="18"/>
                <w:szCs w:val="18"/>
                <w:color w:val="auto"/>
              </w:rPr>
              <w:t>Common Stock, no par value</w:t>
            </w:r>
          </w:p>
        </w:tc>
        <w:tc>
          <w:tcPr>
            <w:tcW w:w="3840" w:type="dxa"/>
            <w:vAlign w:val="bottom"/>
            <w:gridSpan w:val="4"/>
          </w:tcPr>
          <w:p>
            <w:pPr>
              <w:ind w:left="20"/>
              <w:spacing w:after="0"/>
              <w:rPr>
                <w:sz w:val="20"/>
                <w:szCs w:val="20"/>
                <w:color w:val="auto"/>
              </w:rPr>
            </w:pPr>
            <w:r>
              <w:rPr>
                <w:rFonts w:ascii="Arial" w:cs="Arial" w:eastAsia="Arial" w:hAnsi="Arial"/>
                <w:sz w:val="18"/>
                <w:szCs w:val="18"/>
                <w:color w:val="auto"/>
              </w:rPr>
              <w:t>The Nasdaq Stock Market LLC (Global Market)</w:t>
            </w:r>
          </w:p>
        </w:tc>
      </w:tr>
      <w:tr>
        <w:trPr>
          <w:trHeight w:val="432"/>
        </w:trPr>
        <w:tc>
          <w:tcPr>
            <w:tcW w:w="2180" w:type="dxa"/>
            <w:vAlign w:val="bottom"/>
          </w:tcPr>
          <w:p>
            <w:pPr>
              <w:spacing w:after="0"/>
              <w:rPr>
                <w:sz w:val="24"/>
                <w:szCs w:val="24"/>
                <w:color w:val="auto"/>
              </w:rPr>
            </w:pPr>
          </w:p>
        </w:tc>
        <w:tc>
          <w:tcPr>
            <w:tcW w:w="7200" w:type="dxa"/>
            <w:vAlign w:val="bottom"/>
            <w:gridSpan w:val="3"/>
          </w:tcPr>
          <w:p>
            <w:pPr>
              <w:ind w:left="112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2"/>
        </w:trPr>
        <w:tc>
          <w:tcPr>
            <w:tcW w:w="9380" w:type="dxa"/>
            <w:vAlign w:val="bottom"/>
            <w:gridSpan w:val="4"/>
          </w:tcPr>
          <w:p>
            <w:pPr>
              <w:spacing w:after="0"/>
              <w:rPr>
                <w:sz w:val="20"/>
                <w:szCs w:val="20"/>
                <w:color w:val="auto"/>
              </w:rPr>
            </w:pPr>
            <w:r>
              <w:rPr>
                <w:rFonts w:ascii="Arial" w:cs="Arial" w:eastAsia="Arial" w:hAnsi="Arial"/>
                <w:sz w:val="18"/>
                <w:szCs w:val="18"/>
                <w:color w:val="auto"/>
                <w:w w:val="94"/>
              </w:rPr>
              <w:t>Indicate by check mark if the registrant is a well-known seasoned issuer, as defined in Rule 405 of the Securities Act.  Yes o</w:t>
            </w:r>
          </w:p>
        </w:tc>
        <w:tc>
          <w:tcPr>
            <w:tcW w:w="9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r>
      <w:tr>
        <w:trPr>
          <w:trHeight w:val="324"/>
        </w:trPr>
        <w:tc>
          <w:tcPr>
            <w:tcW w:w="938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Exchange Act.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Yes o</w:t>
            </w:r>
          </w:p>
        </w:tc>
        <w:tc>
          <w:tcPr>
            <w:tcW w:w="460" w:type="dxa"/>
            <w:vAlign w:val="bottom"/>
          </w:tcPr>
          <w:p>
            <w:pPr>
              <w:ind w:left="4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55" w:right="239" w:bottom="1440" w:gutter="0" w:footer="0" w:header="0"/>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tabs>
          <w:tab w:leader="none" w:pos="4540" w:val="left"/>
          <w:tab w:leader="none" w:pos="74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þ</w:t>
      </w:r>
    </w:p>
    <w:p>
      <w:pPr>
        <w:spacing w:after="0" w:line="23" w:lineRule="exact"/>
        <w:rPr>
          <w:sz w:val="24"/>
          <w:szCs w:val="24"/>
          <w:color w:val="auto"/>
        </w:rPr>
      </w:pPr>
    </w:p>
    <w:p>
      <w:pPr>
        <w:spacing w:after="0"/>
        <w:tabs>
          <w:tab w:leader="none" w:pos="4540" w:val="left"/>
          <w:tab w:leader="none" w:pos="7400" w:val="left"/>
        </w:tabs>
        <w:rPr>
          <w:sz w:val="20"/>
          <w:szCs w:val="20"/>
          <w:color w:val="auto"/>
        </w:rPr>
      </w:pPr>
      <w:r>
        <w:rPr>
          <w:rFonts w:ascii="Arial" w:cs="Arial" w:eastAsia="Arial" w:hAnsi="Arial"/>
          <w:sz w:val="18"/>
          <w:szCs w:val="18"/>
          <w:color w:val="auto"/>
        </w:rPr>
        <w:t>o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w:cs="Arial" w:eastAsia="Arial" w:hAnsi="Arial"/>
          <w:sz w:val="14"/>
          <w:szCs w:val="14"/>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4"/>
          <w:szCs w:val="24"/>
          <w:color w:val="auto"/>
        </w:rPr>
      </w:pPr>
    </w:p>
    <w:p>
      <w:pPr>
        <w:sectPr>
          <w:pgSz w:w="11900" w:h="16838" w:orient="portrait"/>
          <w:cols w:equalWidth="0" w:num="2">
            <w:col w:w="2720" w:space="720"/>
            <w:col w:w="7980"/>
          </w:cols>
          <w:pgMar w:left="240" w:top="355" w:right="239" w:bottom="1440" w:gutter="0" w:footer="0" w:header="0"/>
          <w:type w:val="continuous"/>
        </w:sectPr>
      </w:pPr>
    </w:p>
    <w:p>
      <w:pPr>
        <w:spacing w:after="0" w:line="1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tabs>
          <w:tab w:leader="none" w:pos="8340" w:val="left"/>
          <w:tab w:leader="none" w:pos="91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þ</w:t>
      </w:r>
    </w:p>
    <w:p>
      <w:pPr>
        <w:spacing w:after="0" w:line="117"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The aggregate market value of the 16,978,704 shares of the registrant’s common stock held by non-affiliates as of June 30, 2017, based upon the closing price of the registrant’s common stock of $4.55 per share reported by Nasdaq for that date, was approximately $77,253,103.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1, 2018 was 21,620,233.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2018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gridSpan w:val="8"/>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bottom w:val="single" w:sz="8" w:color="0000EE"/>
            </w:tcBorders>
            <w:shd w:val="clear" w:color="auto" w:fill="EEEEEE"/>
          </w:tcPr>
          <w:p>
            <w:pPr>
              <w:spacing w:after="0" w:line="162"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80" w:type="dxa"/>
            <w:vAlign w:val="bottom"/>
            <w:tcBorders>
              <w:bottom w:val="single" w:sz="8" w:color="EEEEEE"/>
            </w:tcBorders>
            <w:gridSpan w:val="4"/>
            <w:shd w:val="clear" w:color="auto" w:fill="EEEEEE"/>
          </w:tcPr>
          <w:p>
            <w:pPr>
              <w:spacing w:after="0"/>
              <w:rPr>
                <w:sz w:val="15"/>
                <w:szCs w:val="15"/>
                <w:color w:val="auto"/>
              </w:rPr>
            </w:pPr>
          </w:p>
        </w:tc>
        <w:tc>
          <w:tcPr>
            <w:tcW w:w="64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c>
          <w:tcPr>
            <w:tcW w:w="180" w:type="dxa"/>
            <w:vAlign w:val="bottom"/>
            <w:tcBorders>
              <w:bottom w:val="single" w:sz="8" w:color="EEEEEE"/>
            </w:tcBorders>
            <w:shd w:val="clear" w:color="auto" w:fill="EEEEEE"/>
          </w:tcPr>
          <w:p>
            <w:pPr>
              <w:spacing w:after="0"/>
              <w:rPr>
                <w:sz w:val="15"/>
                <w:szCs w:val="15"/>
                <w:color w:val="auto"/>
              </w:rPr>
            </w:pPr>
          </w:p>
        </w:tc>
        <w:tc>
          <w:tcPr>
            <w:tcW w:w="420" w:type="dxa"/>
            <w:vAlign w:val="bottom"/>
            <w:tcBorders>
              <w:bottom w:val="single" w:sz="8" w:color="EEEEEE"/>
            </w:tcBorders>
            <w:shd w:val="clear" w:color="auto" w:fill="EEEEEE"/>
          </w:tcPr>
          <w:p>
            <w:pPr>
              <w:spacing w:after="0"/>
              <w:rPr>
                <w:sz w:val="15"/>
                <w:szCs w:val="15"/>
                <w:color w:val="auto"/>
              </w:rPr>
            </w:pPr>
          </w:p>
        </w:tc>
        <w:tc>
          <w:tcPr>
            <w:tcW w:w="20" w:type="dxa"/>
            <w:vAlign w:val="bottom"/>
            <w:tcBorders>
              <w:bottom w:val="single" w:sz="8" w:color="EEEEEE"/>
            </w:tcBorders>
            <w:shd w:val="clear" w:color="auto" w:fill="EEEEEE"/>
          </w:tcPr>
          <w:p>
            <w:pPr>
              <w:spacing w:after="0"/>
              <w:rPr>
                <w:sz w:val="15"/>
                <w:szCs w:val="15"/>
                <w:color w:val="auto"/>
              </w:rPr>
            </w:pPr>
          </w:p>
        </w:tc>
        <w:tc>
          <w:tcPr>
            <w:tcW w:w="360" w:type="dxa"/>
            <w:vAlign w:val="bottom"/>
            <w:tcBorders>
              <w:bottom w:val="single" w:sz="8" w:color="EEEEEE"/>
            </w:tcBorders>
            <w:shd w:val="clear" w:color="auto" w:fill="EEEEEE"/>
          </w:tcPr>
          <w:p>
            <w:pPr>
              <w:spacing w:after="0"/>
              <w:rPr>
                <w:sz w:val="15"/>
                <w:szCs w:val="15"/>
                <w:color w:val="auto"/>
              </w:rPr>
            </w:pPr>
          </w:p>
        </w:tc>
        <w:tc>
          <w:tcPr>
            <w:tcW w:w="60" w:type="dxa"/>
            <w:vAlign w:val="bottom"/>
            <w:tcBorders>
              <w:bottom w:val="single" w:sz="8" w:color="EEEEEE"/>
            </w:tcBorders>
            <w:shd w:val="clear" w:color="auto" w:fill="EEEEEE"/>
          </w:tcPr>
          <w:p>
            <w:pPr>
              <w:spacing w:after="0"/>
              <w:rPr>
                <w:sz w:val="15"/>
                <w:szCs w:val="15"/>
                <w:color w:val="auto"/>
              </w:rPr>
            </w:pPr>
          </w:p>
        </w:tc>
        <w:tc>
          <w:tcPr>
            <w:tcW w:w="40" w:type="dxa"/>
            <w:vAlign w:val="bottom"/>
            <w:tcBorders>
              <w:bottom w:val="single" w:sz="8" w:color="EEEEEE"/>
            </w:tcBorders>
            <w:shd w:val="clear" w:color="auto" w:fill="EEEEEE"/>
          </w:tcPr>
          <w:p>
            <w:pPr>
              <w:spacing w:after="0"/>
              <w:rPr>
                <w:sz w:val="15"/>
                <w:szCs w:val="15"/>
                <w:color w:val="auto"/>
              </w:rPr>
            </w:pPr>
          </w:p>
        </w:tc>
        <w:tc>
          <w:tcPr>
            <w:tcW w:w="240" w:type="dxa"/>
            <w:vAlign w:val="bottom"/>
            <w:tcBorders>
              <w:bottom w:val="single" w:sz="8" w:color="EEEEEE"/>
            </w:tcBorders>
            <w:shd w:val="clear" w:color="auto" w:fill="EEEEEE"/>
          </w:tcPr>
          <w:p>
            <w:pPr>
              <w:spacing w:after="0"/>
              <w:rPr>
                <w:sz w:val="15"/>
                <w:szCs w:val="15"/>
                <w:color w:val="auto"/>
              </w:rPr>
            </w:pPr>
          </w:p>
        </w:tc>
        <w:tc>
          <w:tcPr>
            <w:tcW w:w="560" w:type="dxa"/>
            <w:vAlign w:val="bottom"/>
            <w:tcBorders>
              <w:bottom w:val="single" w:sz="8" w:color="EEEEEE"/>
            </w:tcBorders>
            <w:shd w:val="clear" w:color="auto" w:fill="EEEEEE"/>
          </w:tcPr>
          <w:p>
            <w:pPr>
              <w:spacing w:after="0"/>
              <w:rPr>
                <w:sz w:val="15"/>
                <w:szCs w:val="15"/>
                <w:color w:val="auto"/>
              </w:rPr>
            </w:pPr>
          </w:p>
        </w:tc>
        <w:tc>
          <w:tcPr>
            <w:tcW w:w="260" w:type="dxa"/>
            <w:vAlign w:val="bottom"/>
            <w:tcBorders>
              <w:bottom w:val="single" w:sz="8" w:color="EEEEEE"/>
            </w:tcBorders>
            <w:shd w:val="clear" w:color="auto" w:fill="EEEEEE"/>
          </w:tcPr>
          <w:p>
            <w:pPr>
              <w:spacing w:after="0"/>
              <w:rPr>
                <w:sz w:val="15"/>
                <w:szCs w:val="15"/>
                <w:color w:val="auto"/>
              </w:rPr>
            </w:pPr>
          </w:p>
        </w:tc>
        <w:tc>
          <w:tcPr>
            <w:tcW w:w="40" w:type="dxa"/>
            <w:vAlign w:val="bottom"/>
            <w:tcBorders>
              <w:bottom w:val="single" w:sz="8" w:color="EEEEEE"/>
            </w:tcBorders>
            <w:shd w:val="clear" w:color="auto" w:fill="EEEEEE"/>
          </w:tcPr>
          <w:p>
            <w:pPr>
              <w:spacing w:after="0"/>
              <w:rPr>
                <w:sz w:val="15"/>
                <w:szCs w:val="15"/>
                <w:color w:val="auto"/>
              </w:rPr>
            </w:pPr>
          </w:p>
        </w:tc>
        <w:tc>
          <w:tcPr>
            <w:tcW w:w="420" w:type="dxa"/>
            <w:vAlign w:val="bottom"/>
            <w:tcBorders>
              <w:bottom w:val="single" w:sz="8" w:color="EEEEEE"/>
            </w:tcBorders>
            <w:shd w:val="clear" w:color="auto" w:fill="EEEEEE"/>
          </w:tcPr>
          <w:p>
            <w:pPr>
              <w:spacing w:after="0"/>
              <w:rPr>
                <w:sz w:val="15"/>
                <w:szCs w:val="15"/>
                <w:color w:val="auto"/>
              </w:rPr>
            </w:pPr>
          </w:p>
        </w:tc>
        <w:tc>
          <w:tcPr>
            <w:tcW w:w="780" w:type="dxa"/>
            <w:vAlign w:val="bottom"/>
            <w:tcBorders>
              <w:bottom w:val="single" w:sz="8" w:color="EEEEEE"/>
            </w:tcBorders>
            <w:shd w:val="clear" w:color="auto" w:fill="EEEEEE"/>
          </w:tcPr>
          <w:p>
            <w:pPr>
              <w:spacing w:after="0"/>
              <w:rPr>
                <w:sz w:val="15"/>
                <w:szCs w:val="15"/>
                <w:color w:val="auto"/>
              </w:rPr>
            </w:pPr>
          </w:p>
        </w:tc>
        <w:tc>
          <w:tcPr>
            <w:tcW w:w="260" w:type="dxa"/>
            <w:vAlign w:val="bottom"/>
            <w:tcBorders>
              <w:bottom w:val="single" w:sz="8" w:color="EEEEEE"/>
            </w:tcBorders>
            <w:shd w:val="clear" w:color="auto" w:fill="EEEEEE"/>
          </w:tcPr>
          <w:p>
            <w:pPr>
              <w:spacing w:after="0"/>
              <w:rPr>
                <w:sz w:val="15"/>
                <w:szCs w:val="15"/>
                <w:color w:val="auto"/>
              </w:rPr>
            </w:pPr>
          </w:p>
        </w:tc>
        <w:tc>
          <w:tcPr>
            <w:tcW w:w="1080" w:type="dxa"/>
            <w:vAlign w:val="bottom"/>
            <w:tcBorders>
              <w:bottom w:val="single" w:sz="8" w:color="EEEEEE"/>
            </w:tcBorders>
            <w:shd w:val="clear" w:color="auto" w:fill="EEEEEE"/>
          </w:tcPr>
          <w:p>
            <w:pPr>
              <w:spacing w:after="0"/>
              <w:rPr>
                <w:sz w:val="15"/>
                <w:szCs w:val="15"/>
                <w:color w:val="auto"/>
              </w:rPr>
            </w:pPr>
          </w:p>
        </w:tc>
        <w:tc>
          <w:tcPr>
            <w:tcW w:w="1020" w:type="dxa"/>
            <w:vAlign w:val="bottom"/>
            <w:tcBorders>
              <w:bottom w:val="single" w:sz="8" w:color="EEEEEE"/>
            </w:tcBorders>
            <w:shd w:val="clear" w:color="auto" w:fill="EEEEEE"/>
          </w:tcPr>
          <w:p>
            <w:pPr>
              <w:spacing w:after="0"/>
              <w:rPr>
                <w:sz w:val="15"/>
                <w:szCs w:val="15"/>
                <w:color w:val="auto"/>
              </w:rPr>
            </w:pPr>
          </w:p>
        </w:tc>
        <w:tc>
          <w:tcPr>
            <w:tcW w:w="40" w:type="dxa"/>
            <w:vAlign w:val="bottom"/>
            <w:tcBorders>
              <w:bottom w:val="single" w:sz="8" w:color="EEEEEE"/>
            </w:tcBorders>
            <w:shd w:val="clear" w:color="auto" w:fill="EEEEEE"/>
          </w:tcPr>
          <w:p>
            <w:pPr>
              <w:spacing w:after="0"/>
              <w:rPr>
                <w:sz w:val="15"/>
                <w:szCs w:val="15"/>
                <w:color w:val="auto"/>
              </w:rPr>
            </w:pPr>
          </w:p>
        </w:tc>
        <w:tc>
          <w:tcPr>
            <w:tcW w:w="800" w:type="dxa"/>
            <w:vAlign w:val="bottom"/>
            <w:tcBorders>
              <w:bottom w:val="single" w:sz="8" w:color="EEEEEE"/>
            </w:tcBorders>
            <w:shd w:val="clear" w:color="auto" w:fill="EEEEEE"/>
          </w:tcPr>
          <w:p>
            <w:pPr>
              <w:spacing w:after="0"/>
              <w:rPr>
                <w:sz w:val="15"/>
                <w:szCs w:val="15"/>
                <w:color w:val="auto"/>
              </w:rPr>
            </w:pPr>
          </w:p>
        </w:tc>
        <w:tc>
          <w:tcPr>
            <w:tcW w:w="820" w:type="dxa"/>
            <w:vAlign w:val="bottom"/>
            <w:tcBorders>
              <w:bottom w:val="single" w:sz="8" w:color="EEEEEE"/>
            </w:tcBorders>
            <w:shd w:val="clear" w:color="auto" w:fill="EEEEEE"/>
          </w:tcPr>
          <w:p>
            <w:pPr>
              <w:spacing w:after="0"/>
              <w:rPr>
                <w:sz w:val="15"/>
                <w:szCs w:val="15"/>
                <w:color w:val="auto"/>
              </w:rPr>
            </w:pPr>
          </w:p>
        </w:tc>
        <w:tc>
          <w:tcPr>
            <w:tcW w:w="880" w:type="dxa"/>
            <w:vAlign w:val="bottom"/>
            <w:tcBorders>
              <w:bottom w:val="single" w:sz="8" w:color="EEEEEE"/>
            </w:tcBorders>
            <w:shd w:val="clear" w:color="auto" w:fill="EEEEEE"/>
          </w:tcPr>
          <w:p>
            <w:pPr>
              <w:spacing w:after="0"/>
              <w:rPr>
                <w:sz w:val="15"/>
                <w:szCs w:val="15"/>
                <w:color w:val="auto"/>
              </w:rPr>
            </w:pPr>
          </w:p>
        </w:tc>
        <w:tc>
          <w:tcPr>
            <w:tcW w:w="114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1.</w:t>
            </w:r>
          </w:p>
        </w:tc>
        <w:tc>
          <w:tcPr>
            <w:tcW w:w="900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1A.</w:t>
            </w:r>
          </w:p>
        </w:tc>
        <w:tc>
          <w:tcPr>
            <w:tcW w:w="9000" w:type="dxa"/>
            <w:vAlign w:val="bottom"/>
            <w:gridSpan w:val="21"/>
            <w:shd w:val="clear" w:color="auto" w:fill="EEEEEE"/>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1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1B.</w:t>
            </w:r>
          </w:p>
        </w:tc>
        <w:tc>
          <w:tcPr>
            <w:tcW w:w="9000" w:type="dxa"/>
            <w:vAlign w:val="bottom"/>
            <w:gridSpan w:val="21"/>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2.</w:t>
            </w:r>
          </w:p>
        </w:tc>
        <w:tc>
          <w:tcPr>
            <w:tcW w:w="9000" w:type="dxa"/>
            <w:vAlign w:val="bottom"/>
            <w:gridSpan w:val="21"/>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1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3.</w:t>
            </w:r>
          </w:p>
        </w:tc>
        <w:tc>
          <w:tcPr>
            <w:tcW w:w="9000" w:type="dxa"/>
            <w:vAlign w:val="bottom"/>
            <w:gridSpan w:val="21"/>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5"/>
            <w:shd w:val="clear" w:color="auto" w:fill="EEEEEE"/>
          </w:tcPr>
          <w:p>
            <w:pPr>
              <w:ind w:left="340"/>
              <w:spacing w:after="0"/>
              <w:rPr>
                <w:sz w:val="20"/>
                <w:szCs w:val="20"/>
                <w:color w:val="auto"/>
              </w:rPr>
            </w:pPr>
            <w:r>
              <w:rPr>
                <w:rFonts w:ascii="Arial" w:cs="Arial" w:eastAsia="Arial" w:hAnsi="Arial"/>
                <w:sz w:val="18"/>
                <w:szCs w:val="18"/>
                <w:color w:val="auto"/>
              </w:rPr>
              <w:t>Item 4.</w:t>
            </w:r>
          </w:p>
        </w:tc>
        <w:tc>
          <w:tcPr>
            <w:tcW w:w="9000" w:type="dxa"/>
            <w:vAlign w:val="bottom"/>
            <w:gridSpan w:val="21"/>
            <w:shd w:val="clear" w:color="auto" w:fill="EEEEEE"/>
          </w:tcPr>
          <w:p>
            <w:pPr>
              <w:spacing w:after="0"/>
              <w:rPr>
                <w:sz w:val="20"/>
                <w:szCs w:val="20"/>
                <w:color w:val="auto"/>
              </w:rPr>
            </w:pPr>
            <w:r>
              <w:rPr>
                <w:rFonts w:ascii="Arial" w:cs="Arial" w:eastAsia="Arial" w:hAnsi="Arial"/>
                <w:sz w:val="18"/>
                <w:szCs w:val="18"/>
                <w:color w:val="auto"/>
              </w:rPr>
              <w:t>Mine Safety Disclosures</w:t>
            </w:r>
          </w:p>
        </w:tc>
        <w:tc>
          <w:tcPr>
            <w:tcW w:w="1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0" w:type="dxa"/>
            <w:vAlign w:val="bottom"/>
            <w:gridSpan w:val="21"/>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5"/>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EEEEEE"/>
            </w:tcBorders>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5</w:t>
            </w:r>
          </w:p>
        </w:tc>
        <w:tc>
          <w:tcPr>
            <w:tcW w:w="8120" w:type="dxa"/>
            <w:vAlign w:val="bottom"/>
            <w:tcBorders>
              <w:bottom w:val="single" w:sz="8" w:color="0000EE"/>
            </w:tcBorders>
            <w:gridSpan w:val="20"/>
            <w:shd w:val="clear" w:color="auto" w:fill="EEEEEE"/>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 of Equity Securities</w:t>
              </w:r>
            </w:hyperlink>
          </w:p>
        </w:tc>
        <w:tc>
          <w:tcPr>
            <w:tcW w:w="88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6.</w:t>
            </w:r>
          </w:p>
        </w:tc>
        <w:tc>
          <w:tcPr>
            <w:tcW w:w="9000" w:type="dxa"/>
            <w:vAlign w:val="bottom"/>
            <w:gridSpan w:val="21"/>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EEEEEE"/>
            </w:tcBorders>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shd w:val="clear" w:color="auto" w:fill="EEEEEE"/>
          </w:tcPr>
          <w:p>
            <w:pPr>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540" w:type="dxa"/>
            <w:vAlign w:val="bottom"/>
            <w:tcBorders>
              <w:bottom w:val="single" w:sz="8" w:color="EEEEEE"/>
            </w:tcBorders>
            <w:gridSpan w:val="4"/>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7A.</w:t>
            </w:r>
          </w:p>
        </w:tc>
        <w:tc>
          <w:tcPr>
            <w:tcW w:w="9000" w:type="dxa"/>
            <w:vAlign w:val="bottom"/>
            <w:gridSpan w:val="21"/>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8.</w:t>
            </w:r>
          </w:p>
        </w:tc>
        <w:tc>
          <w:tcPr>
            <w:tcW w:w="9000" w:type="dxa"/>
            <w:vAlign w:val="bottom"/>
            <w:gridSpan w:val="21"/>
            <w:shd w:val="clear" w:color="auto" w:fill="EEEEEE"/>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Financial Statements and Supplementary Data</w:t>
              </w:r>
            </w:hyperlink>
          </w:p>
        </w:tc>
        <w:tc>
          <w:tcPr>
            <w:tcW w:w="11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56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20" w:type="dxa"/>
            <w:vAlign w:val="bottom"/>
            <w:tcBorders>
              <w:top w:val="single" w:sz="8" w:color="0000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9.</w:t>
            </w:r>
          </w:p>
        </w:tc>
        <w:tc>
          <w:tcPr>
            <w:tcW w:w="9000" w:type="dxa"/>
            <w:vAlign w:val="bottom"/>
            <w:gridSpan w:val="21"/>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9A.</w:t>
            </w:r>
          </w:p>
        </w:tc>
        <w:tc>
          <w:tcPr>
            <w:tcW w:w="9000" w:type="dxa"/>
            <w:vAlign w:val="bottom"/>
            <w:gridSpan w:val="21"/>
            <w:shd w:val="clear" w:color="auto" w:fill="EEEEEE"/>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11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Borders>
              <w:top w:val="single" w:sz="8" w:color="EEEEEE"/>
            </w:tcBorders>
            <w:gridSpan w:val="5"/>
          </w:tcPr>
          <w:p>
            <w:pPr>
              <w:ind w:left="340"/>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7240" w:type="dxa"/>
            <w:vAlign w:val="bottom"/>
            <w:tcBorders>
              <w:top w:val="single" w:sz="8" w:color="EEEEEE"/>
            </w:tcBorders>
            <w:gridSpan w:val="14"/>
          </w:tcPr>
          <w:p>
            <w:pPr>
              <w:spacing w:after="0"/>
              <w:rPr>
                <w:sz w:val="15"/>
                <w:szCs w:val="15"/>
                <w:color w:val="auto"/>
              </w:rPr>
            </w:pPr>
          </w:p>
        </w:tc>
        <w:tc>
          <w:tcPr>
            <w:tcW w:w="1140" w:type="dxa"/>
            <w:vAlign w:val="bottom"/>
            <w:tcBorders>
              <w:top w:val="single" w:sz="8" w:color="EEEEEE"/>
            </w:tcBorders>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5"/>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III</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EEEEEE"/>
            </w:tcBorders>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shd w:val="clear" w:color="auto" w:fill="EEEEEE"/>
          </w:tcPr>
          <w:p>
            <w:pPr>
              <w:spacing w:after="0" w:line="17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Directors, Executive Officers and Corporate Governance</w:t>
              </w:r>
            </w:hyperlink>
          </w:p>
        </w:tc>
        <w:tc>
          <w:tcPr>
            <w:tcW w:w="4900" w:type="dxa"/>
            <w:vAlign w:val="bottom"/>
            <w:tcBorders>
              <w:bottom w:val="single" w:sz="8" w:color="EEEEEE"/>
            </w:tcBorders>
            <w:gridSpan w:val="7"/>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11.</w:t>
            </w:r>
          </w:p>
        </w:tc>
        <w:tc>
          <w:tcPr>
            <w:tcW w:w="9000" w:type="dxa"/>
            <w:vAlign w:val="bottom"/>
            <w:gridSpan w:val="21"/>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Executive Compensation</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bottom w:val="single" w:sz="8" w:color="EEEEEE"/>
            </w:tcBorders>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shd w:val="clear" w:color="auto" w:fill="EEEEEE"/>
          </w:tcPr>
          <w:p>
            <w:pPr>
              <w:spacing w:after="0" w:line="17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tcBorders>
              <w:bottom w:val="single" w:sz="8" w:color="EEEEEE"/>
            </w:tcBorders>
            <w:gridSpan w:val="2"/>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13.</w:t>
            </w:r>
          </w:p>
        </w:tc>
        <w:tc>
          <w:tcPr>
            <w:tcW w:w="9000" w:type="dxa"/>
            <w:vAlign w:val="bottom"/>
            <w:gridSpan w:val="21"/>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Certain Relationships and Related Transactions, and Director Independence</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gridSpan w:val="5"/>
            <w:shd w:val="clear" w:color="auto" w:fill="EEEEEE"/>
          </w:tcPr>
          <w:p>
            <w:pPr>
              <w:ind w:left="340"/>
              <w:spacing w:after="0" w:line="176" w:lineRule="exact"/>
              <w:rPr>
                <w:sz w:val="20"/>
                <w:szCs w:val="20"/>
                <w:color w:val="auto"/>
              </w:rPr>
            </w:pPr>
            <w:r>
              <w:rPr>
                <w:rFonts w:ascii="Arial" w:cs="Arial" w:eastAsia="Arial" w:hAnsi="Arial"/>
                <w:sz w:val="18"/>
                <w:szCs w:val="18"/>
                <w:color w:val="auto"/>
              </w:rPr>
              <w:t>Item 14.</w:t>
            </w:r>
          </w:p>
        </w:tc>
        <w:tc>
          <w:tcPr>
            <w:tcW w:w="9000" w:type="dxa"/>
            <w:vAlign w:val="bottom"/>
            <w:gridSpan w:val="21"/>
            <w:shd w:val="clear" w:color="auto" w:fill="EEEEEE"/>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Principal Accountant Fees and Services</w:t>
              </w:r>
            </w:hyperlink>
          </w:p>
        </w:tc>
        <w:tc>
          <w:tcPr>
            <w:tcW w:w="1140" w:type="dxa"/>
            <w:vAlign w:val="bottom"/>
            <w:shd w:val="clear" w:color="auto" w:fill="EEEEEE"/>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40" w:type="dxa"/>
            <w:vAlign w:val="bottom"/>
            <w:tcBorders>
              <w:top w:val="single" w:sz="8" w:color="EEEE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7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80" w:type="dxa"/>
            <w:vAlign w:val="bottom"/>
            <w:tcBorders>
              <w:top w:val="single" w:sz="8" w:color="EEEEEE"/>
            </w:tcBorders>
          </w:tcPr>
          <w:p>
            <w:pPr>
              <w:spacing w:after="0"/>
              <w:rPr>
                <w:sz w:val="18"/>
                <w:szCs w:val="18"/>
                <w:color w:val="auto"/>
              </w:rPr>
            </w:pPr>
          </w:p>
        </w:tc>
        <w:tc>
          <w:tcPr>
            <w:tcW w:w="10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800" w:type="dxa"/>
            <w:vAlign w:val="bottom"/>
            <w:tcBorders>
              <w:top w:val="single" w:sz="8" w:color="EEEEEE"/>
            </w:tcBorders>
          </w:tcPr>
          <w:p>
            <w:pPr>
              <w:spacing w:after="0"/>
              <w:rPr>
                <w:sz w:val="18"/>
                <w:szCs w:val="18"/>
                <w:color w:val="auto"/>
              </w:rPr>
            </w:pPr>
          </w:p>
        </w:tc>
        <w:tc>
          <w:tcPr>
            <w:tcW w:w="820" w:type="dxa"/>
            <w:vAlign w:val="bottom"/>
            <w:tcBorders>
              <w:top w:val="single" w:sz="8" w:color="EEEEEE"/>
            </w:tcBorders>
          </w:tcPr>
          <w:p>
            <w:pPr>
              <w:spacing w:after="0"/>
              <w:rPr>
                <w:sz w:val="18"/>
                <w:szCs w:val="18"/>
                <w:color w:val="auto"/>
              </w:rPr>
            </w:pPr>
          </w:p>
        </w:tc>
        <w:tc>
          <w:tcPr>
            <w:tcW w:w="880" w:type="dxa"/>
            <w:vAlign w:val="bottom"/>
            <w:tcBorders>
              <w:top w:val="single" w:sz="8" w:color="EEEEEE"/>
            </w:tcBorders>
          </w:tcPr>
          <w:p>
            <w:pPr>
              <w:spacing w:after="0"/>
              <w:rPr>
                <w:sz w:val="18"/>
                <w:szCs w:val="18"/>
                <w:color w:val="auto"/>
              </w:rPr>
            </w:pPr>
          </w:p>
        </w:tc>
        <w:tc>
          <w:tcPr>
            <w:tcW w:w="114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5"/>
            <w:shd w:val="clear" w:color="auto" w:fill="EEEEEE"/>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IV</w:t>
              </w:r>
            </w:hyperlink>
          </w:p>
        </w:tc>
        <w:tc>
          <w:tcPr>
            <w:tcW w:w="640" w:type="dxa"/>
            <w:vAlign w:val="bottom"/>
            <w:shd w:val="clear" w:color="auto" w:fill="EEEEEE"/>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420" w:type="dxa"/>
            <w:vAlign w:val="bottom"/>
            <w:shd w:val="clear" w:color="auto" w:fill="EEEEEE"/>
          </w:tcPr>
          <w:p>
            <w:pPr>
              <w:spacing w:after="0"/>
              <w:rPr>
                <w:sz w:val="15"/>
                <w:szCs w:val="15"/>
                <w:color w:val="auto"/>
              </w:rPr>
            </w:pPr>
          </w:p>
        </w:tc>
        <w:tc>
          <w:tcPr>
            <w:tcW w:w="7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800" w:type="dxa"/>
            <w:vAlign w:val="bottom"/>
            <w:shd w:val="clear" w:color="auto" w:fill="EEEEEE"/>
          </w:tcPr>
          <w:p>
            <w:pPr>
              <w:spacing w:after="0"/>
              <w:rPr>
                <w:sz w:val="15"/>
                <w:szCs w:val="15"/>
                <w:color w:val="auto"/>
              </w:rPr>
            </w:pPr>
          </w:p>
        </w:tc>
        <w:tc>
          <w:tcPr>
            <w:tcW w:w="820" w:type="dxa"/>
            <w:vAlign w:val="bottom"/>
            <w:shd w:val="clear" w:color="auto" w:fill="EEEEEE"/>
          </w:tcPr>
          <w:p>
            <w:pPr>
              <w:spacing w:after="0"/>
              <w:rPr>
                <w:sz w:val="15"/>
                <w:szCs w:val="15"/>
                <w:color w:val="auto"/>
              </w:rPr>
            </w:pPr>
          </w:p>
        </w:tc>
        <w:tc>
          <w:tcPr>
            <w:tcW w:w="88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08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82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5"/>
          </w:tcPr>
          <w:p>
            <w:pPr>
              <w:ind w:left="340"/>
              <w:spacing w:after="0" w:line="176" w:lineRule="exact"/>
              <w:rPr>
                <w:sz w:val="20"/>
                <w:szCs w:val="20"/>
                <w:color w:val="auto"/>
              </w:rPr>
            </w:pPr>
            <w:r>
              <w:rPr>
                <w:rFonts w:ascii="Arial" w:cs="Arial" w:eastAsia="Arial" w:hAnsi="Arial"/>
                <w:sz w:val="18"/>
                <w:szCs w:val="18"/>
                <w:color w:val="auto"/>
              </w:rPr>
              <w:t>Item 15.</w:t>
            </w:r>
          </w:p>
        </w:tc>
        <w:tc>
          <w:tcPr>
            <w:tcW w:w="9000" w:type="dxa"/>
            <w:vAlign w:val="bottom"/>
            <w:gridSpan w:val="21"/>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Exhibits, Financial Statement Schedules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a specialty finance company. Our primary business is to purchase and service retail automobile contracts originated primarily by franchised automobile dealers and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We also offer financing directly to sub-prime consumers to facilitate their purchase of a new or used automobile, light truck or passenger van. In this report, we refer to all of such contracts and loans as "automobile contracts" and all such purchases or acquisitions as “originations” or “acquisitions”.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were incorporated and began our operations in March 1991. We consist of Consumer Portfolio Services, Inc. and subsidiaries (collectively, “we,” “us,” “CPS” or “the Company”). From inception through December 31, 2017, we have purchased a total of approximately $14.3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Contract purchase volumes and managed portfolio levels for the five years ended December 31, 2017 are shown in the table below. Managed portfolio comprises both contracts we owned and those we were servicing for non-affiliates.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gridSpan w:val="4"/>
          </w:tcPr>
          <w:p>
            <w:pPr>
              <w:ind w:left="14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Contracts Purchased in</w:t>
            </w:r>
          </w:p>
        </w:tc>
        <w:tc>
          <w:tcPr>
            <w:tcW w:w="1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20" w:type="dxa"/>
            <w:vAlign w:val="bottom"/>
          </w:tcPr>
          <w:p>
            <w:pPr>
              <w:spacing w:after="0"/>
              <w:rPr>
                <w:sz w:val="16"/>
                <w:szCs w:val="16"/>
                <w:color w:val="auto"/>
              </w:rPr>
            </w:pPr>
          </w:p>
        </w:tc>
      </w:tr>
      <w:tr>
        <w:trPr>
          <w:trHeight w:val="234"/>
        </w:trPr>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Year</w:t>
            </w: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Period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1720" w:type="dxa"/>
            <w:vAlign w:val="bottom"/>
            <w:tcBorders>
              <w:top w:val="single" w:sz="8" w:color="auto"/>
            </w:tcBorders>
            <w:shd w:val="clear" w:color="auto" w:fill="EEEEEE"/>
          </w:tcPr>
          <w:p>
            <w:pPr>
              <w:ind w:left="680"/>
              <w:spacing w:after="0"/>
              <w:rPr>
                <w:sz w:val="20"/>
                <w:szCs w:val="20"/>
                <w:color w:val="auto"/>
              </w:rPr>
            </w:pPr>
            <w:r>
              <w:rPr>
                <w:rFonts w:ascii="Arial" w:cs="Arial" w:eastAsia="Arial" w:hAnsi="Arial"/>
                <w:sz w:val="18"/>
                <w:szCs w:val="18"/>
                <w:color w:val="333333"/>
              </w:rPr>
              <w:t>2013</w:t>
            </w:r>
          </w:p>
        </w:tc>
        <w:tc>
          <w:tcPr>
            <w:tcW w:w="200" w:type="dxa"/>
            <w:vAlign w:val="bottom"/>
            <w:tcBorders>
              <w:top w:val="single" w:sz="8" w:color="EEEEEE"/>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764,087</w:t>
            </w:r>
          </w:p>
        </w:tc>
        <w:tc>
          <w:tcPr>
            <w:tcW w:w="320" w:type="dxa"/>
            <w:vAlign w:val="bottom"/>
            <w:tcBorders>
              <w:top w:val="single" w:sz="8" w:color="EEEEEE"/>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720" w:type="dxa"/>
            <w:vAlign w:val="bottom"/>
          </w:tcPr>
          <w:p>
            <w:pPr>
              <w:ind w:left="680"/>
              <w:spacing w:after="0"/>
              <w:rPr>
                <w:sz w:val="20"/>
                <w:szCs w:val="20"/>
                <w:color w:val="auto"/>
              </w:rPr>
            </w:pPr>
            <w:r>
              <w:rPr>
                <w:rFonts w:ascii="Arial" w:cs="Arial" w:eastAsia="Arial" w:hAnsi="Arial"/>
                <w:sz w:val="18"/>
                <w:szCs w:val="18"/>
                <w:color w:val="333333"/>
              </w:rPr>
              <w:t>2014</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944,944</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18"/>
                <w:szCs w:val="18"/>
                <w:color w:val="auto"/>
              </w:rPr>
            </w:pPr>
          </w:p>
        </w:tc>
      </w:tr>
      <w:tr>
        <w:trPr>
          <w:trHeight w:val="216"/>
        </w:trPr>
        <w:tc>
          <w:tcPr>
            <w:tcW w:w="1720" w:type="dxa"/>
            <w:vAlign w:val="bottom"/>
            <w:shd w:val="clear" w:color="auto" w:fill="EEEEEE"/>
          </w:tcPr>
          <w:p>
            <w:pPr>
              <w:ind w:left="680"/>
              <w:spacing w:after="0"/>
              <w:rPr>
                <w:sz w:val="20"/>
                <w:szCs w:val="20"/>
                <w:color w:val="auto"/>
              </w:rPr>
            </w:pPr>
            <w:r>
              <w:rPr>
                <w:rFonts w:ascii="Arial" w:cs="Arial" w:eastAsia="Arial" w:hAnsi="Arial"/>
                <w:sz w:val="18"/>
                <w:szCs w:val="18"/>
                <w:color w:val="333333"/>
              </w:rPr>
              <w:t>2015</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320" w:type="dxa"/>
            <w:vAlign w:val="bottom"/>
            <w:shd w:val="clear" w:color="auto" w:fill="EEEEEE"/>
          </w:tcPr>
          <w:p>
            <w:pPr>
              <w:spacing w:after="0"/>
              <w:rPr>
                <w:sz w:val="18"/>
                <w:szCs w:val="18"/>
                <w:color w:val="auto"/>
              </w:rPr>
            </w:pP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shd w:val="clear" w:color="auto" w:fill="EEEEEE"/>
          </w:tcPr>
          <w:p>
            <w:pPr>
              <w:spacing w:after="0"/>
              <w:rPr>
                <w:sz w:val="18"/>
                <w:szCs w:val="18"/>
                <w:color w:val="auto"/>
              </w:rPr>
            </w:pPr>
          </w:p>
        </w:tc>
      </w:tr>
      <w:tr>
        <w:trPr>
          <w:trHeight w:val="216"/>
        </w:trPr>
        <w:tc>
          <w:tcPr>
            <w:tcW w:w="1720" w:type="dxa"/>
            <w:vAlign w:val="bottom"/>
          </w:tcPr>
          <w:p>
            <w:pPr>
              <w:ind w:left="680"/>
              <w:spacing w:after="0"/>
              <w:rPr>
                <w:sz w:val="20"/>
                <w:szCs w:val="20"/>
                <w:color w:val="auto"/>
              </w:rPr>
            </w:pPr>
            <w:r>
              <w:rPr>
                <w:rFonts w:ascii="Arial" w:cs="Arial" w:eastAsia="Arial" w:hAnsi="Arial"/>
                <w:sz w:val="18"/>
                <w:szCs w:val="18"/>
                <w:color w:val="333333"/>
              </w:rPr>
              <w:t>2016</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1,088,785</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2,308,070</w:t>
            </w:r>
          </w:p>
        </w:tc>
        <w:tc>
          <w:tcPr>
            <w:tcW w:w="120" w:type="dxa"/>
            <w:vAlign w:val="bottom"/>
          </w:tcPr>
          <w:p>
            <w:pPr>
              <w:spacing w:after="0"/>
              <w:rPr>
                <w:sz w:val="18"/>
                <w:szCs w:val="18"/>
                <w:color w:val="auto"/>
              </w:rPr>
            </w:pPr>
          </w:p>
        </w:tc>
      </w:tr>
      <w:tr>
        <w:trPr>
          <w:trHeight w:val="216"/>
        </w:trPr>
        <w:tc>
          <w:tcPr>
            <w:tcW w:w="1720" w:type="dxa"/>
            <w:vAlign w:val="bottom"/>
            <w:shd w:val="clear" w:color="auto" w:fill="EEEEEE"/>
          </w:tcPr>
          <w:p>
            <w:pPr>
              <w:ind w:left="680"/>
              <w:spacing w:after="0"/>
              <w:rPr>
                <w:sz w:val="20"/>
                <w:szCs w:val="20"/>
                <w:color w:val="auto"/>
              </w:rPr>
            </w:pPr>
            <w:r>
              <w:rPr>
                <w:rFonts w:ascii="Arial" w:cs="Arial" w:eastAsia="Arial" w:hAnsi="Arial"/>
                <w:sz w:val="18"/>
                <w:szCs w:val="18"/>
                <w:color w:val="333333"/>
              </w:rPr>
              <w:t>2017</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320" w:type="dxa"/>
            <w:vAlign w:val="bottom"/>
            <w:shd w:val="clear" w:color="auto" w:fill="EEEEEE"/>
          </w:tcPr>
          <w:p>
            <w:pPr>
              <w:spacing w:after="0"/>
              <w:rPr>
                <w:sz w:val="18"/>
                <w:szCs w:val="18"/>
                <w:color w:val="auto"/>
              </w:rPr>
            </w:pPr>
          </w:p>
        </w:tc>
        <w:tc>
          <w:tcPr>
            <w:tcW w:w="1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2,333,530</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2017, we had 76 marketing representatives and in that month we received applications from 5,715 dealers in 46 states. As of December 31, 2017, approximately 73% of our active dealers were franchised new car dealers that sell both new and used vehicles, and the remainder were independent used car dealers.</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also solicit credit applications directly from prospective automobile consumers through the internet under a program we refer to as our direct lending platform. For qualified applicants we offer terms similar to those that we offer through dealers, though without a down payment requirement and with more restrictive loan-to-value and credit score requirements. Applicants approved in this fashion are free to shop for and purchase a vehicle from a dealer of their choosing, after which we enter into a note and security agreement directly with the consumer. Regardless of whether an automobile contract is originated from one of our dealers or through our direct lending platform, the discussion that follows regarding our acquisitions guidelines, procedures and demographic statistics applies to all of our originated contracts. During the year ended December 31, 2017 automobile contracts originated under the direct lending platform represented 1.8% of our total acquisitions and represented 0.9% of our outstanding managed portfolio.</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 w:name="page4"/>
    <w:bookmarkEnd w:id="3"/>
    <w:p>
      <w:pPr>
        <w:jc w:val="both"/>
        <w:ind w:right="260" w:firstLine="648"/>
        <w:spacing w:after="0" w:line="264" w:lineRule="auto"/>
        <w:rPr>
          <w:sz w:val="20"/>
          <w:szCs w:val="20"/>
          <w:color w:val="auto"/>
        </w:rPr>
      </w:pPr>
      <w:r>
        <w:rPr>
          <w:rFonts w:ascii="Arial" w:cs="Arial" w:eastAsia="Arial" w:hAnsi="Arial"/>
          <w:sz w:val="18"/>
          <w:szCs w:val="18"/>
          <w:color w:val="auto"/>
        </w:rPr>
        <w:t>For the year ended December 31, 2017, approximately 75% of the automobile contracts originated under our programs consisted of financing for used cars and 25% consisted of financing for new cars, as compared to 76% financing for used cars and 24% for new cars in the year ended December 31, 2016.</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76 term securitizations of approximately $12.3 billion in automobile contracts. We depend upon the availability of short-term warehouse credit facilities as interim financing for our contract purchases prior to the time we pool those contracts for a securitization. As of December 31, 2017 we have three such short-term warehouse facilities, each with a maximum borrowing amount of $100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2017, we received approximately 74% of all applications through DealerTrack (the industry leading dealership application aggregator), 3% via our website and 23% via another aggregator, Route One. Our automated application decisioning system produced our initial decision within seconds on approximately 99% of those applications.</w:t>
      </w:r>
    </w:p>
    <w:p>
      <w:pPr>
        <w:spacing w:after="0" w:line="179"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Upon receipt of information from a dealer, we immediately order two credit reports to document the buyer's credit history. If, upon review by our proprietary automated decisioning system, or in some cases, one of our credit analysts, we determine that the automobile contract meets our underwriting criteria, we advise the dealer of our decision to approve the contract and the terms under which we will purchase it. In some cases where we don’t grant an approval, we may suggest alternatives from the terms proposed by the dealer or request and review further information from the dealer.</w:t>
      </w:r>
    </w:p>
    <w:p>
      <w:pPr>
        <w:spacing w:after="0" w:line="154"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2017, no dealer accounted for as much as 1% of the total number of automobile contracts we purchased.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Under our direct lending platform, the applicant submits a credit application directly to us via our website, or in some cases, through a third-party who accepts such applications and refers them to us for a fee. In either case, we order two credit reports and process the application with the same automated application decisioning process as described above for applications from dealers. We then advise the applicant as to whether or not we would grant them credit and on what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 w:name="page5"/>
    <w:bookmarkEnd w:id="4"/>
    <w:p>
      <w:pPr>
        <w:ind w:right="140" w:firstLine="648"/>
        <w:spacing w:after="0" w:line="277" w:lineRule="auto"/>
        <w:rPr>
          <w:sz w:val="20"/>
          <w:szCs w:val="20"/>
          <w:color w:val="auto"/>
        </w:rPr>
      </w:pPr>
      <w:r>
        <w:rPr>
          <w:rFonts w:ascii="Arial" w:cs="Arial" w:eastAsia="Arial" w:hAnsi="Arial"/>
          <w:sz w:val="18"/>
          <w:szCs w:val="18"/>
          <w:color w:val="auto"/>
        </w:rPr>
        <w:t>The following table sets forth the geographical sources of the automobile contracts we originated (based on the addresses of the customers as stated on our records) during the years ended December 31, 2017 and 2016.</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3"/>
              </w:rPr>
              <w:t>Contracts Purchased During the Year Ended</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360" w:type="dxa"/>
            <w:vAlign w:val="bottom"/>
            <w:gridSpan w:val="4"/>
          </w:tcPr>
          <w:p>
            <w:pPr>
              <w:ind w:left="780"/>
              <w:spacing w:after="0"/>
              <w:rPr>
                <w:sz w:val="20"/>
                <w:szCs w:val="20"/>
                <w:color w:val="auto"/>
              </w:rPr>
            </w:pPr>
            <w:r>
              <w:rPr>
                <w:rFonts w:ascii="Arial" w:cs="Arial" w:eastAsia="Arial" w:hAnsi="Arial"/>
                <w:sz w:val="18"/>
                <w:szCs w:val="18"/>
                <w:b w:val="1"/>
                <w:bCs w:val="1"/>
                <w:color w:val="auto"/>
              </w:rPr>
              <w:t>December 31, 2017</w:t>
            </w:r>
          </w:p>
        </w:tc>
        <w:tc>
          <w:tcPr>
            <w:tcW w:w="31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19"/>
                <w:szCs w:val="19"/>
                <w:color w:val="auto"/>
              </w:rPr>
            </w:pPr>
          </w:p>
        </w:tc>
        <w:tc>
          <w:tcPr>
            <w:tcW w:w="17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Number</w:t>
            </w: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333333"/>
              </w:rPr>
              <w:t>Texas</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3,907</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4,889</w:t>
            </w:r>
          </w:p>
        </w:tc>
        <w:tc>
          <w:tcPr>
            <w:tcW w:w="34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Ohio</w:t>
            </w:r>
          </w:p>
        </w:tc>
        <w:tc>
          <w:tcPr>
            <w:tcW w:w="1360" w:type="dxa"/>
            <w:vAlign w:val="bottom"/>
          </w:tcPr>
          <w:p>
            <w:pPr>
              <w:jc w:val="right"/>
              <w:spacing w:after="0"/>
              <w:rPr>
                <w:sz w:val="20"/>
                <w:szCs w:val="20"/>
                <w:color w:val="auto"/>
              </w:rPr>
            </w:pPr>
            <w:r>
              <w:rPr>
                <w:rFonts w:ascii="Arial" w:cs="Arial" w:eastAsia="Arial" w:hAnsi="Arial"/>
                <w:sz w:val="18"/>
                <w:szCs w:val="18"/>
                <w:color w:val="auto"/>
              </w:rPr>
              <w:t>3,871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4,492</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California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3,762</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4,807</w:t>
            </w: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Florida</w:t>
            </w:r>
          </w:p>
        </w:tc>
        <w:tc>
          <w:tcPr>
            <w:tcW w:w="1360" w:type="dxa"/>
            <w:vAlign w:val="bottom"/>
          </w:tcPr>
          <w:p>
            <w:pPr>
              <w:jc w:val="right"/>
              <w:spacing w:after="0"/>
              <w:rPr>
                <w:sz w:val="20"/>
                <w:szCs w:val="20"/>
                <w:color w:val="auto"/>
              </w:rPr>
            </w:pPr>
            <w:r>
              <w:rPr>
                <w:rFonts w:ascii="Arial" w:cs="Arial" w:eastAsia="Arial" w:hAnsi="Arial"/>
                <w:sz w:val="18"/>
                <w:szCs w:val="18"/>
                <w:color w:val="auto"/>
              </w:rPr>
              <w:t>3,130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3,750</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North Carolina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3,041</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3,539</w:t>
            </w: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2,887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3,426</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Other States</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32,045</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60.9%</w:t>
            </w:r>
          </w:p>
        </w:tc>
        <w:tc>
          <w:tcPr>
            <w:tcW w:w="320" w:type="dxa"/>
            <w:vAlign w:val="bottom"/>
            <w:shd w:val="clear" w:color="auto" w:fill="EEEEEE"/>
          </w:tcPr>
          <w:p>
            <w:pPr>
              <w:spacing w:after="0"/>
              <w:rPr>
                <w:sz w:val="19"/>
                <w:szCs w:val="19"/>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41,624</w:t>
            </w:r>
          </w:p>
        </w:tc>
        <w:tc>
          <w:tcPr>
            <w:tcW w:w="340" w:type="dxa"/>
            <w:vAlign w:val="bottom"/>
            <w:shd w:val="clear" w:color="auto" w:fill="EEEEEE"/>
          </w:tcPr>
          <w:p>
            <w:pPr>
              <w:spacing w:after="0"/>
              <w:rPr>
                <w:sz w:val="19"/>
                <w:szCs w:val="19"/>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tcPr>
          <w:p>
            <w:pPr>
              <w:ind w:left="1240"/>
              <w:spacing w:after="0"/>
              <w:rPr>
                <w:sz w:val="20"/>
                <w:szCs w:val="20"/>
                <w:color w:val="auto"/>
              </w:rPr>
            </w:pPr>
            <w:r>
              <w:rPr>
                <w:rFonts w:ascii="Arial" w:cs="Arial" w:eastAsia="Arial" w:hAnsi="Arial"/>
                <w:sz w:val="18"/>
                <w:szCs w:val="18"/>
                <w:color w:val="333333"/>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52,643</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66,527</w:t>
            </w:r>
          </w:p>
        </w:tc>
        <w:tc>
          <w:tcPr>
            <w:tcW w:w="3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333333"/>
        </w:rPr>
        <w:t>(1) Percentages may not total to 100.0% due to rounding.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4"/>
          </w:tcPr>
          <w:p>
            <w:pPr>
              <w:jc w:val="right"/>
              <w:ind w:right="1000"/>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State Based on Obligor's Residence</w:t>
            </w: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4"/>
              </w:rPr>
              <w:t>California</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191.8</w:t>
            </w:r>
          </w:p>
        </w:tc>
        <w:tc>
          <w:tcPr>
            <w:tcW w:w="1560" w:type="dxa"/>
            <w:vAlign w:val="bottom"/>
            <w:tcBorders>
              <w:top w:val="single" w:sz="8" w:color="auto"/>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8.2%</w:t>
            </w:r>
          </w:p>
        </w:tc>
        <w:tc>
          <w:tcPr>
            <w:tcW w:w="520" w:type="dxa"/>
            <w:vAlign w:val="bottom"/>
            <w:tcBorders>
              <w:top w:val="single" w:sz="8" w:color="auto"/>
            </w:tcBorders>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203.6</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Texas</w:t>
            </w: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183.8</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188.3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4"/>
              </w:rPr>
              <w:t>Ohio</w:t>
            </w: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150.1</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138.8</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Florida</w:t>
            </w:r>
          </w:p>
        </w:tc>
        <w:tc>
          <w:tcPr>
            <w:tcW w:w="2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129.2</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119.5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Georgia</w:t>
            </w: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123.6</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127.9</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8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All others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1,555.0</w:t>
            </w:r>
          </w:p>
        </w:tc>
        <w:tc>
          <w:tcPr>
            <w:tcW w:w="3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1,530.0</w:t>
            </w:r>
          </w:p>
        </w:tc>
        <w:tc>
          <w:tcPr>
            <w:tcW w:w="3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2,308.1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charged (paid) to dealers (1)</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162</w:t>
            </w:r>
          </w:p>
        </w:tc>
        <w:tc>
          <w:tcPr>
            <w:tcW w:w="3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Average net acquisition fee as % of amount financed (1)</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Not applicable to direct lending platform</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believe that levels of acquisition fees are determined partially by competition in the marketplace, which has increased over the periods presented, and also by our pricing strategy. Our pricing strategy is driven by our objectives for new contract purchase quantities and yield.</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offer eight different financing programs, and price each program according to the relative credit risk. Our programs cover a wide band of the credit spectrum and are labeled as follows:</w:t>
      </w:r>
    </w:p>
    <w:p>
      <w:pPr>
        <w:spacing w:after="0" w:line="170" w:lineRule="exact"/>
        <w:rPr>
          <w:sz w:val="20"/>
          <w:szCs w:val="20"/>
          <w:color w:val="auto"/>
        </w:rPr>
      </w:pPr>
    </w:p>
    <w:p>
      <w:pPr>
        <w:jc w:val="both"/>
        <w:ind w:left="360" w:right="40" w:firstLine="648"/>
        <w:spacing w:after="0" w:line="259" w:lineRule="auto"/>
        <w:rPr>
          <w:sz w:val="20"/>
          <w:szCs w:val="20"/>
          <w:color w:val="auto"/>
        </w:rPr>
      </w:pPr>
      <w:r>
        <w:rPr>
          <w:rFonts w:ascii="Arial" w:cs="Arial" w:eastAsia="Arial" w:hAnsi="Arial"/>
          <w:sz w:val="18"/>
          <w:szCs w:val="18"/>
          <w:u w:val="single" w:color="auto"/>
          <w:color w:val="auto"/>
        </w:rPr>
        <w:t>Bravo</w:t>
      </w:r>
      <w:r>
        <w:rPr>
          <w:rFonts w:ascii="Arial" w:cs="Arial" w:eastAsia="Arial" w:hAnsi="Arial"/>
          <w:sz w:val="18"/>
          <w:szCs w:val="18"/>
          <w:color w:val="auto"/>
        </w:rPr>
        <w:t xml:space="preserve"> - this program accommodates an applicant with significant past non-performing credit including recent derogatory credit. Advance rates are lowest of all of our programs to offset the greater risk. To offset the low up-front advance to the dealer, we agree to pay the dealer a portion of future payments we receive from the obligor, depending on loan performance. The Bravo program was introduced in November of 2015. During the 12 months ended December 31, 2017 it represented only 0.9% of our total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ind w:left="360" w:right="60" w:firstLine="648"/>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left="360" w:right="460" w:firstLine="648"/>
        <w:spacing w:after="0" w:line="286" w:lineRule="auto"/>
        <w:rPr>
          <w:sz w:val="20"/>
          <w:szCs w:val="20"/>
          <w:color w:val="auto"/>
        </w:rPr>
      </w:pPr>
      <w:r>
        <w:rPr>
          <w:rFonts w:ascii="Arial" w:cs="Arial" w:eastAsia="Arial" w:hAnsi="Arial"/>
          <w:sz w:val="17"/>
          <w:szCs w:val="17"/>
          <w:u w:val="single" w:color="auto"/>
          <w:color w:val="auto"/>
        </w:rPr>
        <w:t>Mercury / Delta</w:t>
      </w:r>
      <w:r>
        <w:rPr>
          <w:rFonts w:ascii="Arial" w:cs="Arial" w:eastAsia="Arial" w:hAnsi="Arial"/>
          <w:sz w:val="17"/>
          <w:szCs w:val="17"/>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left="360" w:right="260" w:firstLine="648"/>
        <w:spacing w:after="0" w:line="264"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1" w:lineRule="exact"/>
        <w:rPr>
          <w:sz w:val="20"/>
          <w:szCs w:val="20"/>
          <w:color w:val="auto"/>
        </w:rPr>
      </w:pPr>
    </w:p>
    <w:p>
      <w:pPr>
        <w:ind w:left="360" w:right="40" w:firstLine="648"/>
        <w:spacing w:after="0" w:line="312"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7" w:lineRule="exact"/>
        <w:rPr>
          <w:sz w:val="20"/>
          <w:szCs w:val="20"/>
          <w:color w:val="auto"/>
        </w:rPr>
      </w:pPr>
    </w:p>
    <w:p>
      <w:pPr>
        <w:ind w:left="360" w:right="40" w:firstLine="648"/>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jc w:val="both"/>
        <w:ind w:left="360" w:right="680" w:firstLine="648"/>
        <w:spacing w:after="0" w:line="286" w:lineRule="auto"/>
        <w:rPr>
          <w:sz w:val="20"/>
          <w:szCs w:val="20"/>
          <w:color w:val="auto"/>
        </w:rPr>
      </w:pPr>
      <w:r>
        <w:rPr>
          <w:rFonts w:ascii="Arial" w:cs="Arial" w:eastAsia="Arial" w:hAnsi="Arial"/>
          <w:sz w:val="17"/>
          <w:szCs w:val="17"/>
          <w:u w:val="single" w:color="auto"/>
          <w:color w:val="auto"/>
        </w:rPr>
        <w:t>Super Alpha</w:t>
      </w:r>
      <w:r>
        <w:rPr>
          <w:rFonts w:ascii="Arial" w:cs="Arial" w:eastAsia="Arial" w:hAnsi="Arial"/>
          <w:sz w:val="17"/>
          <w:szCs w:val="17"/>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66" w:lineRule="exact"/>
        <w:rPr>
          <w:sz w:val="20"/>
          <w:szCs w:val="20"/>
          <w:color w:val="auto"/>
        </w:rPr>
      </w:pPr>
    </w:p>
    <w:p>
      <w:pPr>
        <w:ind w:left="360" w:right="20" w:firstLine="648"/>
        <w:spacing w:after="0" w:line="264"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73% of our new contract acquisitions in 2017, 73% in 2016 and 77% in 2015, measured by aggregate amount financed.</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originated automobile contracts during the years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8"/>
                <w:szCs w:val="18"/>
                <w:b w:val="1"/>
                <w:bCs w:val="1"/>
                <w:color w:val="auto"/>
              </w:rPr>
              <w:t>December 31, 2017</w:t>
            </w:r>
          </w:p>
        </w:tc>
        <w:tc>
          <w:tcPr>
            <w:tcW w:w="2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Pr>
          <w:p>
            <w:pPr>
              <w:spacing w:after="0"/>
              <w:rPr>
                <w:sz w:val="19"/>
                <w:szCs w:val="19"/>
                <w:color w:val="auto"/>
              </w:rPr>
            </w:pPr>
          </w:p>
        </w:tc>
      </w:tr>
      <w:tr>
        <w:trPr>
          <w:trHeight w:val="191"/>
        </w:trPr>
        <w:tc>
          <w:tcPr>
            <w:tcW w:w="1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5"/>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Amount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3420" w:type="dxa"/>
            <w:vAlign w:val="bottom"/>
            <w:gridSpan w:val="3"/>
          </w:tcPr>
          <w:p>
            <w:pPr>
              <w:jc w:val="right"/>
              <w:ind w:right="2305"/>
              <w:spacing w:after="0"/>
              <w:rPr>
                <w:sz w:val="20"/>
                <w:szCs w:val="20"/>
                <w:color w:val="auto"/>
              </w:rPr>
            </w:pPr>
            <w:r>
              <w:rPr>
                <w:rFonts w:ascii="Arial" w:cs="Arial" w:eastAsia="Arial" w:hAnsi="Arial"/>
                <w:sz w:val="18"/>
                <w:szCs w:val="18"/>
                <w:b w:val="1"/>
                <w:bCs w:val="1"/>
                <w:color w:val="auto"/>
              </w:rPr>
              <w:t>Program</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Financed</w:t>
            </w:r>
          </w:p>
        </w:tc>
        <w:tc>
          <w:tcPr>
            <w:tcW w:w="340" w:type="dxa"/>
            <w:vAlign w:val="bottom"/>
          </w:tcPr>
          <w:p>
            <w:pPr>
              <w:spacing w:after="0"/>
              <w:rPr>
                <w:sz w:val="20"/>
                <w:szCs w:val="20"/>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Percent (1)</w:t>
            </w:r>
          </w:p>
        </w:tc>
        <w:tc>
          <w:tcPr>
            <w:tcW w:w="20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Financed</w:t>
            </w:r>
          </w:p>
        </w:tc>
        <w:tc>
          <w:tcPr>
            <w:tcW w:w="146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 (1)</w:t>
            </w:r>
          </w:p>
        </w:tc>
      </w:tr>
      <w:tr>
        <w:trPr>
          <w:trHeight w:val="210"/>
        </w:trPr>
        <w:tc>
          <w:tcPr>
            <w:tcW w:w="16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29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30,239</w:t>
            </w: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37,758</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Super Alpha</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62,159</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99,951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2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149,918</w:t>
            </w:r>
          </w:p>
        </w:tc>
        <w:tc>
          <w:tcPr>
            <w:tcW w:w="20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153,826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Alpha</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386,554</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506,951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2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111,963</w:t>
            </w:r>
          </w:p>
        </w:tc>
        <w:tc>
          <w:tcPr>
            <w:tcW w:w="20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148,931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Mercury / Delta</w:t>
            </w: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71,453</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103,670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1600" w:type="dxa"/>
            <w:vAlign w:val="bottom"/>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29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38,779</w:t>
            </w:r>
          </w:p>
        </w:tc>
        <w:tc>
          <w:tcPr>
            <w:tcW w:w="2080" w:type="dxa"/>
            <w:vAlign w:val="bottom"/>
            <w:gridSpan w:val="3"/>
            <w:shd w:val="clear" w:color="auto" w:fill="EEEEEE"/>
          </w:tcPr>
          <w:p>
            <w:pPr>
              <w:jc w:val="right"/>
              <w:ind w:right="36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31,992</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Bravo</w:t>
            </w:r>
          </w:p>
        </w:tc>
        <w:tc>
          <w:tcPr>
            <w:tcW w:w="2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8,004</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5,706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23"/>
        </w:trPr>
        <w:tc>
          <w:tcPr>
            <w:tcW w:w="1600" w:type="dxa"/>
            <w:vAlign w:val="bottom"/>
            <w:tcBorders>
              <w:top w:val="single" w:sz="8" w:color="EEEEEE"/>
              <w:bottom w:val="single" w:sz="8" w:color="EEEEEE"/>
            </w:tcBorders>
            <w:shd w:val="clear" w:color="auto" w:fill="EEEEEE"/>
          </w:tcPr>
          <w:p>
            <w:pPr>
              <w:spacing w:after="0"/>
              <w:rPr>
                <w:sz w:val="19"/>
                <w:szCs w:val="19"/>
                <w:color w:val="auto"/>
              </w:rPr>
            </w:pPr>
          </w:p>
        </w:tc>
        <w:tc>
          <w:tcPr>
            <w:tcW w:w="29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859,069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originate,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automobile contracts that we purchase from dealers, we require that the contract be originated by a dealer that has entered into a dealer agreement with us. Under our direct lending platform, we require the customer to sign a note and security agreement. In each case, the contract is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9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product to supplement the customer’s casualty policy in the event of a total loss of the related vehicle. We generally do not finance vehicles that are more than 11 model years old or have in excess of 150,000 miles. The maximum term of a purchased contract is 72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Credit Scoring</w:t>
      </w:r>
      <w:r>
        <w:rPr>
          <w:rFonts w:ascii="Arial" w:cs="Arial" w:eastAsia="Arial" w:hAnsi="Arial"/>
          <w:sz w:val="16"/>
          <w:szCs w:val="16"/>
          <w:color w:val="auto"/>
        </w:rPr>
        <w:t>. We use proprietary scoring models to assign each automobile contract two internal "credit scores" at the time the application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and the customer's credit information is retrieved from the credit reporting agencies. These proprietary scores are used to help determine whether or not we want to approve the application and, if so, the program and pricing we will offer either to the dealer, or in the case of our direct lending platform, directly to the customer. Our internal credit scores are based on a variety of parameters including the customer's credit history, length of employment, residence stability and total income. Once a vehicle is selected by the customer and a proposed deal structure is provided to us, our scores will then consider various deal structure parameters such as down payment amount, loan to value and the make and mileage of the vehicle. We have developed our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table below compares certain characteristics, at the time of origination, of our contract purchases for the years ended December 31, 2017 and 2016:</w:t>
      </w:r>
    </w:p>
    <w:p>
      <w:pPr>
        <w:spacing w:after="0" w:line="19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3"/>
              </w:rPr>
              <w:t>Contracts Purchased During the 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December 31, 2017</w:t>
            </w:r>
          </w:p>
        </w:tc>
        <w:tc>
          <w:tcPr>
            <w:tcW w:w="1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Original Amount Financed</w:t>
            </w: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16,319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Original Term</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68 months</w:t>
            </w:r>
          </w:p>
        </w:tc>
        <w:tc>
          <w:tcPr>
            <w:tcW w:w="16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67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Down Payment Percent</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Vehicle Purchase Price</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16,044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Age of Vehicle</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 years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Age of Customer</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43 years</w:t>
            </w:r>
          </w:p>
        </w:tc>
        <w:tc>
          <w:tcPr>
            <w:tcW w:w="16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Average Time in Current Job</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 years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Household Annual Income</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51,000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6"/>
          <w:szCs w:val="16"/>
          <w:b w:val="1"/>
          <w:bCs w:val="1"/>
          <w:color w:val="auto"/>
        </w:rPr>
        <w:t>.</w:t>
      </w:r>
      <w:r>
        <w:rPr>
          <w:rFonts w:ascii="Arial" w:cs="Arial" w:eastAsia="Arial" w:hAnsi="Arial"/>
          <w:sz w:val="16"/>
          <w:szCs w:val="16"/>
          <w:color w:val="auto"/>
        </w:rPr>
        <w:t xml:space="preserve"> The servicing fee is included in interest income for contracts that are pledged to a warehouse credit facility or a securitization transaction.</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Collection Procedures. </w:t>
      </w:r>
      <w:r>
        <w:rPr>
          <w:rFonts w:ascii="Arial" w:cs="Arial" w:eastAsia="Arial" w:hAnsi="Arial"/>
          <w:sz w:val="17"/>
          <w:szCs w:val="17"/>
          <w:color w:val="auto"/>
        </w:rPr>
        <w:t>We believe that our ability to monitor performance and collect payments owed from sub-prime customers is primarily a</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 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attempt to make telephonic contact with delinquent customers from one to 20 days after their monthly payment due date, depending on our assessment of the customer’s likelihood of payment during early stages of delinquency. If a customer has authorized us to do so, we may also send automated text message reminders at various stages of delinquency and our collectors may also choose to contact a customer via text message instead of, or in addition to, via telephone.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a collector’s queue for subsequent contacts.</w:t>
      </w:r>
    </w:p>
    <w:p>
      <w:pPr>
        <w:spacing w:after="0" w:line="16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we elect to repossess the vehicle, we assign the task to an independent local repossession service. Such services are licensed and/or bonded as required by law. When the vehicle is recovered, the repossession service delivers it to a wholesale automobile auction,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8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that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represented in the tables below, was 21 months, 18 months and 16 months as of December 31, 2017, December 31, 2016, and December 31, 2015,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became subject to a consent decree that required that we implement procedural changes in our servicing practices, which changes may have contributed to somewhat higher delinquencies, extensions and net losses compared to prior periods. The tables below document the delinquency, repossession and net credit loss experience of all such automobile contracts that we were servicing as of the respective dates shown. The tables do not include the experience of third party servicing portfolios, because we do not bear the credit risk on such portfolios.</w:t>
      </w:r>
    </w:p>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Delinquency, Repossession and Extension Experience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700"/>
        <w:spacing w:after="0" w:line="288" w:lineRule="auto"/>
        <w:rPr>
          <w:sz w:val="20"/>
          <w:szCs w:val="20"/>
          <w:color w:val="auto"/>
        </w:rPr>
      </w:pPr>
      <w:r>
        <w:rPr>
          <w:rFonts w:ascii="Arial" w:cs="Arial" w:eastAsia="Arial" w:hAnsi="Arial"/>
          <w:sz w:val="16"/>
          <w:szCs w:val="16"/>
          <w:b w:val="1"/>
          <w:bCs w:val="1"/>
          <w:i w:val="1"/>
          <w:iCs w:val="1"/>
          <w:color w:val="auto"/>
        </w:rPr>
        <w:t xml:space="preserve">Delinquency Experience </w:t>
      </w:r>
      <w:r>
        <w:rPr>
          <w:rFonts w:ascii="Arial" w:cs="Arial" w:eastAsia="Arial" w:hAnsi="Arial"/>
          <w:sz w:val="16"/>
          <w:szCs w:val="16"/>
          <w:color w:val="auto"/>
        </w:rPr>
        <w:t>Gross servicing portfolio (1) Period of delinquency (2)</w:t>
      </w:r>
    </w:p>
    <w:p>
      <w:pPr>
        <w:spacing w:after="0"/>
        <w:rPr>
          <w:sz w:val="20"/>
          <w:szCs w:val="20"/>
          <w:color w:val="auto"/>
        </w:rPr>
      </w:pPr>
      <w:r>
        <w:rPr>
          <w:rFonts w:ascii="Arial" w:cs="Arial" w:eastAsia="Arial" w:hAnsi="Arial"/>
          <w:sz w:val="18"/>
          <w:szCs w:val="18"/>
          <w:color w:val="auto"/>
        </w:rPr>
        <w:t>31-60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days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delinquencies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in repossession (3)</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Total delinquencies and amount in repossession (2)</w:t>
      </w:r>
    </w:p>
    <w:p>
      <w:pPr>
        <w:spacing w:after="0" w:line="73" w:lineRule="exact"/>
        <w:rPr>
          <w:sz w:val="20"/>
          <w:szCs w:val="20"/>
          <w:color w:val="auto"/>
        </w:rPr>
      </w:pPr>
    </w:p>
    <w:p>
      <w:pPr>
        <w:ind w:left="180" w:right="260" w:hanging="179"/>
        <w:spacing w:after="0" w:line="258" w:lineRule="auto"/>
        <w:rPr>
          <w:sz w:val="20"/>
          <w:szCs w:val="20"/>
          <w:color w:val="auto"/>
        </w:rPr>
      </w:pPr>
      <w:r>
        <w:rPr>
          <w:rFonts w:ascii="Arial" w:cs="Arial" w:eastAsia="Arial" w:hAnsi="Arial"/>
          <w:sz w:val="18"/>
          <w:szCs w:val="18"/>
          <w:color w:val="auto"/>
        </w:rPr>
        <w:t>Delinquencies as a percentage of gross servicing portfolio</w:t>
      </w:r>
    </w:p>
    <w:p>
      <w:pPr>
        <w:spacing w:after="0" w:line="1" w:lineRule="exact"/>
        <w:rPr>
          <w:sz w:val="20"/>
          <w:szCs w:val="20"/>
          <w:color w:val="auto"/>
        </w:rPr>
      </w:pPr>
    </w:p>
    <w:p>
      <w:pPr>
        <w:ind w:left="180" w:hanging="179"/>
        <w:spacing w:after="0" w:line="307" w:lineRule="auto"/>
        <w:rPr>
          <w:sz w:val="20"/>
          <w:szCs w:val="20"/>
          <w:color w:val="auto"/>
        </w:rPr>
      </w:pPr>
      <w:r>
        <w:rPr>
          <w:rFonts w:ascii="Arial" w:cs="Arial" w:eastAsia="Arial" w:hAnsi="Arial"/>
          <w:sz w:val="17"/>
          <w:szCs w:val="17"/>
          <w:color w:val="auto"/>
        </w:rPr>
        <w:t>Total delinquencies and amount in repossession as a percentage of gross servicing portfolio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Experience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Contracts with one extension, accruing (4)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two or more extensions, accruing (4)</w:t>
      </w:r>
    </w:p>
    <w:p>
      <w:pPr>
        <w:spacing w:after="0" w:line="274"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Contracts with one extension, non-accrual (4) Contracts with two or more extensions, non-accrual</w:t>
      </w:r>
    </w:p>
    <w:p>
      <w:pPr>
        <w:ind w:lef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4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Pr>
          <w:p>
            <w:pPr>
              <w:spacing w:after="0"/>
              <w:rPr>
                <w:sz w:val="20"/>
                <w:szCs w:val="20"/>
                <w:color w:val="auto"/>
              </w:rPr>
            </w:pPr>
          </w:p>
        </w:tc>
        <w:tc>
          <w:tcPr>
            <w:tcW w:w="21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December 31, 2015</w:t>
            </w:r>
          </w:p>
        </w:tc>
      </w:tr>
      <w:tr>
        <w:trPr>
          <w:trHeight w:val="191"/>
        </w:trPr>
        <w:tc>
          <w:tcPr>
            <w:tcW w:w="1160" w:type="dxa"/>
            <w:vAlign w:val="bottom"/>
            <w:tcBorders>
              <w:top w:val="single" w:sz="8" w:color="auto"/>
            </w:tcBorders>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top w:val="single" w:sz="8" w:color="auto"/>
            </w:tcBorders>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195"/>
        </w:trPr>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6"/>
          </w:tcPr>
          <w:p>
            <w:pPr>
              <w:ind w:left="120"/>
              <w:spacing w:after="0" w:line="195" w:lineRule="exact"/>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173,998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2,333,524</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169,720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2,308,058</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149,138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2,031,099</w:t>
            </w:r>
          </w:p>
        </w:tc>
      </w:tr>
      <w:tr>
        <w:trPr>
          <w:trHeight w:val="418"/>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138,395</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116,073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70,041</w:t>
            </w: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63,081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52,403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41,142</w:t>
            </w: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27,515</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44,384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43,484</w:t>
            </w:r>
          </w:p>
        </w:tc>
      </w:tr>
      <w:tr>
        <w:trPr>
          <w:trHeight w:val="209"/>
        </w:trPr>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228,991</w:t>
            </w:r>
          </w:p>
        </w:tc>
        <w:tc>
          <w:tcPr>
            <w:tcW w:w="24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212,860</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154,667</w:t>
            </w:r>
          </w:p>
        </w:tc>
      </w:tr>
      <w:tr>
        <w:trPr>
          <w:trHeight w:val="230"/>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33,679</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40,125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38,939</w:t>
            </w: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262,670</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19,240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252,985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15,017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193,606</w:t>
            </w:r>
          </w:p>
        </w:tc>
      </w:tr>
      <w:tr>
        <w:trPr>
          <w:trHeight w:val="20"/>
        </w:trPr>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46"/>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661"/>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31,708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430,801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34,354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479,237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26,682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361,338</w:t>
            </w: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55,203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756,561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30,450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407,631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16,638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219,175</w:t>
            </w:r>
          </w:p>
        </w:tc>
      </w:tr>
      <w:tr>
        <w:trPr>
          <w:trHeight w:val="209"/>
        </w:trPr>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1,187,362</w:t>
            </w:r>
          </w:p>
        </w:tc>
        <w:tc>
          <w:tcPr>
            <w:tcW w:w="24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64,804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886,868</w:t>
            </w:r>
          </w:p>
        </w:tc>
        <w:tc>
          <w:tcPr>
            <w:tcW w:w="22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580,513</w:t>
            </w:r>
          </w:p>
        </w:tc>
      </w:tr>
      <w:tr>
        <w:trPr>
          <w:trHeight w:val="230"/>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12,241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22,335</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22,725</w:t>
            </w:r>
          </w:p>
        </w:tc>
      </w:tr>
      <w:tr>
        <w:trPr>
          <w:trHeight w:val="444"/>
        </w:trPr>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2,701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35,626</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25,617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-3007995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-2725420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-2450465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-2167890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-1876425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-1421765</wp:posOffset>
            </wp:positionV>
            <wp:extent cx="72466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-1001395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-718185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-426720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60" w:space="260"/>
            <w:col w:w="74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0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shd w:val="clear" w:color="auto" w:fill="EEEEEE"/>
          </w:tcPr>
          <w:p>
            <w:pPr>
              <w:spacing w:after="0"/>
              <w:rPr>
                <w:sz w:val="16"/>
                <w:szCs w:val="16"/>
                <w:color w:val="auto"/>
              </w:rPr>
            </w:pPr>
          </w:p>
        </w:tc>
        <w:tc>
          <w:tcPr>
            <w:tcW w:w="104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3,733</w:t>
            </w: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240"/>
              <w:spacing w:after="0" w:line="192" w:lineRule="exact"/>
              <w:rPr>
                <w:sz w:val="20"/>
                <w:szCs w:val="20"/>
                <w:color w:val="auto"/>
              </w:rPr>
            </w:pPr>
            <w:r>
              <w:rPr>
                <w:rFonts w:ascii="Arial" w:cs="Arial" w:eastAsia="Arial" w:hAnsi="Arial"/>
                <w:sz w:val="18"/>
                <w:szCs w:val="18"/>
                <w:color w:val="auto"/>
              </w:rPr>
              <w:t>47,867</w:t>
            </w:r>
          </w:p>
        </w:tc>
        <w:tc>
          <w:tcPr>
            <w:tcW w:w="126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3,675</w:t>
            </w:r>
          </w:p>
        </w:tc>
        <w:tc>
          <w:tcPr>
            <w:tcW w:w="260" w:type="dxa"/>
            <w:vAlign w:val="bottom"/>
            <w:shd w:val="clear" w:color="auto" w:fill="EEEEEE"/>
          </w:tcPr>
          <w:p>
            <w:pPr>
              <w:spacing w:after="0"/>
              <w:rPr>
                <w:sz w:val="16"/>
                <w:szCs w:val="16"/>
                <w:color w:val="auto"/>
              </w:rPr>
            </w:pPr>
          </w:p>
        </w:tc>
        <w:tc>
          <w:tcPr>
            <w:tcW w:w="98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47,952</w:t>
            </w:r>
          </w:p>
        </w:tc>
        <w:tc>
          <w:tcPr>
            <w:tcW w:w="1220" w:type="dxa"/>
            <w:vAlign w:val="bottom"/>
            <w:gridSpan w:val="2"/>
            <w:shd w:val="clear" w:color="auto" w:fill="EEEEEE"/>
          </w:tcPr>
          <w:p>
            <w:pPr>
              <w:jc w:val="right"/>
              <w:ind w:right="220"/>
              <w:spacing w:after="0" w:line="192" w:lineRule="exact"/>
              <w:rPr>
                <w:sz w:val="20"/>
                <w:szCs w:val="20"/>
                <w:color w:val="auto"/>
              </w:rPr>
            </w:pPr>
            <w:r>
              <w:rPr>
                <w:rFonts w:ascii="Arial" w:cs="Arial" w:eastAsia="Arial" w:hAnsi="Arial"/>
                <w:sz w:val="18"/>
                <w:szCs w:val="18"/>
                <w:color w:val="auto"/>
              </w:rPr>
              <w:t>3,228</w:t>
            </w:r>
          </w:p>
        </w:tc>
        <w:tc>
          <w:tcPr>
            <w:tcW w:w="260" w:type="dxa"/>
            <w:vAlign w:val="bottom"/>
            <w:shd w:val="clear" w:color="auto" w:fill="EEEEEE"/>
          </w:tcPr>
          <w:p>
            <w:pPr>
              <w:spacing w:after="0"/>
              <w:rPr>
                <w:sz w:val="16"/>
                <w:szCs w:val="16"/>
                <w:color w:val="auto"/>
              </w:rPr>
            </w:pPr>
          </w:p>
        </w:tc>
        <w:tc>
          <w:tcPr>
            <w:tcW w:w="86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41,252</w:t>
            </w:r>
          </w:p>
        </w:tc>
      </w:tr>
      <w:tr>
        <w:trPr>
          <w:trHeight w:val="230"/>
        </w:trPr>
        <w:tc>
          <w:tcPr>
            <w:tcW w:w="20" w:type="dxa"/>
            <w:vAlign w:val="bottom"/>
          </w:tcPr>
          <w:p>
            <w:pPr>
              <w:spacing w:after="0"/>
              <w:rPr>
                <w:sz w:val="19"/>
                <w:szCs w:val="19"/>
                <w:color w:val="auto"/>
              </w:rPr>
            </w:pPr>
          </w:p>
        </w:tc>
        <w:tc>
          <w:tcPr>
            <w:tcW w:w="400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   1,235,229</w:t>
            </w:r>
          </w:p>
        </w:tc>
        <w:tc>
          <w:tcPr>
            <w:tcW w:w="24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2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22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2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60" w:hanging="492"/>
        <w:spacing w:after="0" w:line="254" w:lineRule="auto"/>
        <w:tabs>
          <w:tab w:leader="none" w:pos="5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2" w:lineRule="exact"/>
        <w:rPr>
          <w:rFonts w:ascii="Arial" w:cs="Arial" w:eastAsia="Arial" w:hAnsi="Arial"/>
          <w:sz w:val="18"/>
          <w:szCs w:val="18"/>
          <w:i w:val="1"/>
          <w:iCs w:val="1"/>
          <w:color w:val="auto"/>
        </w:rPr>
      </w:pPr>
    </w:p>
    <w:p>
      <w:pPr>
        <w:ind w:left="340" w:right="60" w:hanging="332"/>
        <w:spacing w:after="0" w:line="250"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do not recognize interest income on accounts past due more than 90 days.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(Dollars in thousands)</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2,334,008</w:t>
            </w: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2,226,056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charge-offs as a percentage of average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servicing portfolio (2)</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56"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third-parties on which we earn servicing fees only, and have no credit risk.</w:t>
      </w:r>
    </w:p>
    <w:p>
      <w:pPr>
        <w:ind w:left="340" w:right="20" w:hanging="332"/>
        <w:spacing w:after="0" w:line="255"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 Fees collected in conjunction with an extension are credited to obligors’ outstanding accrued interest.</w:t>
      </w:r>
    </w:p>
    <w:p>
      <w:pPr>
        <w:spacing w:after="0" w:line="17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ind w:right="80" w:firstLine="648"/>
        <w:spacing w:after="0" w:line="308" w:lineRule="auto"/>
        <w:rPr>
          <w:sz w:val="20"/>
          <w:szCs w:val="20"/>
          <w:color w:val="auto"/>
        </w:rPr>
      </w:pPr>
      <w:r>
        <w:rPr>
          <w:rFonts w:ascii="Arial" w:cs="Arial" w:eastAsia="Arial" w:hAnsi="Arial"/>
          <w:sz w:val="17"/>
          <w:szCs w:val="17"/>
          <w:color w:val="auto"/>
        </w:rPr>
        <w:t>We believe that a prudent extension program is an integral component to mitigating losses in our portfolio of sub-prime automobile receivables. The table below summarizes the status, as of December 31, 2017, for accounts that received extensions from 2008 through 2016: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 Charged</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Avg</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Active or Paid</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 Active or</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Off &lt;= 6</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Months</w:t>
            </w:r>
          </w:p>
        </w:tc>
      </w:tr>
      <w:tr>
        <w:trPr>
          <w:trHeight w:val="216"/>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Off at</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Paid Off at</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Charged Off &gt; 6</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 Charged Off</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Charged Off &lt;=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Months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to Charge</w:t>
            </w:r>
          </w:p>
        </w:tc>
      </w:tr>
      <w:tr>
        <w:trPr>
          <w:trHeight w:val="216"/>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Period of</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 of Extensions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December 31,</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Months After</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&gt; 6 Months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6 Months After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After</w:t>
            </w:r>
          </w:p>
        </w:tc>
        <w:tc>
          <w:tcPr>
            <w:tcW w:w="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Off Post</w:t>
            </w:r>
          </w:p>
        </w:tc>
      </w:tr>
      <w:tr>
        <w:trPr>
          <w:trHeight w:val="230"/>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Extension</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Granted</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After Extension</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Extension</w:t>
            </w:r>
          </w:p>
        </w:tc>
      </w:tr>
      <w:tr>
        <w:trPr>
          <w:trHeight w:val="210"/>
        </w:trPr>
        <w:tc>
          <w:tcPr>
            <w:tcW w:w="7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35,588</w:t>
            </w:r>
          </w:p>
        </w:tc>
        <w:tc>
          <w:tcPr>
            <w:tcW w:w="280" w:type="dxa"/>
            <w:vAlign w:val="bottom"/>
            <w:tcBorders>
              <w:top w:val="single" w:sz="8" w:color="EEEEEE"/>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10,710</w:t>
            </w:r>
          </w:p>
        </w:tc>
        <w:tc>
          <w:tcPr>
            <w:tcW w:w="28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20,059</w:t>
            </w:r>
          </w:p>
        </w:tc>
        <w:tc>
          <w:tcPr>
            <w:tcW w:w="26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280" w:type="dxa"/>
            <w:vAlign w:val="bottom"/>
            <w:tcBorders>
              <w:top w:val="single" w:sz="8" w:color="EEEEEE"/>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260" w:type="dxa"/>
            <w:vAlign w:val="bottom"/>
            <w:tcBorders>
              <w:top w:val="single" w:sz="8" w:color="EEEEEE"/>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EEEEEE"/>
            </w:tcBorders>
            <w:shd w:val="clear" w:color="auto" w:fill="EEEEEE"/>
          </w:tcPr>
          <w:p>
            <w:pPr>
              <w:spacing w:after="0"/>
              <w:rPr>
                <w:sz w:val="18"/>
                <w:szCs w:val="18"/>
                <w:color w:val="auto"/>
              </w:rPr>
            </w:pPr>
          </w:p>
        </w:tc>
        <w:tc>
          <w:tcPr>
            <w:tcW w:w="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EEEEEE"/>
            </w:tcBorders>
            <w:shd w:val="clear" w:color="auto" w:fill="EEEEEE"/>
          </w:tcPr>
          <w:p>
            <w:pPr>
              <w:spacing w:after="0"/>
              <w:rPr>
                <w:sz w:val="18"/>
                <w:szCs w:val="18"/>
                <w:color w:val="auto"/>
              </w:rPr>
            </w:pP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32,226</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10,276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16,167</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5,783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26,167</w:t>
            </w:r>
          </w:p>
        </w:tc>
        <w:tc>
          <w:tcPr>
            <w:tcW w:w="14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12,167</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46.5%</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12,001</w:t>
            </w: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45.9%</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1,999</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18,786</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10,982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6,872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18,783</w:t>
            </w:r>
          </w:p>
        </w:tc>
        <w:tc>
          <w:tcPr>
            <w:tcW w:w="14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11,411</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60.8%</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6,576</w:t>
            </w: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35.0%</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796</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23,398</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12,140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51.9%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10,282</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976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25,773</w:t>
            </w:r>
          </w:p>
        </w:tc>
        <w:tc>
          <w:tcPr>
            <w:tcW w:w="14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13,190</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51.2%</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11,757</w:t>
            </w: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45.6%</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826</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53,319</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33,424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62.7%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18,813</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80,897</w:t>
            </w:r>
          </w:p>
        </w:tc>
        <w:tc>
          <w:tcPr>
            <w:tcW w:w="14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64,334</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79.5%</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14,630</w:t>
            </w:r>
          </w:p>
        </w:tc>
        <w:tc>
          <w:tcPr>
            <w:tcW w:w="14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18.1%</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1,933</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We consider accounts that have had extensions and were active or paid off at December 31, 2017 to be successful. Successful extensions result in continued payments of interest and principal (including payment in full in many cases). Without the extension, however, the account may have defaulted and we would have likely incurred a substantial loss and no additional interest revenue.</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In such cases, in spite of the ultimate loss, we received additional payments of principal and interest that otherwise we would not have received.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1000"/>
              <w:spacing w:after="0"/>
              <w:rPr>
                <w:sz w:val="20"/>
                <w:szCs w:val="20"/>
                <w:color w:val="auto"/>
              </w:rPr>
            </w:pPr>
            <w:r>
              <w:rPr>
                <w:rFonts w:ascii="Arial" w:cs="Arial" w:eastAsia="Arial" w:hAnsi="Arial"/>
                <w:sz w:val="18"/>
                <w:szCs w:val="18"/>
                <w:color w:val="auto"/>
                <w:w w:val="89"/>
              </w:rPr>
              <w:t>For the Year Ended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0"/>
              </w:rPr>
              <w:t>December 31,</w:t>
            </w:r>
          </w:p>
        </w:tc>
        <w:tc>
          <w:tcPr>
            <w:tcW w:w="340" w:type="dxa"/>
            <w:vAlign w:val="bottom"/>
          </w:tcPr>
          <w:p>
            <w:pPr>
              <w:spacing w:after="0"/>
              <w:rPr>
                <w:sz w:val="16"/>
                <w:szCs w:val="16"/>
                <w:color w:val="auto"/>
              </w:rPr>
            </w:pPr>
          </w:p>
        </w:tc>
        <w:tc>
          <w:tcPr>
            <w:tcW w:w="1380" w:type="dxa"/>
            <w:vAlign w:val="bottom"/>
            <w:gridSpan w:val="5"/>
          </w:tcPr>
          <w:p>
            <w:pPr>
              <w:jc w:val="center"/>
              <w:spacing w:after="0" w:line="195" w:lineRule="exact"/>
              <w:rPr>
                <w:sz w:val="20"/>
                <w:szCs w:val="20"/>
                <w:color w:val="auto"/>
              </w:rPr>
            </w:pPr>
            <w:r>
              <w:rPr>
                <w:rFonts w:ascii="Arial" w:cs="Arial" w:eastAsia="Arial" w:hAnsi="Arial"/>
                <w:sz w:val="18"/>
                <w:szCs w:val="18"/>
                <w:color w:val="auto"/>
                <w:w w:val="90"/>
              </w:rPr>
              <w:t>December 31,</w:t>
            </w:r>
          </w:p>
        </w:tc>
        <w:tc>
          <w:tcPr>
            <w:tcW w:w="5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left="31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5"/>
          </w:tcPr>
          <w:p>
            <w:pPr>
              <w:jc w:val="center"/>
              <w:ind w:left="670"/>
              <w:spacing w:after="0"/>
              <w:rPr>
                <w:sz w:val="20"/>
                <w:szCs w:val="20"/>
                <w:color w:val="auto"/>
              </w:rPr>
            </w:pPr>
            <w:r>
              <w:rPr>
                <w:rFonts w:ascii="Arial" w:cs="Arial" w:eastAsia="Arial" w:hAnsi="Arial"/>
                <w:sz w:val="18"/>
                <w:szCs w:val="18"/>
                <w:color w:val="auto"/>
                <w:w w:val="89"/>
              </w:rPr>
              <w:t>2015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11,157</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6,741</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4,443</w:t>
            </w:r>
          </w:p>
        </w:tc>
        <w:tc>
          <w:tcPr>
            <w:tcW w:w="120" w:type="dxa"/>
            <w:vAlign w:val="bottom"/>
            <w:shd w:val="clear" w:color="auto" w:fill="EEEEE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Average number of outstanding accounts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173,137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163,050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137,306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34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2"/>
              </w:rPr>
              <w:t>Average monthly extensions as % of average outstandings</w:t>
            </w:r>
          </w:p>
        </w:tc>
        <w:tc>
          <w:tcPr>
            <w:tcW w:w="9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EEEEE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40" w:type="dxa"/>
            <w:vAlign w:val="bottom"/>
            <w:gridSpan w:val="6"/>
          </w:tcPr>
          <w:p>
            <w:pPr>
              <w:ind w:left="560"/>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24"/>
                <w:szCs w:val="24"/>
                <w:color w:val="auto"/>
              </w:rPr>
            </w:pPr>
          </w:p>
        </w:tc>
        <w:tc>
          <w:tcPr>
            <w:tcW w:w="2900" w:type="dxa"/>
            <w:vAlign w:val="bottom"/>
            <w:gridSpan w:val="7"/>
          </w:tcPr>
          <w:p>
            <w:pPr>
              <w:jc w:val="right"/>
              <w:ind w:right="850"/>
              <w:spacing w:after="0"/>
              <w:rPr>
                <w:sz w:val="20"/>
                <w:szCs w:val="20"/>
                <w:color w:val="auto"/>
              </w:rPr>
            </w:pPr>
            <w:r>
              <w:rPr>
                <w:rFonts w:ascii="Arial" w:cs="Arial" w:eastAsia="Arial" w:hAnsi="Arial"/>
                <w:sz w:val="18"/>
                <w:szCs w:val="18"/>
                <w:color w:val="auto"/>
              </w:rPr>
              <w:t>December 31, 2016</w:t>
            </w:r>
          </w:p>
        </w:tc>
        <w:tc>
          <w:tcPr>
            <w:tcW w:w="2400" w:type="dxa"/>
            <w:vAlign w:val="bottom"/>
            <w:gridSpan w:val="9"/>
          </w:tcPr>
          <w:p>
            <w:pPr>
              <w:jc w:val="center"/>
              <w:ind w:right="30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gridSpan w:val="2"/>
          </w:tcPr>
          <w:p>
            <w:pPr>
              <w:jc w:val="right"/>
              <w:ind w:right="240"/>
              <w:spacing w:after="0" w:line="195" w:lineRule="exact"/>
              <w:rPr>
                <w:sz w:val="20"/>
                <w:szCs w:val="20"/>
                <w:color w:val="auto"/>
              </w:rPr>
            </w:pPr>
            <w:r>
              <w:rPr>
                <w:rFonts w:ascii="Arial" w:cs="Arial" w:eastAsia="Arial" w:hAnsi="Arial"/>
                <w:sz w:val="18"/>
                <w:szCs w:val="18"/>
                <w:color w:val="auto"/>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4"/>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590"/>
              <w:spacing w:after="0"/>
              <w:rPr>
                <w:sz w:val="20"/>
                <w:szCs w:val="20"/>
                <w:color w:val="auto"/>
              </w:rPr>
            </w:pPr>
            <w:r>
              <w:rPr>
                <w:rFonts w:ascii="Arial" w:cs="Arial" w:eastAsia="Arial" w:hAnsi="Arial"/>
                <w:sz w:val="18"/>
                <w:szCs w:val="18"/>
                <w:color w:val="auto"/>
              </w:rPr>
              <w:t>Amount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14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gridSpan w:val="7"/>
          </w:tcPr>
          <w:p>
            <w:pPr>
              <w:jc w:val="right"/>
              <w:ind w:right="850"/>
              <w:spacing w:after="0"/>
              <w:rPr>
                <w:sz w:val="20"/>
                <w:szCs w:val="20"/>
                <w:color w:val="auto"/>
              </w:rPr>
            </w:pPr>
            <w:r>
              <w:rPr>
                <w:rFonts w:ascii="Arial" w:cs="Arial" w:eastAsia="Arial" w:hAnsi="Arial"/>
                <w:sz w:val="18"/>
                <w:szCs w:val="18"/>
                <w:color w:val="auto"/>
              </w:rPr>
              <w:t>(Dollars in thousands)</w:t>
            </w: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32,740</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443,042</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36,030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501,572</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28,466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384,064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Contracts with two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335,643</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17,800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242,216</w:t>
            </w: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156,840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16,378</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227,980</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8,794</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116,929</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59,255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Contracts with four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129,795</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4,032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52,368</w:t>
            </w: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5,096</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67,703</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1,426</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17,190</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31,067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4,545</w:t>
            </w:r>
          </w:p>
        </w:tc>
        <w:tc>
          <w:tcPr>
            <w:tcW w:w="2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27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90,644</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1,235,229</w:t>
            </w:r>
          </w:p>
        </w:tc>
        <w:tc>
          <w:tcPr>
            <w:tcW w:w="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68,479</w:t>
            </w: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934,820</w:t>
            </w:r>
          </w:p>
        </w:tc>
        <w:tc>
          <w:tcPr>
            <w:tcW w:w="2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173,998</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2,333,524</w:t>
            </w:r>
          </w:p>
        </w:tc>
        <w:tc>
          <w:tcPr>
            <w:tcW w:w="13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169,720</w:t>
            </w:r>
          </w:p>
        </w:tc>
        <w:tc>
          <w:tcPr>
            <w:tcW w:w="34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2,308,058</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149,138</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2,031,099</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we do not recognize any interest income for contracts that are greater than 90 days past due.</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Since 1994 we have conducted 76 term securitizations of automobile contracts that we originated under our regular programs. As of December 31, 2017, 18 of those securitizations are active and all are structured as secured financings. We have generally conducted our securitizations on a quarterly basis, near the end of each calendar quarter, resulting in four securitizations per calendar year. In recent years, we have found that the securitizations we conducted in December of those years, had a tendency toward less investor demand in the related bonds than the securitizations we conducted in other times of the year. As a result, in 2015, we elected to defer what would have been our December securitization in favor of a securitization in January 2016, and since then have conducted our securitizations near the beginning of each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0" w:type="dxa"/>
            <w:vAlign w:val="bottom"/>
            <w:gridSpan w:val="6"/>
          </w:tcPr>
          <w:p>
            <w:pPr>
              <w:jc w:val="center"/>
              <w:ind w:right="1340"/>
              <w:spacing w:after="0"/>
              <w:rPr>
                <w:sz w:val="20"/>
                <w:szCs w:val="20"/>
                <w:color w:val="auto"/>
              </w:rPr>
            </w:pPr>
            <w:r>
              <w:rPr>
                <w:rFonts w:ascii="Arial" w:cs="Arial" w:eastAsia="Arial" w:hAnsi="Arial"/>
                <w:sz w:val="18"/>
                <w:szCs w:val="18"/>
                <w:color w:val="auto"/>
                <w:w w:val="90"/>
              </w:rPr>
              <w:t>Recent Asset-Backed Securitizations</w:t>
            </w:r>
          </w:p>
        </w:tc>
        <w:tc>
          <w:tcPr>
            <w:tcW w:w="2840" w:type="dxa"/>
            <w:vAlign w:val="bottom"/>
          </w:tcPr>
          <w:p>
            <w:pPr>
              <w:spacing w:after="0"/>
              <w:rPr>
                <w:sz w:val="20"/>
                <w:szCs w:val="20"/>
                <w:color w:val="auto"/>
              </w:rPr>
            </w:pPr>
          </w:p>
        </w:tc>
      </w:tr>
      <w:tr>
        <w:trPr>
          <w:trHeight w:val="445"/>
        </w:trPr>
        <w:tc>
          <w:tcPr>
            <w:tcW w:w="2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Number of Term</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92"/>
              </w:rPr>
              <w:t>Period</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Securitizations</w:t>
            </w:r>
          </w:p>
        </w:tc>
        <w:tc>
          <w:tcPr>
            <w:tcW w:w="1840" w:type="dxa"/>
            <w:vAlign w:val="bottom"/>
            <w:gridSpan w:val="2"/>
          </w:tcPr>
          <w:p>
            <w:pPr>
              <w:spacing w:after="0"/>
              <w:rPr>
                <w:sz w:val="20"/>
                <w:szCs w:val="20"/>
                <w:color w:val="auto"/>
              </w:rPr>
            </w:pPr>
            <w:r>
              <w:rPr>
                <w:rFonts w:ascii="Arial" w:cs="Arial" w:eastAsia="Arial" w:hAnsi="Arial"/>
                <w:sz w:val="18"/>
                <w:szCs w:val="18"/>
                <w:color w:val="auto"/>
                <w:w w:val="98"/>
              </w:rPr>
              <w:t>Amount of Receivables</w:t>
            </w:r>
          </w:p>
        </w:tc>
        <w:tc>
          <w:tcPr>
            <w:tcW w:w="2840" w:type="dxa"/>
            <w:vAlign w:val="bottom"/>
          </w:tcPr>
          <w:p>
            <w:pPr>
              <w:spacing w:after="0"/>
              <w:rPr>
                <w:sz w:val="20"/>
                <w:szCs w:val="20"/>
                <w:color w:val="auto"/>
              </w:rPr>
            </w:pPr>
          </w:p>
        </w:tc>
      </w:tr>
      <w:tr>
        <w:trPr>
          <w:trHeight w:val="210"/>
        </w:trPr>
        <w:tc>
          <w:tcPr>
            <w:tcW w:w="28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2007</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1,118,097</w:t>
            </w:r>
          </w:p>
        </w:tc>
        <w:tc>
          <w:tcPr>
            <w:tcW w:w="12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89"/>
              </w:rPr>
              <w:t>2008</w:t>
            </w:r>
          </w:p>
        </w:tc>
        <w:tc>
          <w:tcPr>
            <w:tcW w:w="236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509,022</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2009</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EEEEEE"/>
          </w:tcPr>
          <w:p>
            <w:pPr>
              <w:spacing w:after="0"/>
              <w:rPr>
                <w:sz w:val="18"/>
                <w:szCs w:val="18"/>
                <w:color w:val="auto"/>
              </w:rPr>
            </w:pPr>
          </w:p>
        </w:tc>
        <w:tc>
          <w:tcPr>
            <w:tcW w:w="1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89"/>
              </w:rPr>
              <w:t>2010</w:t>
            </w:r>
          </w:p>
        </w:tc>
        <w:tc>
          <w:tcPr>
            <w:tcW w:w="236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103,772</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2011</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335,593</w:t>
            </w:r>
          </w:p>
        </w:tc>
        <w:tc>
          <w:tcPr>
            <w:tcW w:w="12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89"/>
              </w:rPr>
              <w:t>2012</w:t>
            </w:r>
          </w:p>
        </w:tc>
        <w:tc>
          <w:tcPr>
            <w:tcW w:w="236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603,500</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2013</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12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89"/>
              </w:rPr>
              <w:t>2014</w:t>
            </w:r>
          </w:p>
        </w:tc>
        <w:tc>
          <w:tcPr>
            <w:tcW w:w="236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923,000</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2015</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2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89"/>
              </w:rPr>
              <w:t>2016</w:t>
            </w:r>
          </w:p>
        </w:tc>
        <w:tc>
          <w:tcPr>
            <w:tcW w:w="236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1,214,997</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300" w:type="dxa"/>
            <w:vAlign w:val="bottom"/>
            <w:shd w:val="clear" w:color="auto" w:fill="EEEEEE"/>
          </w:tcPr>
          <w:p>
            <w:pPr>
              <w:jc w:val="center"/>
              <w:ind w:left="290"/>
              <w:spacing w:after="0"/>
              <w:rPr>
                <w:sz w:val="20"/>
                <w:szCs w:val="20"/>
                <w:color w:val="auto"/>
              </w:rPr>
            </w:pPr>
            <w:r>
              <w:rPr>
                <w:rFonts w:ascii="Arial" w:cs="Arial" w:eastAsia="Arial" w:hAnsi="Arial"/>
                <w:sz w:val="18"/>
                <w:szCs w:val="18"/>
                <w:color w:val="auto"/>
                <w:w w:val="89"/>
              </w:rPr>
              <w:t>2017</w:t>
            </w:r>
          </w:p>
        </w:tc>
        <w:tc>
          <w:tcPr>
            <w:tcW w:w="2360" w:type="dxa"/>
            <w:vAlign w:val="bottom"/>
            <w:gridSpan w:val="3"/>
            <w:shd w:val="clear" w:color="auto" w:fill="EEEEEE"/>
          </w:tcPr>
          <w:p>
            <w:pPr>
              <w:jc w:val="center"/>
              <w:ind w:left="490"/>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EEEEEE"/>
          </w:tcPr>
          <w:p>
            <w:pPr>
              <w:spacing w:after="0"/>
              <w:rPr>
                <w:sz w:val="18"/>
                <w:szCs w:val="18"/>
                <w:color w:val="auto"/>
              </w:rPr>
            </w:pP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120" w:type="dxa"/>
            <w:vAlign w:val="bottom"/>
            <w:shd w:val="clear" w:color="auto" w:fill="EEEEEE"/>
          </w:tcPr>
          <w:p>
            <w:pPr>
              <w:spacing w:after="0"/>
              <w:rPr>
                <w:sz w:val="18"/>
                <w:szCs w:val="18"/>
                <w:color w:val="auto"/>
              </w:rPr>
            </w:pPr>
          </w:p>
        </w:tc>
        <w:tc>
          <w:tcPr>
            <w:tcW w:w="2840" w:type="dxa"/>
            <w:vAlign w:val="bottom"/>
          </w:tcPr>
          <w:p>
            <w:pPr>
              <w:spacing w:after="0"/>
              <w:rPr>
                <w:sz w:val="18"/>
                <w:szCs w:val="18"/>
                <w:color w:val="auto"/>
              </w:rPr>
            </w:pPr>
          </w:p>
        </w:tc>
      </w:tr>
      <w:tr>
        <w:trPr>
          <w:trHeight w:val="864"/>
        </w:trPr>
        <w:tc>
          <w:tcPr>
            <w:tcW w:w="28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we had one such residual interest financing outstanding which was repaid in full in November 2016.</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acquisitions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2017, we entered into a $100 million facility with a revolving period extending to April 2019 followed by an amortization period to April 2021. In November 2017, we entered into a third $100 million facility, which has a revolving period extending to November 2019, followed by an amortization period to November 2021.</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2017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ind w:firstLine="648"/>
        <w:spacing w:after="0" w:line="254" w:lineRule="auto"/>
        <w:rPr>
          <w:sz w:val="20"/>
          <w:szCs w:val="20"/>
          <w:color w:val="auto"/>
        </w:rPr>
      </w:pPr>
      <w:r>
        <w:rPr>
          <w:rFonts w:ascii="Arial" w:cs="Arial" w:eastAsia="Arial" w:hAnsi="Arial"/>
          <w:sz w:val="18"/>
          <w:szCs w:val="18"/>
          <w:color w:val="auto"/>
        </w:rPr>
        <w:t>The Dodd-Frank Wall Street Reform and Consumer Protection Act (the “Dodd-Frank Act”) was enacted in July 2010, and many of its provisions became effective in July 2011. The Dodd-Frank Act restructured the regulation and supervision of the financial services industry and created the Consumer Financial Protection Bureau (the “CFPB”).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The CFPB also has authority to interpret, enforce and issue regulations implementing enumerated consumer laws, including certain laws that apply to us. Further, the CFPB has general supervisory and examination authority over non-depository “larger participants” in the market for automotive finance companies. We are subject to such supervision and examination.</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For example, in March 2013, the CFPB stated its view that policies of indirect auto lenders that allow auto dealers to mark up lender-established buy rates and that compensate dealers for those markups could present a risk of impermissible pricing disparities on the basis of race and national origin, and potentially other prohibited bases.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2017, we had 999 employees. The breakdown of the employees is as follows: 10 were senior management personnel; 572 were servicing personnel; 212 were automobile contract origination personnel; 120 were marketing personnel and program development (76 of whom were marketing representatives); 85 were various administration personnel including human resources, legal, accounting and systems. We believe that our relations with our employees are good. We are not a party to any collective bargaining agreement.</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78"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expect to earn quarterly profits during 2018;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throughout the six years ended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requires that warehouse credit facilities be available in order to purchase significant volumes of receivables.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sale of the notes, funds advanced under one or more warehouse credit facilities are repaid from the proceeds. Our current short-term funding capacity is $300 million, comprising three credit facilities, each with a maximum credit limit of $100 million. Each of the three warehouse credit facilities includes a revolving period during which we may receive advances secured by contributed automobile contracts, followed by an amortization period during which no further advances may be made, but prior to which outstanding advances are due and payable. See “Management’s Discussion and Analysis of Financial Condition and Results of Operations – Liquidity and Capital Resources – Liquidity”.</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stated elsewhere in this report, 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and thereafter, as compared to 2008 and 2009, if the market conditions for asset-backed securitizations should reverse, we could expect a material adverse effect on our results of operations.</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93"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6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54" w:lineRule="exact"/>
        <w:rPr>
          <w:sz w:val="20"/>
          <w:szCs w:val="20"/>
          <w:color w:val="auto"/>
        </w:rPr>
      </w:pPr>
    </w:p>
    <w:p>
      <w:pPr>
        <w:ind w:left="340" w:right="80" w:hanging="332"/>
        <w:spacing w:after="0" w:line="25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6" w:name="page17"/>
    <w:bookmarkEnd w:id="16"/>
    <w:p>
      <w:pPr>
        <w:ind w:right="100" w:firstLine="648"/>
        <w:spacing w:after="0" w:line="272"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27 securitization transactions we executed from 2010 through 2017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credit spread between the interest rates payable on our securitization trust debt and the rates payable on risk-free investments has varied. As of the date of this report, it is the consensus of market observers that interest rates on risk-free debt will rise within the next year. If interest rates on risk-free debt do increase, or if our spread above risk-free rates should increase, or both, we would expect increased interest expense, which would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Corporation.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6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2017 and 2016, no single dealer accounted for as much as 1%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senior management team averages over 20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materially comply with all laws and regulations applicable to us could materially and adversely affect our ability to operate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numerous federal and state consumer protection laws and regulations, which, among other things:</w:t>
      </w:r>
    </w:p>
    <w:p>
      <w:pPr>
        <w:spacing w:after="0" w:line="21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8" w:name="page19"/>
    <w:bookmarkEnd w:id="18"/>
    <w:p>
      <w:pPr>
        <w:ind w:firstLine="648"/>
        <w:spacing w:after="0" w:line="270"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 inquiry into our practices, and proposed remedial action against us in 2014, to which we consented. The CFPB has adopted regulations that place us and other companies similar to us under its supervision. Our industry has also been under investigation by the United States Department of Justice, which is conducting an inquiry that appears to be focused on securitization practices. In that inquiry, we received a subpoena in January 2015, which required that we produce specified documents. We have been advised by the Department of Justice that we have provided such information as is required, and that no enforcement action against us is recommended. 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7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2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 and Regulations May Have an Adverse Effect on Our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("Dodd-Frank"), adopted in 2010, made numerous changes to the laws applicable to the consumer financial services industry. Among other things, Dodd-Frank created the CFPB, which is authorized to promulgate and enforce consumer protection regulations relating to financial products and mandated that other federal agencies adopt rules implementing risk retention requirements in securitizations.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are also subject to regulation by each state in which we operate, and such states’ laws and regulations, and the interpretations thereof, also change from time to time.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Compliance with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Risk Retention Rules May Limit Our Liquidity and Increase Our Capital Requirements.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Securitizations of automobile receivables after December 2016 are subject to rick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Because the rule places an upper limit on the degree to which we may use financial leverage in our securitization structures may require more capital of us, or may release less cash to us, than might be the case in the absence of such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39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currently have and will continue to have a substantial amount of indebtedness. At December 31, 2017, we had approximately $2,212.2 million of debt outstanding. Such debt consisted primarily of $2,083.2 million of securitization trust debt, $112.4 million of warehouse lines of credit and $16.6 million in subordinated renewable notes. We are also currently offering the subordinated renewable notes to the public on a continuous basis, and such notes have maturities that range from three months to 10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300" w:right="8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300" w:right="7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Florida, North Carolina and Pennsylvania,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2017, our directors and executive officers collectively owned 5,186,796 shares of our common stock, or approximately 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33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Our principal executive offices are located in Las Vegas, Nevada, where we currently lease approximately 38,000 square feet of general office space from an unaffiliated lessor. The annual base rent is approximately $1.3 million, increasing to approximately $1.5 million through 2022.</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Our operating headquarters are located in Irvine, California, where we currently lease approximately 129,000 square feet of general office space from an unaffiliated lessor. The annual base rent is approximately $3.9 million, increasing to approximately $4.5 million through 2022.</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remaining three regional servicing centers occupy a total of approximately 57,000 square feet of leased space in Chesapeake, Virginia; Maitland, Florida; and Lombard, Illinois. The termination dates of such leases range from 2019 to 2025. The annual base rent for these facilities total approximately $1.0 million increasing to approximately $1.3 million through 2025.</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w:t>
      </w:r>
      <w:r>
        <w:rPr>
          <w:rFonts w:ascii="Arial" w:cs="Arial" w:eastAsia="Arial" w:hAnsi="Arial"/>
          <w:sz w:val="17"/>
          <w:szCs w:val="17"/>
          <w:i w:val="1"/>
          <w:iCs w:val="1"/>
          <w:color w:val="auto"/>
        </w:rPr>
        <w:t xml:space="preserve"> </w:t>
      </w:r>
      <w:r>
        <w:rPr>
          <w:rFonts w:ascii="Arial" w:cs="Arial" w:eastAsia="Arial" w:hAnsi="Arial"/>
          <w:sz w:val="17"/>
          <w:szCs w:val="17"/>
          <w:color w:val="auto"/>
        </w:rPr>
        <w:t>to 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There can be no assurance as to the outcomes of the matters described or referenced above. We record at each measurement date,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 of December 31, 2017,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2017 is immaterial, and that the range of reasonably possible losses for the legal proceedings and contingencies we face, including those described or referenced above, as of the same date does not exceed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ind w:right="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contingencies will not be material to our operating results for a particular period, depending on, among other factors, the size of the loss or liability imposed and the level of our income for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400" w:firstLine="648"/>
        <w:spacing w:after="0" w:line="288"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58, has been our President and a director since our formation in March 1991, and was elected Chairman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in July 2001. In January 1992, Mr. Bradley was appointed Chief Executive Officer. From April 1989 to November 1990, he served as Chief Operating Officer of Barnard and Company, a private investment firm. From September 1987 to March 1989, Mr. Bradley, Jr. was an associate of</w:t>
      </w:r>
    </w:p>
    <w:p>
      <w:pPr>
        <w:spacing w:after="0"/>
        <w:rPr>
          <w:sz w:val="20"/>
          <w:szCs w:val="20"/>
          <w:color w:val="auto"/>
        </w:rPr>
      </w:pPr>
      <w:r>
        <w:rPr>
          <w:rFonts w:ascii="Arial" w:cs="Arial" w:eastAsia="Arial" w:hAnsi="Arial"/>
          <w:sz w:val="16"/>
          <w:szCs w:val="16"/>
          <w:color w:val="auto"/>
        </w:rPr>
        <w:t>The Harding Group, a private investment banking firm. Mr. Bradley does not currently serve on the board of directors of any other publicly-traded companies.</w:t>
      </w:r>
    </w:p>
    <w:p>
      <w:pPr>
        <w:spacing w:after="0" w:line="23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58</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Executive Vice President and Chief Financial Officer since March 2014. Prior to that, he was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Michael T. Lavin, </w:t>
      </w:r>
      <w:r>
        <w:rPr>
          <w:rFonts w:ascii="Arial" w:cs="Arial" w:eastAsia="Arial" w:hAnsi="Arial"/>
          <w:sz w:val="17"/>
          <w:szCs w:val="17"/>
          <w:color w:val="auto"/>
        </w:rPr>
        <w:t>45, has been Executive Vice President - Chief Legal Officer since March 2014. Prior to that, he was our Senior Vice President –</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61, has been Senior Vice President – Project Development since May 2010. Previously he was our Senior Vice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Mark A. Creatura, </w:t>
      </w:r>
      <w:r>
        <w:rPr>
          <w:rFonts w:ascii="Arial" w:cs="Arial" w:eastAsia="Arial" w:hAnsi="Arial"/>
          <w:sz w:val="17"/>
          <w:szCs w:val="17"/>
          <w:color w:val="auto"/>
        </w:rPr>
        <w:t>58, has been Senior Vice President – General Counsel since October 1996. From October 1993 through October 1996, he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6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Christopher Terry, 50</w:t>
      </w:r>
      <w:r>
        <w:rPr>
          <w:rFonts w:ascii="Arial" w:cs="Arial" w:eastAsia="Arial" w:hAnsi="Arial"/>
          <w:sz w:val="17"/>
          <w:szCs w:val="17"/>
          <w:color w:val="auto"/>
        </w:rPr>
        <w:t>, has been Senior Vice President of Risk Management since May 2017. Prior to that he was our Senior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from May 2005 to August 2013. He was Senior Vice President of Asset Recovery from August 2013 to May 2017 and from January 2003 to May 2005.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7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55,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51</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w:t>
      </w:r>
      <w:r>
        <w:rPr>
          <w:rFonts w:ascii="Arial" w:cs="Arial" w:eastAsia="Arial" w:hAnsi="Arial"/>
          <w:sz w:val="18"/>
          <w:szCs w:val="18"/>
          <w:i w:val="1"/>
          <w:iCs w:val="1"/>
          <w:color w:val="auto"/>
        </w:rPr>
        <w:t xml:space="preserve"> </w:t>
      </w:r>
      <w:r>
        <w:rPr>
          <w:rFonts w:ascii="Arial" w:cs="Arial" w:eastAsia="Arial" w:hAnsi="Arial"/>
          <w:sz w:val="18"/>
          <w:szCs w:val="18"/>
          <w:color w:val="auto"/>
        </w:rPr>
        <w:t>Recovery 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i w:val="1"/>
          <w:iCs w:val="1"/>
          <w:color w:val="auto"/>
        </w:rPr>
        <w:t>John P. Harton</w:t>
      </w:r>
      <w:r>
        <w:rPr>
          <w:rFonts w:ascii="Arial" w:cs="Arial" w:eastAsia="Arial" w:hAnsi="Arial"/>
          <w:sz w:val="16"/>
          <w:szCs w:val="16"/>
          <w:color w:val="auto"/>
        </w:rPr>
        <w:t>, 53, has been Senior Vice President - Marketing since March 2014. Prior to that, he held the position of Vice President –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since 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Danny Bharwani</w:t>
      </w:r>
      <w:r>
        <w:rPr>
          <w:rFonts w:ascii="Arial" w:cs="Arial" w:eastAsia="Arial" w:hAnsi="Arial"/>
          <w:sz w:val="18"/>
          <w:szCs w:val="18"/>
          <w:color w:val="auto"/>
        </w:rPr>
        <w:t>, 50, has been Senior Vice President – Finance since April 2016. Previously, he was our Vice President – Finance from June 2002.</w:t>
      </w:r>
      <w:r>
        <w:rPr>
          <w:rFonts w:ascii="Arial" w:cs="Arial" w:eastAsia="Arial" w:hAnsi="Arial"/>
          <w:sz w:val="18"/>
          <w:szCs w:val="18"/>
          <w:i w:val="1"/>
          <w:iCs w:val="1"/>
          <w:color w:val="auto"/>
        </w:rPr>
        <w:t xml:space="preserve"> </w:t>
      </w:r>
      <w:r>
        <w:rPr>
          <w:rFonts w:ascii="Arial" w:cs="Arial" w:eastAsia="Arial" w:hAnsi="Arial"/>
          <w:sz w:val="18"/>
          <w:szCs w:val="18"/>
          <w:color w:val="auto"/>
        </w:rPr>
        <w:t>He joined us as Assistant Controller in August 1997. Mr. Bharwani was previously employed as Assistant Controller at The Todd-AO Corporation, from 1989 to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32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r>
      <w:tr>
        <w:trPr>
          <w:trHeight w:val="210"/>
        </w:trPr>
        <w:tc>
          <w:tcPr>
            <w:tcW w:w="53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2016</w:t>
            </w:r>
          </w:p>
        </w:tc>
        <w:tc>
          <w:tcPr>
            <w:tcW w:w="32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5.11</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3.64</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April 1 - June 30, 2016</w:t>
            </w: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2016</w:t>
            </w: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October 1 - December 31, 2016</w:t>
            </w: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2017</w:t>
            </w: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EEEEEE"/>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April 1 - June 30, 2017</w:t>
            </w: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r>
      <w:tr>
        <w:trPr>
          <w:trHeight w:val="216"/>
        </w:trPr>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2017</w:t>
            </w: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EEEEEE"/>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October 1 - December 31, 2017</w:t>
            </w:r>
          </w:p>
        </w:tc>
        <w:tc>
          <w:tcPr>
            <w:tcW w:w="3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4.82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January 1, 2018, there were 30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2017:</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securities to be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issued upon</w:t>
            </w: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exercise of</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exercise price of</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6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outstanding</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options, warrants</w:t>
            </w: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options, warrants</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3640" w:type="dxa"/>
            <w:vAlign w:val="bottom"/>
            <w:gridSpan w:val="2"/>
          </w:tcPr>
          <w:p>
            <w:pPr>
              <w:ind w:left="1180"/>
              <w:spacing w:after="0"/>
              <w:rPr>
                <w:sz w:val="20"/>
                <w:szCs w:val="20"/>
                <w:color w:val="auto"/>
              </w:rPr>
            </w:pPr>
            <w:r>
              <w:rPr>
                <w:rFonts w:ascii="Arial" w:cs="Arial" w:eastAsia="Arial" w:hAnsi="Arial"/>
                <w:sz w:val="18"/>
                <w:szCs w:val="18"/>
                <w:b w:val="1"/>
                <w:bCs w:val="1"/>
                <w:color w:val="auto"/>
              </w:rPr>
              <w:t>Plan category</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6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and rights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plans</w:t>
            </w:r>
          </w:p>
        </w:tc>
      </w:tr>
      <w:tr>
        <w:trPr>
          <w:trHeight w:val="195"/>
        </w:trPr>
        <w:tc>
          <w:tcPr>
            <w:tcW w:w="342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20" w:type="dxa"/>
            <w:vAlign w:val="bottom"/>
            <w:tcBorders>
              <w:top w:val="single" w:sz="8" w:color="EEEEEE"/>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auto"/>
            </w:tcBorders>
            <w:shd w:val="clear" w:color="auto" w:fill="EEEEEE"/>
          </w:tcPr>
          <w:p>
            <w:pPr>
              <w:spacing w:after="0"/>
              <w:rPr>
                <w:sz w:val="16"/>
                <w:szCs w:val="16"/>
                <w:color w:val="auto"/>
              </w:rPr>
            </w:pPr>
          </w:p>
        </w:tc>
        <w:tc>
          <w:tcPr>
            <w:tcW w:w="122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42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r>
      <w:tr>
        <w:trPr>
          <w:trHeight w:val="230"/>
        </w:trPr>
        <w:tc>
          <w:tcPr>
            <w:tcW w:w="36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security holders</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13,135,149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4.66</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2,473,581</w:t>
            </w:r>
          </w:p>
        </w:tc>
        <w:tc>
          <w:tcPr>
            <w:tcW w:w="120" w:type="dxa"/>
            <w:vAlign w:val="bottom"/>
            <w:shd w:val="clear" w:color="auto" w:fill="EEEEEE"/>
          </w:tcPr>
          <w:p>
            <w:pPr>
              <w:spacing w:after="0"/>
              <w:rPr>
                <w:sz w:val="20"/>
                <w:szCs w:val="20"/>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64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13,135,149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2,473,581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2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7"/>
              </w:rPr>
              <w:t>Issuer Purchases of Equity Securities in the Fourth Quarter</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Purchased as</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Part of Publicly</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Average Price</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 Plans</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r>
      <w:tr>
        <w:trPr>
          <w:trHeight w:val="234"/>
        </w:trPr>
        <w:tc>
          <w:tcPr>
            <w:tcW w:w="3040" w:type="dxa"/>
            <w:vAlign w:val="bottom"/>
          </w:tcPr>
          <w:p>
            <w:pPr>
              <w:ind w:left="1940"/>
              <w:spacing w:after="0"/>
              <w:rPr>
                <w:sz w:val="20"/>
                <w:szCs w:val="20"/>
                <w:color w:val="auto"/>
              </w:rPr>
            </w:pPr>
            <w:r>
              <w:rPr>
                <w:rFonts w:ascii="Arial" w:cs="Arial" w:eastAsia="Arial" w:hAnsi="Arial"/>
                <w:sz w:val="18"/>
                <w:szCs w:val="18"/>
                <w:b w:val="1"/>
                <w:bCs w:val="1"/>
                <w:color w:val="auto"/>
              </w:rPr>
              <w:t>Period(1)</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Shares Purchased</w:t>
            </w:r>
          </w:p>
        </w:tc>
        <w:tc>
          <w:tcPr>
            <w:tcW w:w="10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Paid per Share</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or Programs(2)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r>
      <w:tr>
        <w:trPr>
          <w:trHeight w:val="210"/>
        </w:trPr>
        <w:tc>
          <w:tcPr>
            <w:tcW w:w="30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October 2017</w:t>
            </w:r>
          </w:p>
        </w:tc>
        <w:tc>
          <w:tcPr>
            <w:tcW w:w="15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102,923</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102,923</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13,885,083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November 2017</w:t>
            </w:r>
          </w:p>
        </w:tc>
        <w:tc>
          <w:tcPr>
            <w:tcW w:w="3500" w:type="dxa"/>
            <w:vAlign w:val="bottom"/>
            <w:gridSpan w:val="4"/>
          </w:tcPr>
          <w:p>
            <w:pPr>
              <w:jc w:val="right"/>
              <w:ind w:right="340"/>
              <w:spacing w:after="0"/>
              <w:rPr>
                <w:sz w:val="20"/>
                <w:szCs w:val="20"/>
                <w:color w:val="auto"/>
              </w:rPr>
            </w:pPr>
            <w:r>
              <w:rPr>
                <w:rFonts w:ascii="Arial" w:cs="Arial" w:eastAsia="Arial" w:hAnsi="Arial"/>
                <w:sz w:val="18"/>
                <w:szCs w:val="18"/>
                <w:color w:val="auto"/>
              </w:rPr>
              <w:t>117,280</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4.19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117,280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13,393,569</w:t>
            </w:r>
          </w:p>
        </w:tc>
      </w:tr>
      <w:tr>
        <w:trPr>
          <w:trHeight w:val="230"/>
        </w:trPr>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December 2017</w:t>
            </w:r>
          </w:p>
        </w:tc>
        <w:tc>
          <w:tcPr>
            <w:tcW w:w="3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181,289</w:t>
            </w:r>
          </w:p>
        </w:tc>
        <w:tc>
          <w:tcPr>
            <w:tcW w:w="10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4.21</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181,289</w:t>
            </w:r>
          </w:p>
        </w:tc>
        <w:tc>
          <w:tcPr>
            <w:tcW w:w="3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12,630,508</w:t>
            </w: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401,492</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401,492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260" w:right="100" w:hanging="252"/>
        <w:spacing w:after="0" w:line="254" w:lineRule="auto"/>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2017, our board of directors had authorized the purchase of up to $74.5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2017, we have purchased $5.0 million in principal amount of debt securities and $56.9 million of our common stock representing 16,011,857 shares.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As of and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(in thousands, except per share data)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2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0"/>
              </w:rPr>
              <w:t>For the Year Ended December 31,</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424,174</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408,996</w:t>
            </w: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349,912</w:t>
            </w:r>
          </w:p>
        </w:tc>
        <w:tc>
          <w:tcPr>
            <w:tcW w:w="540" w:type="dxa"/>
            <w:vAlign w:val="bottom"/>
            <w:gridSpan w:val="2"/>
            <w:shd w:val="clear" w:color="auto" w:fill="EEEEEE"/>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286,734</w:t>
            </w:r>
          </w:p>
        </w:tc>
        <w:tc>
          <w:tcPr>
            <w:tcW w:w="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10,209</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13,286</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Gain on cancellation of debt</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434,383</w:t>
            </w:r>
          </w:p>
        </w:tc>
        <w:tc>
          <w:tcPr>
            <w:tcW w:w="2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422,282</w:t>
            </w:r>
          </w:p>
        </w:tc>
        <w:tc>
          <w:tcPr>
            <w:tcW w:w="26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363,650</w:t>
            </w:r>
          </w:p>
        </w:tc>
        <w:tc>
          <w:tcPr>
            <w:tcW w:w="10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300,256</w:t>
            </w:r>
          </w:p>
        </w:tc>
        <w:tc>
          <w:tcPr>
            <w:tcW w:w="10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Employee costs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72,967</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65,549</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59,556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50,287</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48,620</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42,349</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39,262</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92,345</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79,941</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57,745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186,713</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178,511</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142,618</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108,228</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Provision for contingent liabilities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402,312</w:t>
            </w:r>
          </w:p>
        </w:tc>
        <w:tc>
          <w:tcPr>
            <w:tcW w:w="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372,621</w:t>
            </w:r>
          </w:p>
        </w:tc>
        <w:tc>
          <w:tcPr>
            <w:tcW w:w="2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302,268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218,602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32,071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28,306</w:t>
            </w: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20,361</w:t>
            </w: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26,701</w:t>
            </w:r>
          </w:p>
        </w:tc>
        <w:tc>
          <w:tcPr>
            <w:tcW w:w="1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22,726</w:t>
            </w:r>
          </w:p>
        </w:tc>
        <w:tc>
          <w:tcPr>
            <w:tcW w:w="1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29,300</w:t>
            </w:r>
          </w:p>
        </w:tc>
        <w:tc>
          <w:tcPr>
            <w:tcW w:w="26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1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Earnings per share-basic</w:t>
            </w:r>
          </w:p>
        </w:tc>
        <w:tc>
          <w:tcPr>
            <w:tcW w:w="280" w:type="dxa"/>
            <w:vAlign w:val="bottom"/>
            <w:shd w:val="clear" w:color="auto" w:fill="EEEEEE"/>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0.17</w:t>
            </w: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shd w:val="clear" w:color="auto" w:fill="EEEEEE"/>
          </w:tcPr>
          <w:p>
            <w:pPr>
              <w:spacing w:after="0"/>
              <w:rPr>
                <w:sz w:val="17"/>
                <w:szCs w:val="17"/>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1.34</w:t>
            </w: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0" w:type="dxa"/>
            <w:vAlign w:val="bottom"/>
            <w:shd w:val="clear" w:color="auto" w:fill="EEEEEE"/>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1.18</w:t>
            </w: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80" w:type="dxa"/>
            <w:vAlign w:val="bottom"/>
            <w:shd w:val="clear" w:color="auto" w:fill="EEEEEE"/>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0.98</w:t>
            </w: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Pre-tax income per share-basic (1)</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2.04</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2.37</w:t>
            </w:r>
          </w:p>
        </w:tc>
        <w:tc>
          <w:tcPr>
            <w:tcW w:w="540" w:type="dxa"/>
            <w:vAlign w:val="bottom"/>
            <w:gridSpan w:val="2"/>
            <w:shd w:val="clear" w:color="auto" w:fill="EEEEEE"/>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2.09</w:t>
            </w:r>
          </w:p>
        </w:tc>
        <w:tc>
          <w:tcPr>
            <w:tcW w:w="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Pre-tax income per share-diluted (2)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outstanding-basic</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22,687</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24,356</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25,935</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25,040</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27,214</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29,035</w:t>
            </w: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31,584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31,574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2,424,841</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2,410,402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2,128,925</w:t>
            </w:r>
          </w:p>
        </w:tc>
        <w:tc>
          <w:tcPr>
            <w:tcW w:w="5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1,833,058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12,731</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13,936</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19,322</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17,859</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111,965</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112,754</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106,054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175,382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1,909,490</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9"/>
              </w:rPr>
              <w:t>1,534,496</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112,408</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103,358</w:t>
            </w:r>
          </w:p>
        </w:tc>
        <w:tc>
          <w:tcPr>
            <w:tcW w:w="2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194,056</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99"/>
              </w:rPr>
              <w:t>Debt secured by receivables measured at fair value</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2,083,215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2,080,900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1,720,021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1,598,496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16,566</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14,949</w:t>
            </w: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15,233</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183,937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186,218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161,159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94,602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180" w:hanging="332"/>
        <w:spacing w:after="0" w:line="258"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benefit divided by weighted average shares outstanding-basic. Included for illustrative purposes because some of the periods presented include significant income tax expense.</w:t>
      </w:r>
    </w:p>
    <w:p>
      <w:pPr>
        <w:spacing w:after="0" w:line="1" w:lineRule="exact"/>
        <w:rPr>
          <w:rFonts w:ascii="Arial" w:cs="Arial" w:eastAsia="Arial" w:hAnsi="Arial"/>
          <w:sz w:val="18"/>
          <w:szCs w:val="18"/>
          <w:i w:val="1"/>
          <w:iCs w:val="1"/>
          <w:color w:val="auto"/>
        </w:rPr>
      </w:pPr>
    </w:p>
    <w:p>
      <w:pPr>
        <w:ind w:left="340" w:right="60" w:hanging="332"/>
        <w:spacing w:after="0" w:line="261"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income tax benefit divided by weighted average shares outstanding-diluted. Included for illustrative purposes because some of the periods presented include significant income tax expense.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As of and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7"/>
          </w:tcPr>
          <w:p>
            <w:pPr>
              <w:ind w:left="20"/>
              <w:spacing w:after="0"/>
              <w:rPr>
                <w:sz w:val="20"/>
                <w:szCs w:val="20"/>
                <w:color w:val="auto"/>
              </w:rPr>
            </w:pPr>
            <w:r>
              <w:rPr>
                <w:rFonts w:ascii="Arial" w:cs="Arial" w:eastAsia="Arial" w:hAnsi="Arial"/>
                <w:sz w:val="18"/>
                <w:szCs w:val="18"/>
                <w:b w:val="1"/>
                <w:bCs w:val="1"/>
                <w:color w:val="auto"/>
                <w:w w:val="96"/>
              </w:rPr>
              <w:t>For the Year Ended December 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Contract Originations / Securitizations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Automobile contract originations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859,069</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1,088,785</w:t>
            </w: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1,060,538</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944,944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Automobile contracts securitized</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1,214,997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795,000</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924,000</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Managed Portfolio Data</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held by consolidated subsidiaries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2,333,497</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2,307,956</w:t>
            </w:r>
          </w:p>
        </w:tc>
        <w:tc>
          <w:tcPr>
            <w:tcW w:w="2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2,030,652</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1,640,536</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Fireside portfolio</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held by non-consolidated subsidiaries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portfolios (1)</w:t>
            </w:r>
          </w:p>
        </w:tc>
        <w:tc>
          <w:tcPr>
            <w:tcW w:w="28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managed portfolio</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2,333,530</w:t>
            </w:r>
          </w:p>
        </w:tc>
        <w:tc>
          <w:tcPr>
            <w:tcW w:w="24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2,308,070</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Average managed portfolio</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2,334,015</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2,226,073</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1,847,945</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1,422,870</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1,081,936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Weighted average fixed effective interest rate (total</w:t>
            </w: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managed portfolio) (2)</w:t>
            </w:r>
          </w:p>
        </w:tc>
        <w:tc>
          <w:tcPr>
            <w:tcW w:w="28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Core operating expenses (% of average managed</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portfolio) (3)</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Allowance for finance credit losses</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95,578</w:t>
            </w: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75,603</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61,460</w:t>
            </w:r>
          </w:p>
        </w:tc>
        <w:tc>
          <w:tcPr>
            <w:tcW w:w="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39,626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rPr>
              <w:t>Allowance for finance credit losses (of of total</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contracts held by subsidiaries)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Aggregate allowance for finance credit losses and</w:t>
            </w: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repossessions in inventory</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133,211</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124,503</w:t>
            </w:r>
          </w:p>
        </w:tc>
        <w:tc>
          <w:tcPr>
            <w:tcW w:w="2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102,557</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79,289</w:t>
            </w:r>
          </w:p>
        </w:tc>
        <w:tc>
          <w:tcPr>
            <w:tcW w:w="380" w:type="dxa"/>
            <w:vAlign w:val="bottom"/>
            <w:gridSpan w:val="2"/>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9"/>
              </w:rPr>
              <w:t>Aggregate allowance for finance credit losses (% of</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repossessions in inventory and contracts held by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consolidated subsidiaries)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 (4)</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9.8%</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3"/>
              </w:rPr>
              <w:t>Total delinquencies and repossessions in inventory (2)</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Net charge-offs (2) (5)</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340" w:right="12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340" w:right="200" w:hanging="332"/>
        <w:spacing w:after="0" w:line="250"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340" w:right="160" w:hanging="332"/>
        <w:spacing w:after="0" w:line="254" w:lineRule="auto"/>
        <w:tabs>
          <w:tab w:leader="none" w:pos="3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December 31, 2017, we have originated a total of approximately $14.3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80" w:type="dxa"/>
            <w:vAlign w:val="bottom"/>
            <w:gridSpan w:val="5"/>
          </w:tcPr>
          <w:p>
            <w:pPr>
              <w:jc w:val="right"/>
              <w:ind w:right="16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Contracts Purchased in</w:t>
            </w:r>
          </w:p>
        </w:tc>
        <w:tc>
          <w:tcPr>
            <w:tcW w:w="1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20" w:type="dxa"/>
            <w:vAlign w:val="bottom"/>
          </w:tcPr>
          <w:p>
            <w:pPr>
              <w:spacing w:after="0"/>
              <w:rPr>
                <w:sz w:val="16"/>
                <w:szCs w:val="16"/>
                <w:color w:val="auto"/>
              </w:rPr>
            </w:pPr>
          </w:p>
        </w:tc>
      </w:tr>
      <w:tr>
        <w:trPr>
          <w:trHeight w:val="234"/>
        </w:trPr>
        <w:tc>
          <w:tcPr>
            <w:tcW w:w="1880" w:type="dxa"/>
            <w:vAlign w:val="bottom"/>
            <w:gridSpan w:val="2"/>
          </w:tcPr>
          <w:p>
            <w:pPr>
              <w:ind w:left="66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0"/>
                <w:szCs w:val="20"/>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Period End</w:t>
            </w:r>
          </w:p>
        </w:tc>
      </w:tr>
      <w:tr>
        <w:trPr>
          <w:trHeight w:val="210"/>
        </w:trPr>
        <w:tc>
          <w:tcPr>
            <w:tcW w:w="1680" w:type="dxa"/>
            <w:vAlign w:val="bottom"/>
            <w:tcBorders>
              <w:top w:val="single" w:sz="8" w:color="auto"/>
            </w:tcBorders>
            <w:shd w:val="clear" w:color="auto" w:fill="EEEEEE"/>
          </w:tcPr>
          <w:p>
            <w:pPr>
              <w:ind w:left="660"/>
              <w:spacing w:after="0"/>
              <w:rPr>
                <w:sz w:val="20"/>
                <w:szCs w:val="20"/>
                <w:color w:val="auto"/>
              </w:rPr>
            </w:pPr>
            <w:r>
              <w:rPr>
                <w:rFonts w:ascii="Arial" w:cs="Arial" w:eastAsia="Arial" w:hAnsi="Arial"/>
                <w:sz w:val="18"/>
                <w:szCs w:val="18"/>
                <w:color w:val="333333"/>
              </w:rPr>
              <w:t>2008</w:t>
            </w:r>
          </w:p>
        </w:tc>
        <w:tc>
          <w:tcPr>
            <w:tcW w:w="2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8,599</w:t>
            </w:r>
          </w:p>
        </w:tc>
        <w:tc>
          <w:tcPr>
            <w:tcW w:w="10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1,194,722</w:t>
            </w:r>
          </w:p>
        </w:tc>
      </w:tr>
      <w:tr>
        <w:trPr>
          <w:trHeight w:val="216"/>
        </w:trPr>
        <w:tc>
          <w:tcPr>
            <w:tcW w:w="1680" w:type="dxa"/>
            <w:vAlign w:val="bottom"/>
            <w:shd w:val="clear" w:color="auto" w:fill="EEEEEE"/>
          </w:tcPr>
          <w:p>
            <w:pPr>
              <w:ind w:left="66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113,023</w:t>
            </w:r>
          </w:p>
        </w:tc>
        <w:tc>
          <w:tcPr>
            <w:tcW w:w="1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756,203</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284,236</w:t>
            </w:r>
          </w:p>
        </w:tc>
        <w:tc>
          <w:tcPr>
            <w:tcW w:w="10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794,649</w:t>
            </w:r>
          </w:p>
        </w:tc>
      </w:tr>
      <w:tr>
        <w:trPr>
          <w:trHeight w:val="216"/>
        </w:trPr>
        <w:tc>
          <w:tcPr>
            <w:tcW w:w="1680" w:type="dxa"/>
            <w:vAlign w:val="bottom"/>
            <w:shd w:val="clear" w:color="auto" w:fill="EEEEEE"/>
          </w:tcPr>
          <w:p>
            <w:pPr>
              <w:ind w:left="66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551,742</w:t>
            </w:r>
          </w:p>
        </w:tc>
        <w:tc>
          <w:tcPr>
            <w:tcW w:w="1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897,575</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333333"/>
              </w:rPr>
              <w:t>2013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764,087</w:t>
            </w:r>
          </w:p>
        </w:tc>
        <w:tc>
          <w:tcPr>
            <w:tcW w:w="10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1,231,422</w:t>
            </w:r>
          </w:p>
        </w:tc>
      </w:tr>
      <w:tr>
        <w:trPr>
          <w:trHeight w:val="216"/>
        </w:trPr>
        <w:tc>
          <w:tcPr>
            <w:tcW w:w="1680" w:type="dxa"/>
            <w:vAlign w:val="bottom"/>
            <w:shd w:val="clear" w:color="auto" w:fill="EEEEEE"/>
          </w:tcPr>
          <w:p>
            <w:pPr>
              <w:ind w:left="660"/>
              <w:spacing w:after="0"/>
              <w:rPr>
                <w:sz w:val="20"/>
                <w:szCs w:val="20"/>
                <w:color w:val="auto"/>
              </w:rPr>
            </w:pPr>
            <w:r>
              <w:rPr>
                <w:rFonts w:ascii="Arial" w:cs="Arial" w:eastAsia="Arial" w:hAnsi="Arial"/>
                <w:sz w:val="18"/>
                <w:szCs w:val="18"/>
                <w:color w:val="333333"/>
              </w:rPr>
              <w:t>2014</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944,944</w:t>
            </w:r>
          </w:p>
        </w:tc>
        <w:tc>
          <w:tcPr>
            <w:tcW w:w="1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1,643,920</w:t>
            </w:r>
          </w:p>
        </w:tc>
      </w:tr>
      <w:tr>
        <w:trPr>
          <w:trHeight w:val="216"/>
        </w:trPr>
        <w:tc>
          <w:tcPr>
            <w:tcW w:w="1680" w:type="dxa"/>
            <w:vAlign w:val="bottom"/>
          </w:tcPr>
          <w:p>
            <w:pPr>
              <w:ind w:left="660"/>
              <w:spacing w:after="0"/>
              <w:rPr>
                <w:sz w:val="20"/>
                <w:szCs w:val="20"/>
                <w:color w:val="auto"/>
              </w:rPr>
            </w:pPr>
            <w:r>
              <w:rPr>
                <w:rFonts w:ascii="Arial" w:cs="Arial" w:eastAsia="Arial" w:hAnsi="Arial"/>
                <w:sz w:val="18"/>
                <w:szCs w:val="18"/>
                <w:color w:val="333333"/>
              </w:rPr>
              <w:t>2015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1,060,538</w:t>
            </w:r>
          </w:p>
        </w:tc>
        <w:tc>
          <w:tcPr>
            <w:tcW w:w="100" w:type="dxa"/>
            <w:vAlign w:val="bottom"/>
          </w:tcPr>
          <w:p>
            <w:pPr>
              <w:spacing w:after="0"/>
              <w:rPr>
                <w:sz w:val="18"/>
                <w:szCs w:val="18"/>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2,031,136</w:t>
            </w:r>
          </w:p>
        </w:tc>
      </w:tr>
      <w:tr>
        <w:trPr>
          <w:trHeight w:val="216"/>
        </w:trPr>
        <w:tc>
          <w:tcPr>
            <w:tcW w:w="1680" w:type="dxa"/>
            <w:vAlign w:val="bottom"/>
            <w:shd w:val="clear" w:color="auto" w:fill="EEEEEE"/>
          </w:tcPr>
          <w:p>
            <w:pPr>
              <w:ind w:left="660"/>
              <w:spacing w:after="0"/>
              <w:rPr>
                <w:sz w:val="20"/>
                <w:szCs w:val="20"/>
                <w:color w:val="auto"/>
              </w:rPr>
            </w:pPr>
            <w:r>
              <w:rPr>
                <w:rFonts w:ascii="Arial" w:cs="Arial" w:eastAsia="Arial" w:hAnsi="Arial"/>
                <w:sz w:val="18"/>
                <w:szCs w:val="18"/>
                <w:color w:val="333333"/>
              </w:rPr>
              <w:t>2016</w:t>
            </w:r>
          </w:p>
        </w:tc>
        <w:tc>
          <w:tcPr>
            <w:tcW w:w="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1,088,785</w:t>
            </w:r>
          </w:p>
        </w:tc>
        <w:tc>
          <w:tcPr>
            <w:tcW w:w="100" w:type="dxa"/>
            <w:vAlign w:val="bottom"/>
            <w:shd w:val="clear" w:color="auto" w:fill="EEEEEE"/>
          </w:tcPr>
          <w:p>
            <w:pPr>
              <w:spacing w:after="0"/>
              <w:rPr>
                <w:sz w:val="18"/>
                <w:szCs w:val="18"/>
                <w:color w:val="auto"/>
              </w:rPr>
            </w:pPr>
          </w:p>
        </w:tc>
        <w:tc>
          <w:tcPr>
            <w:tcW w:w="1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2,308,070</w:t>
            </w:r>
          </w:p>
        </w:tc>
      </w:tr>
      <w:tr>
        <w:trPr>
          <w:trHeight w:val="230"/>
        </w:trPr>
        <w:tc>
          <w:tcPr>
            <w:tcW w:w="1680" w:type="dxa"/>
            <w:vAlign w:val="bottom"/>
          </w:tcPr>
          <w:p>
            <w:pPr>
              <w:ind w:left="660"/>
              <w:spacing w:after="0"/>
              <w:rPr>
                <w:sz w:val="20"/>
                <w:szCs w:val="20"/>
                <w:color w:val="auto"/>
              </w:rPr>
            </w:pPr>
            <w:r>
              <w:rPr>
                <w:rFonts w:ascii="Arial" w:cs="Arial" w:eastAsia="Arial" w:hAnsi="Arial"/>
                <w:sz w:val="18"/>
                <w:szCs w:val="18"/>
                <w:color w:val="333333"/>
              </w:rPr>
              <w:t>2017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859,069</w:t>
            </w:r>
          </w:p>
        </w:tc>
        <w:tc>
          <w:tcPr>
            <w:tcW w:w="1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2,333,530</w:t>
            </w:r>
          </w:p>
        </w:tc>
      </w:tr>
    </w:tbl>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ind w:right="220"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Since 1994 we have conducted 76 term securitizations of automobile contracts that we originated. As of December 31, 2017, 18 of those securitizations are active and are structured as secured financings.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history of term securitizations, over the most recent ten years, is summarized in the table below:</w:t>
      </w:r>
    </w:p>
    <w:p>
      <w:pPr>
        <w:spacing w:after="0" w:line="221"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800" w:type="dxa"/>
            <w:vAlign w:val="bottom"/>
            <w:gridSpan w:val="6"/>
          </w:tcPr>
          <w:p>
            <w:pPr>
              <w:jc w:val="right"/>
              <w:ind w:right="1400"/>
              <w:spacing w:after="0"/>
              <w:rPr>
                <w:sz w:val="20"/>
                <w:szCs w:val="20"/>
                <w:color w:val="auto"/>
              </w:rPr>
            </w:pPr>
            <w:r>
              <w:rPr>
                <w:rFonts w:ascii="Arial" w:cs="Arial" w:eastAsia="Arial" w:hAnsi="Arial"/>
                <w:sz w:val="18"/>
                <w:szCs w:val="18"/>
                <w:b w:val="1"/>
                <w:bCs w:val="1"/>
                <w:color w:val="auto"/>
                <w:w w:val="92"/>
              </w:rPr>
              <w:t>Recent Asset-Backed Term Securitizations</w:t>
            </w: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80" w:type="dxa"/>
            <w:vAlign w:val="bottom"/>
            <w:gridSpan w:val="4"/>
          </w:tcPr>
          <w:p>
            <w:pPr>
              <w:jc w:val="right"/>
              <w:ind w:right="16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12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Period</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Securitizations</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Amount of Receivables</w:t>
            </w:r>
          </w:p>
        </w:tc>
      </w:tr>
      <w:tr>
        <w:trPr>
          <w:trHeight w:val="210"/>
        </w:trPr>
        <w:tc>
          <w:tcPr>
            <w:tcW w:w="1240" w:type="dxa"/>
            <w:vAlign w:val="bottom"/>
            <w:tcBorders>
              <w:top w:val="single" w:sz="8" w:color="auto"/>
            </w:tcBorders>
            <w:shd w:val="clear" w:color="auto" w:fill="EEEEEE"/>
          </w:tcPr>
          <w:p>
            <w:pPr>
              <w:jc w:val="center"/>
              <w:ind w:left="310"/>
              <w:spacing w:after="0"/>
              <w:rPr>
                <w:sz w:val="20"/>
                <w:szCs w:val="20"/>
                <w:color w:val="auto"/>
              </w:rPr>
            </w:pPr>
            <w:r>
              <w:rPr>
                <w:rFonts w:ascii="Arial" w:cs="Arial" w:eastAsia="Arial" w:hAnsi="Arial"/>
                <w:sz w:val="18"/>
                <w:szCs w:val="18"/>
                <w:color w:val="333333"/>
                <w:w w:val="89"/>
              </w:rPr>
              <w:t>2008</w:t>
            </w:r>
          </w:p>
        </w:tc>
        <w:tc>
          <w:tcPr>
            <w:tcW w:w="4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940" w:type="dxa"/>
            <w:vAlign w:val="bottom"/>
            <w:tcBorders>
              <w:top w:val="single" w:sz="8" w:color="auto"/>
            </w:tcBorders>
            <w:shd w:val="clear" w:color="auto" w:fill="EEEEEE"/>
          </w:tcPr>
          <w:p>
            <w:pPr>
              <w:jc w:val="right"/>
              <w:ind w:right="770"/>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1240" w:type="dxa"/>
            <w:vAlign w:val="bottom"/>
          </w:tcPr>
          <w:p>
            <w:pPr>
              <w:jc w:val="center"/>
              <w:ind w:left="310"/>
              <w:spacing w:after="0"/>
              <w:rPr>
                <w:sz w:val="20"/>
                <w:szCs w:val="20"/>
                <w:color w:val="auto"/>
              </w:rPr>
            </w:pPr>
            <w:r>
              <w:rPr>
                <w:rFonts w:ascii="Arial" w:cs="Arial" w:eastAsia="Arial" w:hAnsi="Arial"/>
                <w:sz w:val="18"/>
                <w:szCs w:val="18"/>
                <w:color w:val="333333"/>
                <w:w w:val="89"/>
              </w:rPr>
              <w:t>2009</w:t>
            </w:r>
          </w:p>
        </w:tc>
        <w:tc>
          <w:tcPr>
            <w:tcW w:w="2560" w:type="dxa"/>
            <w:vAlign w:val="bottom"/>
            <w:gridSpan w:val="3"/>
          </w:tcPr>
          <w:p>
            <w:pPr>
              <w:jc w:val="right"/>
              <w:ind w:right="77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2010</w:t>
            </w:r>
          </w:p>
        </w:tc>
        <w:tc>
          <w:tcPr>
            <w:tcW w:w="2560" w:type="dxa"/>
            <w:vAlign w:val="bottom"/>
            <w:gridSpan w:val="3"/>
            <w:shd w:val="clear" w:color="auto" w:fill="EEEEEE"/>
          </w:tcPr>
          <w:p>
            <w:pPr>
              <w:jc w:val="right"/>
              <w:ind w:right="77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1240" w:type="dxa"/>
            <w:vAlign w:val="bottom"/>
          </w:tcPr>
          <w:p>
            <w:pPr>
              <w:jc w:val="center"/>
              <w:ind w:left="310"/>
              <w:spacing w:after="0"/>
              <w:rPr>
                <w:sz w:val="20"/>
                <w:szCs w:val="20"/>
                <w:color w:val="auto"/>
              </w:rPr>
            </w:pPr>
            <w:r>
              <w:rPr>
                <w:rFonts w:ascii="Arial" w:cs="Arial" w:eastAsia="Arial" w:hAnsi="Arial"/>
                <w:sz w:val="18"/>
                <w:szCs w:val="18"/>
                <w:color w:val="333333"/>
                <w:w w:val="89"/>
              </w:rPr>
              <w:t>2011</w:t>
            </w:r>
          </w:p>
        </w:tc>
        <w:tc>
          <w:tcPr>
            <w:tcW w:w="2560" w:type="dxa"/>
            <w:vAlign w:val="bottom"/>
            <w:gridSpan w:val="3"/>
          </w:tcPr>
          <w:p>
            <w:pPr>
              <w:jc w:val="right"/>
              <w:ind w:right="77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124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2012</w:t>
            </w:r>
          </w:p>
        </w:tc>
        <w:tc>
          <w:tcPr>
            <w:tcW w:w="2560" w:type="dxa"/>
            <w:vAlign w:val="bottom"/>
            <w:gridSpan w:val="3"/>
            <w:shd w:val="clear" w:color="auto" w:fill="EEEEEE"/>
          </w:tcPr>
          <w:p>
            <w:pPr>
              <w:jc w:val="right"/>
              <w:ind w:right="77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1240" w:type="dxa"/>
            <w:vAlign w:val="bottom"/>
          </w:tcPr>
          <w:p>
            <w:pPr>
              <w:jc w:val="center"/>
              <w:ind w:left="310"/>
              <w:spacing w:after="0"/>
              <w:rPr>
                <w:sz w:val="20"/>
                <w:szCs w:val="20"/>
                <w:color w:val="auto"/>
              </w:rPr>
            </w:pPr>
            <w:r>
              <w:rPr>
                <w:rFonts w:ascii="Arial" w:cs="Arial" w:eastAsia="Arial" w:hAnsi="Arial"/>
                <w:sz w:val="18"/>
                <w:szCs w:val="18"/>
                <w:color w:val="333333"/>
                <w:w w:val="89"/>
              </w:rPr>
              <w:t>2013</w:t>
            </w:r>
          </w:p>
        </w:tc>
        <w:tc>
          <w:tcPr>
            <w:tcW w:w="2560" w:type="dxa"/>
            <w:vAlign w:val="bottom"/>
            <w:gridSpan w:val="3"/>
          </w:tcPr>
          <w:p>
            <w:pPr>
              <w:jc w:val="right"/>
              <w:ind w:right="77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124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2014</w:t>
            </w:r>
          </w:p>
        </w:tc>
        <w:tc>
          <w:tcPr>
            <w:tcW w:w="2560" w:type="dxa"/>
            <w:vAlign w:val="bottom"/>
            <w:gridSpan w:val="3"/>
            <w:shd w:val="clear" w:color="auto" w:fill="EEEEEE"/>
          </w:tcPr>
          <w:p>
            <w:pPr>
              <w:jc w:val="right"/>
              <w:ind w:right="77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923,000</w:t>
            </w:r>
          </w:p>
        </w:tc>
      </w:tr>
      <w:tr>
        <w:trPr>
          <w:trHeight w:val="216"/>
        </w:trPr>
        <w:tc>
          <w:tcPr>
            <w:tcW w:w="1240" w:type="dxa"/>
            <w:vAlign w:val="bottom"/>
          </w:tcPr>
          <w:p>
            <w:pPr>
              <w:jc w:val="center"/>
              <w:ind w:left="310"/>
              <w:spacing w:after="0"/>
              <w:rPr>
                <w:sz w:val="20"/>
                <w:szCs w:val="20"/>
                <w:color w:val="auto"/>
              </w:rPr>
            </w:pPr>
            <w:r>
              <w:rPr>
                <w:rFonts w:ascii="Arial" w:cs="Arial" w:eastAsia="Arial" w:hAnsi="Arial"/>
                <w:sz w:val="18"/>
                <w:szCs w:val="18"/>
                <w:color w:val="333333"/>
                <w:w w:val="89"/>
              </w:rPr>
              <w:t>2015</w:t>
            </w:r>
          </w:p>
        </w:tc>
        <w:tc>
          <w:tcPr>
            <w:tcW w:w="2560" w:type="dxa"/>
            <w:vAlign w:val="bottom"/>
            <w:gridSpan w:val="3"/>
          </w:tcPr>
          <w:p>
            <w:pPr>
              <w:jc w:val="right"/>
              <w:ind w:right="77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795,000</w:t>
            </w:r>
          </w:p>
        </w:tc>
      </w:tr>
      <w:tr>
        <w:trPr>
          <w:trHeight w:val="216"/>
        </w:trPr>
        <w:tc>
          <w:tcPr>
            <w:tcW w:w="124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2016</w:t>
            </w:r>
          </w:p>
        </w:tc>
        <w:tc>
          <w:tcPr>
            <w:tcW w:w="2560" w:type="dxa"/>
            <w:vAlign w:val="bottom"/>
            <w:gridSpan w:val="3"/>
            <w:shd w:val="clear" w:color="auto" w:fill="EEEEEE"/>
          </w:tcPr>
          <w:p>
            <w:pPr>
              <w:jc w:val="right"/>
              <w:ind w:right="77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1,214,997</w:t>
            </w:r>
          </w:p>
        </w:tc>
      </w:tr>
      <w:tr>
        <w:trPr>
          <w:trHeight w:val="230"/>
        </w:trPr>
        <w:tc>
          <w:tcPr>
            <w:tcW w:w="1240" w:type="dxa"/>
            <w:vAlign w:val="bottom"/>
          </w:tcPr>
          <w:p>
            <w:pPr>
              <w:jc w:val="center"/>
              <w:ind w:left="310"/>
              <w:spacing w:after="0"/>
              <w:rPr>
                <w:sz w:val="20"/>
                <w:szCs w:val="20"/>
                <w:color w:val="auto"/>
              </w:rPr>
            </w:pPr>
            <w:r>
              <w:rPr>
                <w:rFonts w:ascii="Arial" w:cs="Arial" w:eastAsia="Arial" w:hAnsi="Arial"/>
                <w:sz w:val="18"/>
                <w:szCs w:val="18"/>
                <w:color w:val="333333"/>
                <w:w w:val="89"/>
              </w:rPr>
              <w:t>2017</w:t>
            </w:r>
          </w:p>
        </w:tc>
        <w:tc>
          <w:tcPr>
            <w:tcW w:w="2560" w:type="dxa"/>
            <w:vAlign w:val="bottom"/>
            <w:gridSpan w:val="3"/>
          </w:tcPr>
          <w:p>
            <w:pPr>
              <w:jc w:val="right"/>
              <w:ind w:right="77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870,000</w:t>
            </w:r>
          </w:p>
        </w:tc>
      </w:tr>
    </w:tbl>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2016, extending the revolving period to August 2018, and adding an amortization period through August 2019. In April 2015, we entered into a second $100 million facility. This facility was renewed in April 2017, extending the revolving period to April 2019, followed by an amortization period to April 2021. In November 2015, we entered into a third $100 million facility. This facility was renewed in November 2017, extending the revolving period to November 2019, followed by an amortization period to November 2021.</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believe that our accounting policies related to (a) Allowance for Finance Credit Losses, (b) Amortization of Deferred Origination Costs and Acquisition Fees, (c) Term Securitizations, (d) Accrual for Contingent Liabilities and (e) Income Taxes are the most critical to understanding and evaluating our reported financial results. Such policies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Finance Receivables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originate, we begin establishing the allowance in the month of acquisition and increase it over the subsequent 11 months, through a provision for credit losses charged to our consolidated statement of operations, with the goal of establishing an allowance that approximates the next 12 months of expected net losses.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 Receivables acquired after 2017, are accounted for using fair value and will have no allowance for finance credit losses in accordance with the fair value method of accounting for finance receivables.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excluding Fireside, is summarized in the table below:</w:t>
      </w:r>
    </w:p>
    <w:p>
      <w:pPr>
        <w:spacing w:after="0" w:line="184" w:lineRule="exact"/>
        <w:rPr>
          <w:sz w:val="20"/>
          <w:szCs w:val="20"/>
          <w:color w:val="auto"/>
        </w:rPr>
      </w:pPr>
    </w:p>
    <w:tbl>
      <w:tblPr>
        <w:tblLayout w:type="fixed"/>
        <w:tblInd w:w="334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 Age in</w:t>
            </w:r>
          </w:p>
        </w:tc>
      </w:tr>
      <w:tr>
        <w:trPr>
          <w:trHeight w:val="234"/>
        </w:trPr>
        <w:tc>
          <w:tcPr>
            <w:tcW w:w="2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Months of Owned Portfolio</w:t>
            </w:r>
          </w:p>
        </w:tc>
      </w:tr>
      <w:tr>
        <w:trPr>
          <w:trHeight w:val="210"/>
        </w:trPr>
        <w:tc>
          <w:tcPr>
            <w:tcW w:w="22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Borders>
              <w:top w:val="single" w:sz="8" w:color="EEEEEE"/>
            </w:tcBorders>
            <w:shd w:val="clear" w:color="auto" w:fill="EEEEEE"/>
          </w:tcPr>
          <w:p>
            <w:pPr>
              <w:spacing w:after="0"/>
              <w:rPr>
                <w:sz w:val="18"/>
                <w:szCs w:val="18"/>
                <w:color w:val="auto"/>
              </w:rPr>
            </w:pPr>
          </w:p>
        </w:tc>
        <w:tc>
          <w:tcPr>
            <w:tcW w:w="2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2011</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2260" w:type="dxa"/>
            <w:vAlign w:val="bottom"/>
          </w:tcPr>
          <w:p>
            <w:pPr>
              <w:jc w:val="center"/>
              <w:spacing w:after="0"/>
              <w:rPr>
                <w:sz w:val="20"/>
                <w:szCs w:val="20"/>
                <w:color w:val="auto"/>
              </w:rPr>
            </w:pPr>
            <w:r>
              <w:rPr>
                <w:rFonts w:ascii="Arial" w:cs="Arial" w:eastAsia="Arial" w:hAnsi="Arial"/>
                <w:sz w:val="18"/>
                <w:szCs w:val="18"/>
                <w:color w:val="333333"/>
                <w:w w:val="89"/>
              </w:rPr>
              <w:t>2016</w:t>
            </w:r>
          </w:p>
        </w:tc>
        <w:tc>
          <w:tcPr>
            <w:tcW w:w="2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2017</w:t>
            </w:r>
          </w:p>
        </w:tc>
        <w:tc>
          <w:tcPr>
            <w:tcW w:w="220" w:type="dxa"/>
            <w:vAlign w:val="bottom"/>
            <w:shd w:val="clear" w:color="auto" w:fill="EEEEEE"/>
          </w:tcPr>
          <w:p>
            <w:pPr>
              <w:spacing w:after="0"/>
              <w:rPr>
                <w:sz w:val="18"/>
                <w:szCs w:val="18"/>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21</w:t>
            </w: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In addition, we incur certain direct costs associated with acquisitions of our contracts. All such acquisition fees and direct costs are applied to the carrying value of finance receivables and are accreted into earnings as an adjustment to the yield over the estimated life of the contract using the interest method. Receivables acquired after 2017 are accounted for using fair value. In accordance with the fair value method of accounting for finance receivables, any dealer acquisition fees will be incorporated into acquisition price of the receivables and no direct costs will be deferred.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ind w:right="80" w:firstLine="648"/>
        <w:spacing w:after="0" w:line="288" w:lineRule="auto"/>
        <w:rPr>
          <w:sz w:val="20"/>
          <w:szCs w:val="20"/>
          <w:color w:val="auto"/>
        </w:rPr>
      </w:pPr>
      <w:r>
        <w:rPr>
          <w:rFonts w:ascii="Arial" w:cs="Arial" w:eastAsia="Arial" w:hAnsi="Arial"/>
          <w:sz w:val="16"/>
          <w:szCs w:val="16"/>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w:t>
      </w:r>
    </w:p>
    <w:p>
      <w:pPr>
        <w:ind w:right="40" w:firstLine="8"/>
        <w:spacing w:after="0" w:line="251"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98" w:lineRule="exact"/>
        <w:rPr>
          <w:sz w:val="20"/>
          <w:szCs w:val="20"/>
          <w:color w:val="auto"/>
        </w:rPr>
      </w:pPr>
    </w:p>
    <w:p>
      <w:pPr>
        <w:ind w:right="600" w:firstLine="648"/>
        <w:spacing w:after="0" w:line="286" w:lineRule="auto"/>
        <w:rPr>
          <w:sz w:val="20"/>
          <w:szCs w:val="20"/>
          <w:color w:val="auto"/>
        </w:rPr>
      </w:pPr>
      <w:r>
        <w:rPr>
          <w:rFonts w:ascii="Arial" w:cs="Arial" w:eastAsia="Arial" w:hAnsi="Arial"/>
          <w:sz w:val="17"/>
          <w:szCs w:val="17"/>
          <w:color w:val="auto"/>
        </w:rPr>
        <w:t>Our warehouse credit facility structures are similar to the above, except that (i) our special-purpose subsidiaries that purchase the automobile contracts pledge the automobile contracts to secure promissory notes that they issue, and (ii) no increase in the required amount of internal credit enhancement is contemplated. Our current maximum revolving warehouse financing capacity is $300 million.</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1" w:name="page32"/>
    <w:bookmarkEnd w:id="31"/>
    <w:p>
      <w:pPr>
        <w:jc w:val="both"/>
        <w:ind w:right="80" w:firstLine="648"/>
        <w:spacing w:after="0" w:line="259" w:lineRule="auto"/>
        <w:rPr>
          <w:sz w:val="20"/>
          <w:szCs w:val="20"/>
          <w:color w:val="auto"/>
        </w:rPr>
      </w:pPr>
      <w:r>
        <w:rPr>
          <w:rFonts w:ascii="Arial" w:cs="Arial" w:eastAsia="Arial" w:hAnsi="Arial"/>
          <w:sz w:val="18"/>
          <w:szCs w:val="18"/>
          <w:color w:val="auto"/>
        </w:rPr>
        <w:t>We have recorded a liability as of December 31, 2017, which represents our best estimate of probable incurred losses for legal contingencies at that date.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2017, and in excess of the liability we have recorded, does not exceed $1 million.</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net deferred tax asset of $32.4 million consists of approximately $22.8 million of net U.S. federal deferred tax assets and $9.6 million of net state deferred tax assets. The major components of the deferred tax asset are $5.8 million in net operating loss carryforwards and built in losses and $23.2 million in net deductions which have not yet been taken on a tax return.</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2017, we had net operating loss carryforwards for state income tax purposes of $12.3 million. These state net operating losses begin to expire in 2018.</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78"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2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reduces the federal corporate income tax rate from 35% to 21% which, beginning in 2018, will decrease our income tax expense. While the Tax Act will positively impact our earnings in future periods, the lower tax rate required us to remeasure our federal deferred tax assets and liabilities. This resulted in an income tax charge of $15.1 million for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jc w:val="both"/>
        <w:ind w:right="380" w:firstLine="648"/>
        <w:spacing w:after="0" w:line="288"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76 term securitizations of approximately $12.3 billion in contracts. From the fourth quarter of 2007 through the end of 2009, we observed unprecedented adverse changes in the market for securitized pools of automobile contracts.</w:t>
      </w:r>
    </w:p>
    <w:p>
      <w:pPr>
        <w:ind w:right="100"/>
        <w:spacing w:after="0" w:line="271" w:lineRule="auto"/>
        <w:rPr>
          <w:sz w:val="20"/>
          <w:szCs w:val="20"/>
          <w:color w:val="auto"/>
        </w:rPr>
      </w:pPr>
      <w:r>
        <w:rPr>
          <w:rFonts w:ascii="Arial" w:cs="Arial" w:eastAsia="Arial" w:hAnsi="Arial"/>
          <w:sz w:val="17"/>
          <w:szCs w:val="17"/>
          <w:color w:val="auto"/>
        </w:rPr>
        <w:t>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2017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2017 with the year ended December 31, 2016</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2017, our revenues were $434.4 million, an increase of $12.1 million, or 2.9%,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$422.3 million. The primary reason for the increase in revenues is an increase in interest income. Interest income for the year ended December 31, 2017 increased $15.2 million, or 3.7%, to $424.2 million from $409.0 million in the prior year. The primary reason for the increase in interest income is the increase in finance receivables held by consolidated subsidiaries, which increased from $2,307.9 million at December 31, 2016 to $2,333.5 million at December 31, 2017.</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Other income decreased by $3.1 million, or 23.2%, to $10.2 million in the year ended December 31, 2017 from $13.3 million during the prior year. The decrease in other income resulted from a decrease of $2.8 million in revenues associated with direct mail and other related products and services that we offer to our dealers, a decrease of $245,000 in payments from third-party providers of convenience fees paid by our customers for web based and other electronic payments and a decrease of $203,000 in recoveries on previously charged off receivables.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Total operating expenses were $402.3 million for the year ended December 31, 2017, compared to $372.6 million for the prior year, an increase of $29.7 million, or 8.0%. The increase is primarily due to the increase in interest expense, provision for credit losses and servicing costs.</w:t>
      </w:r>
    </w:p>
    <w:p>
      <w:pPr>
        <w:spacing w:after="0" w:line="14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Employee costs increased by $7.4 million or 11.3%, to $73.0 million during the year ended December 31, 2017, representing 18.1% of total operating expenses, from $65.5 million for the prior year, or 17.6% of total operating expenses. During the year ended December 31, 2017, we added Servicing staff to accommodate the increase in the number of accounts in our managed portfolio. The table below summarizes our employees by category as well as contract purchases and units in our managed portfolio as of, and for the years ended, December 31,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859.1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1,088.8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52,643</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2,333.5</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2,308.1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177,760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169,720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ind w:right="8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$26.6 million, an increase of $1.8 million, or 7.0%, compared to the previous year and represented 6.6% of total operating expenses.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Interest expense for the year ended December 31, 2017 increased by $12.4 million to $92.3 million, or 15.5%, compared to $79.9 million in the previous year.</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Interest on securitization trust debt increased by $13.9 million, or 20.1%, for the year ended December 31, 2017 compared to the prior year. The average balance of securitization trust debt increased 4.7% to $2,172.1 million at December 31, 2017 compared to $2,075.1 million at December 31, 2016. In addition, the blended interest rates on our term securitizations have generally increased since June 2014. As a result, the cost of securitization debt during the year ended December 31, 2017 was 3.8%, compared to 3.3%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3540" w:type="dxa"/>
        <w:tblCellMar>
          <w:top w:w="0" w:type="dxa"/>
          <w:left w:w="0" w:type="dxa"/>
          <w:bottom w:w="0" w:type="dxa"/>
          <w:right w:w="0" w:type="dxa"/>
        </w:tblCellMar>
      </w:tblP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Period</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0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2014</w:t>
            </w:r>
          </w:p>
        </w:tc>
        <w:tc>
          <w:tcPr>
            <w:tcW w:w="160" w:type="dxa"/>
            <w:vAlign w:val="bottom"/>
            <w:tcBorders>
              <w:top w:val="single" w:sz="8" w:color="EEEEEE"/>
            </w:tcBorders>
            <w:shd w:val="clear" w:color="auto" w:fill="EEEEEE"/>
          </w:tcPr>
          <w:p>
            <w:pPr>
              <w:spacing w:after="0"/>
              <w:rPr>
                <w:sz w:val="18"/>
                <w:szCs w:val="18"/>
                <w:color w:val="auto"/>
              </w:rPr>
            </w:pPr>
          </w:p>
        </w:tc>
        <w:tc>
          <w:tcPr>
            <w:tcW w:w="21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333333"/>
                <w:w w:val="88"/>
              </w:rPr>
              <w:t>September 2014</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22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333333"/>
                <w:w w:val="88"/>
              </w:rPr>
              <w:t>December 2014</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2240" w:type="dxa"/>
            <w:vAlign w:val="bottom"/>
            <w:gridSpan w:val="2"/>
          </w:tcPr>
          <w:p>
            <w:pPr>
              <w:jc w:val="center"/>
              <w:ind w:right="160"/>
              <w:spacing w:after="0"/>
              <w:rPr>
                <w:sz w:val="20"/>
                <w:szCs w:val="20"/>
                <w:color w:val="auto"/>
              </w:rPr>
            </w:pPr>
            <w:r>
              <w:rPr>
                <w:rFonts w:ascii="Arial" w:cs="Arial" w:eastAsia="Arial" w:hAnsi="Arial"/>
                <w:sz w:val="18"/>
                <w:szCs w:val="18"/>
                <w:color w:val="333333"/>
                <w:w w:val="92"/>
              </w:rPr>
              <w:t>March 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22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333333"/>
                <w:w w:val="87"/>
              </w:rPr>
              <w:t>June 2015</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333333"/>
                <w:w w:val="88"/>
              </w:rPr>
              <w:t>September 2015</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224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333333"/>
                <w:w w:val="87"/>
              </w:rPr>
              <w:t>January 2016</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333333"/>
                <w:w w:val="96"/>
              </w:rPr>
              <w:t>April 2016</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22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July 2016</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2016</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3.66%</w:t>
            </w:r>
          </w:p>
        </w:tc>
      </w:tr>
      <w:tr>
        <w:trPr>
          <w:trHeight w:val="216"/>
        </w:trPr>
        <w:tc>
          <w:tcPr>
            <w:tcW w:w="224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333333"/>
                <w:w w:val="87"/>
              </w:rPr>
              <w:t>January 2017</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333333"/>
                <w:w w:val="96"/>
              </w:rPr>
              <w:t>April 2017</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224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July 2017</w:t>
            </w:r>
          </w:p>
        </w:tc>
        <w:tc>
          <w:tcPr>
            <w:tcW w:w="21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30"/>
        </w:trPr>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October 2017</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3.39%</w:t>
            </w: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annualized average rate on our securitization trust debt was 3.8% for the year ended December 31, 2017 compared to 3.3% in the prior year. The annualized average rate is influenced by the manner in which the underlying securitization trust bonds are repaid. The rate tends to increase over time on any particular securitization since the structures of our securitization trusts generally provide for sequential repayment of the shorter term, lower interest rate bonds before the longer term, higher interest rate bonds.</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Interest expense on our subordinated debt decreased by $20,000, or 1.5%, for the year ended December 31, 2017 compared to the prior year. The reduction was the result of a decrease in the average interest rate on our subordinated renewable notes from 8.3% for the year ended December 31, 2017 to 8.9% for the year ended December 31, 2016. This decrease was mostly offset by an increase in the average balance of the notes from $15.1 million in the prior year to $16.0 million for the year ended December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on residual interest financing was $6.4 million in the year ended December 31, 2016. This debt was repaid in full in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expense on warehouse lines of credit decreased by $636,000, or 7.4% for the year ended December 31, 2017 compared to the prior year. The decrease is due primarily to lower utilization of our warehouse lines in 2017 compared to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4" w:name="page35"/>
    <w:bookmarkEnd w:id="34"/>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68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3"/>
            <w:vMerge w:val="restart"/>
          </w:tcPr>
          <w:p>
            <w:pPr>
              <w:jc w:val="center"/>
              <w:ind w:right="700"/>
              <w:spacing w:after="0"/>
              <w:rPr>
                <w:sz w:val="20"/>
                <w:szCs w:val="20"/>
                <w:color w:val="auto"/>
              </w:rPr>
            </w:pPr>
            <w:r>
              <w:rPr>
                <w:rFonts w:ascii="Arial" w:cs="Arial" w:eastAsia="Arial" w:hAnsi="Arial"/>
                <w:sz w:val="18"/>
                <w:szCs w:val="18"/>
                <w:b w:val="1"/>
                <w:bCs w:val="1"/>
                <w:color w:val="auto"/>
                <w:w w:val="89"/>
              </w:rPr>
              <w:t>Interest Earning Assets</w:t>
            </w: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 (1)</w:t>
            </w: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Balance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2,299,218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424,174</w:t>
            </w: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EEEEEE"/>
          </w:tcPr>
          <w:p>
            <w:pPr>
              <w:spacing w:after="0"/>
              <w:rPr>
                <w:sz w:val="18"/>
                <w:szCs w:val="18"/>
                <w:color w:val="auto"/>
              </w:rPr>
            </w:pP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2,188,852</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408,996</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2640" w:type="dxa"/>
            <w:vAlign w:val="bottom"/>
            <w:gridSpan w:val="4"/>
            <w:shd w:val="clear" w:color="auto" w:fill="EEEEEE"/>
          </w:tcPr>
          <w:p>
            <w:pPr>
              <w:jc w:val="center"/>
              <w:ind w:right="58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40" w:type="dxa"/>
            <w:vAlign w:val="bottom"/>
            <w:shd w:val="clear" w:color="auto" w:fill="EEEEEE"/>
          </w:tcPr>
          <w:p>
            <w:pPr>
              <w:spacing w:after="0"/>
              <w:rPr>
                <w:sz w:val="15"/>
                <w:szCs w:val="15"/>
                <w:color w:val="auto"/>
              </w:rPr>
            </w:pPr>
          </w:p>
        </w:tc>
        <w:tc>
          <w:tcPr>
            <w:tcW w:w="11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1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62,353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7,933</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76,208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8,569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6,413</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846</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2,172,145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83,084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2,075,127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69,178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shd w:val="clear" w:color="auto" w:fill="EEEEEE"/>
          </w:tcPr>
          <w:p>
            <w:pPr>
              <w:spacing w:after="0"/>
              <w:rPr>
                <w:sz w:val="19"/>
                <w:szCs w:val="19"/>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16,028</w:t>
            </w: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1,328</w:t>
            </w:r>
          </w:p>
        </w:tc>
        <w:tc>
          <w:tcPr>
            <w:tcW w:w="2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15,062</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1,348</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2,250,526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92,345</w:t>
            </w:r>
          </w:p>
        </w:tc>
        <w:tc>
          <w:tcPr>
            <w:tcW w:w="24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2,172,810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79,941</w:t>
            </w:r>
          </w:p>
        </w:tc>
        <w:tc>
          <w:tcPr>
            <w:tcW w:w="22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rPr>
          <w:sz w:val="20"/>
          <w:szCs w:val="20"/>
          <w:color w:val="auto"/>
        </w:rPr>
      </w:pPr>
      <w:r>
        <w:rPr>
          <w:rFonts w:ascii="Arial" w:cs="Arial" w:eastAsia="Arial" w:hAnsi="Arial"/>
          <w:sz w:val="18"/>
          <w:szCs w:val="18"/>
          <w:color w:val="auto"/>
        </w:rPr>
        <w:t>Net interest income/spread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 (3)</w:t>
      </w:r>
    </w:p>
    <w:p>
      <w:pPr>
        <w:spacing w:after="0" w:line="23" w:lineRule="exact"/>
        <w:rPr>
          <w:sz w:val="20"/>
          <w:szCs w:val="20"/>
          <w:color w:val="auto"/>
        </w:rPr>
      </w:pPr>
    </w:p>
    <w:p>
      <w:pPr>
        <w:ind w:left="100" w:right="420" w:hanging="89"/>
        <w:spacing w:after="0" w:line="361" w:lineRule="auto"/>
        <w:rPr>
          <w:sz w:val="20"/>
          <w:szCs w:val="20"/>
          <w:color w:val="auto"/>
        </w:rPr>
      </w:pPr>
      <w:r>
        <w:rPr>
          <w:rFonts w:ascii="Arial" w:cs="Arial" w:eastAsia="Arial" w:hAnsi="Arial"/>
          <w:sz w:val="15"/>
          <w:szCs w:val="15"/>
          <w:color w:val="auto"/>
        </w:rPr>
        <w:t>Ratio of average interest earning assets to average interest bearing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331,829</w:t>
            </w:r>
          </w:p>
        </w:tc>
        <w:tc>
          <w:tcPr>
            <w:tcW w:w="1800" w:type="dxa"/>
            <w:vAlign w:val="bottom"/>
          </w:tcPr>
          <w:p>
            <w:pPr>
              <w:spacing w:after="0"/>
              <w:rPr>
                <w:sz w:val="17"/>
                <w:szCs w:val="17"/>
                <w:color w:val="auto"/>
              </w:rPr>
            </w:pPr>
          </w:p>
        </w:tc>
        <w:tc>
          <w:tcPr>
            <w:tcW w:w="15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329,055</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150"/>
              <w:spacing w:after="0"/>
              <w:rPr>
                <w:sz w:val="20"/>
                <w:szCs w:val="20"/>
                <w:color w:val="auto"/>
              </w:rPr>
            </w:pPr>
            <w:r>
              <w:rPr>
                <w:rFonts w:ascii="Arial" w:cs="Arial" w:eastAsia="Arial" w:hAnsi="Arial"/>
                <w:sz w:val="18"/>
                <w:szCs w:val="18"/>
                <w:color w:val="auto"/>
                <w:w w:val="86"/>
              </w:rPr>
              <w:t>102%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vMerge w:val="restart"/>
          </w:tcPr>
          <w:p>
            <w:pPr>
              <w:jc w:val="right"/>
              <w:ind w:right="430"/>
              <w:spacing w:after="0"/>
              <w:rPr>
                <w:sz w:val="20"/>
                <w:szCs w:val="20"/>
                <w:color w:val="auto"/>
              </w:rPr>
            </w:pPr>
            <w:r>
              <w:rPr>
                <w:rFonts w:ascii="Arial" w:cs="Arial" w:eastAsia="Arial" w:hAnsi="Arial"/>
                <w:sz w:val="18"/>
                <w:szCs w:val="18"/>
                <w:color w:val="auto"/>
              </w:rPr>
              <w:t>14.4%</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101%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97"/>
        </w:trPr>
        <w:tc>
          <w:tcPr>
            <w:tcW w:w="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-427990</wp:posOffset>
            </wp:positionV>
            <wp:extent cx="72466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3240" w:space="720"/>
            <w:col w:w="7460"/>
          </w:cols>
          <w:pgMar w:left="240" w:top="692" w:right="239" w:bottom="1440" w:gutter="0" w:footer="0" w:header="0"/>
          <w:type w:val="continuous"/>
        </w:sect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90"/>
              </w:rPr>
              <w:t>Year Ended December 31, 2017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Compared to December 31, 2016</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80" w:type="dxa"/>
            <w:vAlign w:val="bottom"/>
          </w:tcPr>
          <w:p>
            <w:pPr>
              <w:spacing w:after="0"/>
              <w:rPr>
                <w:sz w:val="16"/>
                <w:szCs w:val="16"/>
                <w:color w:val="auto"/>
              </w:rPr>
            </w:pPr>
          </w:p>
        </w:tc>
        <w:tc>
          <w:tcPr>
            <w:tcW w:w="12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Change Due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Total Change</w:t>
            </w:r>
          </w:p>
        </w:tc>
        <w:tc>
          <w:tcPr>
            <w:tcW w:w="2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Volume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3"/>
          </w:tcPr>
          <w:p>
            <w:pPr>
              <w:jc w:val="center"/>
              <w:ind w:right="700"/>
              <w:spacing w:after="0" w:line="182" w:lineRule="exact"/>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3"/>
          </w:tcPr>
          <w:p>
            <w:pPr>
              <w:jc w:val="center"/>
              <w:ind w:right="120"/>
              <w:spacing w:after="0" w:line="182" w:lineRule="exact"/>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15,178</w:t>
            </w:r>
          </w:p>
        </w:tc>
        <w:tc>
          <w:tcPr>
            <w:tcW w:w="220" w:type="dxa"/>
            <w:vAlign w:val="bottom"/>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20,622</w:t>
            </w:r>
          </w:p>
        </w:tc>
        <w:tc>
          <w:tcPr>
            <w:tcW w:w="52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4"/>
          </w:tcPr>
          <w:p>
            <w:pPr>
              <w:jc w:val="center"/>
              <w:ind w:right="5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13,906</w:t>
            </w: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3,234</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12,404</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11,488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56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2,774</w:t>
            </w:r>
          </w:p>
        </w:tc>
        <w:tc>
          <w:tcPr>
            <w:tcW w:w="2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19,706</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(16,932</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Provision for credit losses was $186.7 million for the year ended December 31, 2017, an increase of $8.2 million, or 4.6% compared to the prior year and represented 46.4%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larger portfolio owned by our consolidated subsidiaries compared to the prior year and an adverse trend in the performance of our receivables.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decreased by $2.2 million, or 12.4%, to $15.6 million during the year ended December 31, 2017, compared to $17.8 million in the prior year, and represented 3.9% of total operating expenses. For the year ended December 31, 2017, we purchased 52,643 contracts representing $859.1 million in receivables compared to 66,527 contracts representing $1,088.8 million in receivables in the prior year.</w:t>
      </w:r>
    </w:p>
    <w:p>
      <w:pPr>
        <w:spacing w:after="0" w:line="193"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Occupancy expenses increased by $2.0 million or 38.1%, to $7.2 million compared to $5.2 million in the previous year and represented 1.8% of total operating expenses. The increase in occupancy expense is a result of leases for additional office space in Irvine, California and Las Vegas, Nevada.</w:t>
      </w:r>
    </w:p>
    <w:p>
      <w:pPr>
        <w:spacing w:after="0" w:line="12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Depreciation and amortization expenses increased by $157,000 or 20.2%, to $934,000 compared to $777,000 in the previous year and represented 0.1% of total operating expenses.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35" w:name="page36"/>
    <w:bookmarkEnd w:id="35"/>
    <w:p>
      <w:pPr>
        <w:ind w:firstLine="648"/>
        <w:spacing w:after="0" w:line="259" w:lineRule="auto"/>
        <w:rPr>
          <w:sz w:val="20"/>
          <w:szCs w:val="20"/>
          <w:color w:val="auto"/>
        </w:rPr>
      </w:pPr>
      <w:r>
        <w:rPr>
          <w:rFonts w:ascii="Arial" w:cs="Arial" w:eastAsia="Arial" w:hAnsi="Arial"/>
          <w:sz w:val="18"/>
          <w:szCs w:val="18"/>
          <w:color w:val="auto"/>
        </w:rPr>
        <w:t>For the year ended December 31, 2017, we recorded income tax expense of $28.3 million, representing an effective income tax rate of 88.3%. This includes $15.1 million of income tax expense related to the effects of the Tax Act, which are required to be recorded in the period of enactment. Excluding the impact of the Tax Act, the effective tax rate for 2017 would have been 41.1%. In 2016, we recorded $20.4 million of income tax expense, representing a 41.0% effective income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2016 with the year ended December 31, 2015</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2016, our revenues were $422.3 million, an increase of $58.6 million, or 16.1%,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$363.7 million. The primary reason for the increase in revenues is an increase in interest income. Interest income for the year ended December 31, 2016 increased $59.1 million, or 16.9%, to $409.0 million from $349.9 million in the prior year. The primary reason for the increase in interest income is the increase in finance receivables held by consolidated subsidiaries, which increased from $2,031.1 million at December 31, 2015 to $2,307.9 million at December 31, 2016. The table below shows the average balances of our portfolio held by consolidated subsidiaries for the year ended December 31, 2016 and 2015:</w:t>
      </w:r>
    </w:p>
    <w:p>
      <w:pPr>
        <w:spacing w:after="0" w:line="203"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3"/>
              </w:rPr>
              <w:t>Average Balances for the Year Ended</w:t>
            </w: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December 31, 2016</w:t>
            </w: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88"/>
              </w:rPr>
              <w:t>Finance Receivables Owned by</w:t>
            </w:r>
          </w:p>
        </w:tc>
        <w:tc>
          <w:tcPr>
            <w:tcW w:w="5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gridSpan w:val="4"/>
          </w:tcPr>
          <w:p>
            <w:pPr>
              <w:jc w:val="right"/>
              <w:ind w:right="1150"/>
              <w:spacing w:after="0" w:line="178" w:lineRule="exact"/>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Consolidated Subsidiaries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EEEEEE"/>
          </w:tcPr>
          <w:p>
            <w:pPr>
              <w:spacing w:after="0"/>
              <w:rPr>
                <w:sz w:val="20"/>
                <w:szCs w:val="20"/>
                <w:color w:val="auto"/>
              </w:rPr>
            </w:pPr>
            <w:r>
              <w:rPr>
                <w:rFonts w:ascii="Arial" w:cs="Arial" w:eastAsia="Arial" w:hAnsi="Arial"/>
                <w:sz w:val="18"/>
                <w:szCs w:val="18"/>
                <w:color w:val="auto"/>
              </w:rPr>
              <w:t>CPS Originated Receivables</w:t>
            </w:r>
          </w:p>
        </w:tc>
        <w:tc>
          <w:tcPr>
            <w:tcW w:w="740" w:type="dxa"/>
            <w:vAlign w:val="bottom"/>
            <w:gridSpan w:val="2"/>
            <w:shd w:val="clear" w:color="auto" w:fill="EEEEEE"/>
          </w:tcPr>
          <w:p>
            <w:pPr>
              <w:jc w:val="right"/>
              <w:ind w:right="3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2,225.9</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1,844.5</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Fireside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36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2,225.9</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1,844.9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Other income decreased by $452,000, or 3.3%, to $13.3 million in the year ended December 31, 2016 from $13.7 million during the prior year. The decrease consists of an decrease of $532,000 in servicing fees and recoveries we earn on portfolios we service for third parties and a decrease of $465,000 in payments from third-party providers of convenience fees paid by our customers for web based and other electronic payments. The decreases were somewhat offset by increases of $275,000 associated with direct mail and other related products and services that we offer to our dealers and an increase of $195,000 in sales tax refunds.</w:t>
      </w:r>
    </w:p>
    <w:p>
      <w:pPr>
        <w:spacing w:after="0" w:line="18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Total operating expenses were $372.6 million for the year ended December 31, 2016, compared to $302.3 million for the prior year, an increase of $70.4 million, or 23.3%. The increase is primarily due to the increase in the amount of new contracts we purchased, the resulting increase in our consolidated portfolio and associated interest expense, servicing costs, and the related increase in our provision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6" w:name="page37"/>
    <w:bookmarkEnd w:id="36"/>
    <w:p>
      <w:pPr>
        <w:ind w:firstLine="648"/>
        <w:spacing w:after="0" w:line="257" w:lineRule="auto"/>
        <w:rPr>
          <w:sz w:val="20"/>
          <w:szCs w:val="20"/>
          <w:color w:val="auto"/>
        </w:rPr>
      </w:pPr>
      <w:r>
        <w:rPr>
          <w:rFonts w:ascii="Arial" w:cs="Arial" w:eastAsia="Arial" w:hAnsi="Arial"/>
          <w:sz w:val="18"/>
          <w:szCs w:val="18"/>
          <w:color w:val="auto"/>
        </w:rPr>
        <w:t>Employee costs increased by $6.0 million or 10.1%, to $65.5 million during the year ended December 31, 2016, representing 17.6% of total operating expenses, from $59.6 million for the prior year, or 19.7%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2016 and 2015:</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9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 2016</w:t>
            </w:r>
          </w:p>
        </w:tc>
        <w:tc>
          <w:tcPr>
            <w:tcW w:w="172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December 31, 2015</w:t>
            </w:r>
          </w:p>
        </w:tc>
      </w:tr>
      <w:tr>
        <w:trPr>
          <w:trHeight w:val="210"/>
        </w:trPr>
        <w:tc>
          <w:tcPr>
            <w:tcW w:w="3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gridSpan w:val="2"/>
          </w:tcPr>
          <w:p>
            <w:pPr>
              <w:spacing w:after="0"/>
              <w:rPr>
                <w:sz w:val="18"/>
                <w:szCs w:val="18"/>
                <w:color w:val="auto"/>
              </w:rPr>
            </w:pPr>
          </w:p>
        </w:tc>
      </w:tr>
      <w:tr>
        <w:trPr>
          <w:trHeight w:val="210"/>
        </w:trPr>
        <w:tc>
          <w:tcPr>
            <w:tcW w:w="3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1,088.8</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26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1,060.5</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66,527</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64,130</w:t>
            </w:r>
          </w:p>
        </w:tc>
        <w:tc>
          <w:tcPr>
            <w:tcW w:w="10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2,308.1</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jc w:val="right"/>
              <w:ind w:right="26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169,720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149,158</w:t>
            </w:r>
          </w:p>
        </w:tc>
        <w:tc>
          <w:tcPr>
            <w:tcW w:w="10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542</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r>
      <w:tr>
        <w:trPr>
          <w:trHeight w:val="230"/>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00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$24.8 million, an increase of $4.7 million, or 23.2%, compared to the previous year and represented 6.7% of total operating expenses.</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Interest expense for the year ended December 31, 2016 increased by $22.2 million to $79.9 million, or 38.4%, compared to $57.7 million in the previous year.</w:t>
      </w:r>
    </w:p>
    <w:p>
      <w:pPr>
        <w:spacing w:after="0" w:line="170"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Interest on securitization trust debt increased by $20.5 million, or 42.3%, for the year ended December 31, 2016 compared to the prior year. The average balance of securitization trust debt increased 22.2% to $2,075.1 million at December 31, 2016 compared to $1,698.8 million at December 31, 2015. In addition, the blended interest rates on our term securitizations have generally increased since June 2014. As a result, the cost of securitization debt during the year ended December 31, 2016 was 3.3%, compared to 2.9%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2014, although that trend has reversed somewhat since July 2016. The blended interest rates of our recent securitizations are summarized in the table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34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5"/>
              </w:rPr>
              <w:t>June 2014</w:t>
            </w:r>
          </w:p>
        </w:tc>
        <w:tc>
          <w:tcPr>
            <w:tcW w:w="220" w:type="dxa"/>
            <w:vAlign w:val="bottom"/>
            <w:tcBorders>
              <w:top w:val="single" w:sz="8" w:color="EEEEEE"/>
            </w:tcBorders>
            <w:shd w:val="clear" w:color="auto" w:fill="EEEEEE"/>
          </w:tcPr>
          <w:p>
            <w:pPr>
              <w:spacing w:after="0"/>
              <w:rPr>
                <w:sz w:val="18"/>
                <w:szCs w:val="18"/>
                <w:color w:val="auto"/>
              </w:rPr>
            </w:pPr>
          </w:p>
        </w:tc>
        <w:tc>
          <w:tcPr>
            <w:tcW w:w="2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2.37%</w:t>
            </w:r>
          </w:p>
        </w:tc>
      </w:tr>
      <w:tr>
        <w:trPr>
          <w:trHeight w:val="216"/>
        </w:trPr>
        <w:tc>
          <w:tcPr>
            <w:tcW w:w="3640" w:type="dxa"/>
            <w:vAlign w:val="bottom"/>
            <w:gridSpan w:val="2"/>
          </w:tcPr>
          <w:p>
            <w:pPr>
              <w:jc w:val="center"/>
              <w:ind w:right="200"/>
              <w:spacing w:after="0"/>
              <w:rPr>
                <w:sz w:val="20"/>
                <w:szCs w:val="20"/>
                <w:color w:val="auto"/>
              </w:rPr>
            </w:pPr>
            <w:r>
              <w:rPr>
                <w:rFonts w:ascii="Arial" w:cs="Arial" w:eastAsia="Arial" w:hAnsi="Arial"/>
                <w:sz w:val="18"/>
                <w:szCs w:val="18"/>
                <w:color w:val="333333"/>
                <w:w w:val="87"/>
              </w:rPr>
              <w:t>September 2014</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36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333333"/>
                <w:w w:val="90"/>
              </w:rPr>
              <w:t>December 2014</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3.07%</w:t>
            </w:r>
          </w:p>
        </w:tc>
      </w:tr>
      <w:tr>
        <w:trPr>
          <w:trHeight w:val="216"/>
        </w:trPr>
        <w:tc>
          <w:tcPr>
            <w:tcW w:w="3640" w:type="dxa"/>
            <w:vAlign w:val="bottom"/>
            <w:gridSpan w:val="2"/>
          </w:tcPr>
          <w:p>
            <w:pPr>
              <w:jc w:val="center"/>
              <w:ind w:right="200"/>
              <w:spacing w:after="0"/>
              <w:rPr>
                <w:sz w:val="20"/>
                <w:szCs w:val="20"/>
                <w:color w:val="auto"/>
              </w:rPr>
            </w:pPr>
            <w:r>
              <w:rPr>
                <w:rFonts w:ascii="Arial" w:cs="Arial" w:eastAsia="Arial" w:hAnsi="Arial"/>
                <w:sz w:val="18"/>
                <w:szCs w:val="18"/>
                <w:color w:val="333333"/>
                <w:w w:val="92"/>
              </w:rPr>
              <w:t>March 2015</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3.04%</w:t>
            </w:r>
          </w:p>
        </w:tc>
      </w:tr>
      <w:tr>
        <w:trPr>
          <w:trHeight w:val="216"/>
        </w:trPr>
        <w:tc>
          <w:tcPr>
            <w:tcW w:w="36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333333"/>
                <w:w w:val="85"/>
              </w:rPr>
              <w:t>June 2015</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640" w:type="dxa"/>
            <w:vAlign w:val="bottom"/>
            <w:gridSpan w:val="2"/>
          </w:tcPr>
          <w:p>
            <w:pPr>
              <w:jc w:val="center"/>
              <w:ind w:right="200"/>
              <w:spacing w:after="0"/>
              <w:rPr>
                <w:sz w:val="20"/>
                <w:szCs w:val="20"/>
                <w:color w:val="auto"/>
              </w:rPr>
            </w:pPr>
            <w:r>
              <w:rPr>
                <w:rFonts w:ascii="Arial" w:cs="Arial" w:eastAsia="Arial" w:hAnsi="Arial"/>
                <w:sz w:val="18"/>
                <w:szCs w:val="18"/>
                <w:color w:val="333333"/>
                <w:w w:val="87"/>
              </w:rPr>
              <w:t>September 2015</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6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333333"/>
                <w:w w:val="87"/>
              </w:rPr>
              <w:t>January 2016</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640" w:type="dxa"/>
            <w:vAlign w:val="bottom"/>
            <w:gridSpan w:val="2"/>
          </w:tcPr>
          <w:p>
            <w:pPr>
              <w:jc w:val="center"/>
              <w:ind w:right="200"/>
              <w:spacing w:after="0"/>
              <w:rPr>
                <w:sz w:val="20"/>
                <w:szCs w:val="20"/>
                <w:color w:val="auto"/>
              </w:rPr>
            </w:pPr>
            <w:r>
              <w:rPr>
                <w:rFonts w:ascii="Arial" w:cs="Arial" w:eastAsia="Arial" w:hAnsi="Arial"/>
                <w:sz w:val="18"/>
                <w:szCs w:val="18"/>
                <w:color w:val="333333"/>
                <w:w w:val="98"/>
              </w:rPr>
              <w:t>April 2016</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640" w:type="dxa"/>
            <w:vAlign w:val="bottom"/>
            <w:gridSpan w:val="2"/>
            <w:shd w:val="clear" w:color="auto" w:fill="EEEEEE"/>
          </w:tcPr>
          <w:p>
            <w:pPr>
              <w:jc w:val="center"/>
              <w:ind w:right="200"/>
              <w:spacing w:after="0"/>
              <w:rPr>
                <w:sz w:val="20"/>
                <w:szCs w:val="20"/>
                <w:color w:val="auto"/>
              </w:rPr>
            </w:pPr>
            <w:r>
              <w:rPr>
                <w:rFonts w:ascii="Arial" w:cs="Arial" w:eastAsia="Arial" w:hAnsi="Arial"/>
                <w:sz w:val="18"/>
                <w:szCs w:val="18"/>
                <w:color w:val="auto"/>
                <w:w w:val="93"/>
              </w:rPr>
              <w:t>July 2016</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r>
        <w:trPr>
          <w:trHeight w:val="230"/>
        </w:trPr>
        <w:tc>
          <w:tcPr>
            <w:tcW w:w="36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October 2016</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3.66%</w:t>
            </w:r>
          </w:p>
        </w:tc>
      </w:tr>
    </w:tbl>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expense on our subordinated debt decreased by $234,000, or 14.8%, for the year ended December 31, 2016 compared to the prior year. The reduction was the result of our decreasing the average interest rate on our subordinated renewable notes from 10.5% for the year ended December 31, 2015 to 8.9% for the year ended December 31, 2016.</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expense on residual interest financing decreased $559,000, or 39.7% in the year ended December 31, 2016 compared to the prior year. The decrease is due to the repayments on that facility during the year, including repayment in full in November 2016.</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Interest expense on warehouse lines of credit increased by $2.4 million, or 39.9% for the year ended December 31, 2016 compared to the prior year. The increase is due primarily to greater utilization of our warehouse lines in 2016 compared to 2015 as a result of our change from conducting our term securitizations primarily at the beginning of the calendar quarter in 2016 rather than at the end of the calendar quarter as we did in 2015.</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right="18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8"/>
                <w:szCs w:val="18"/>
                <w:b w:val="1"/>
                <w:bCs w:val="1"/>
                <w:color w:val="auto"/>
                <w:w w:val="93"/>
              </w:rPr>
              <w:t>Year Ended December 31,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tcPr>
          <w:p>
            <w:pPr>
              <w:jc w:val="right"/>
              <w:ind w:right="68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Balance (1)</w:t>
            </w:r>
          </w:p>
        </w:tc>
        <w:tc>
          <w:tcPr>
            <w:tcW w:w="2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Balance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EEEEEE"/>
              <w:bottom w:val="single" w:sz="8" w:color="EEEEEE"/>
            </w:tcBorders>
            <w:shd w:val="clear" w:color="auto" w:fill="EEEEEE"/>
          </w:tcPr>
          <w:p>
            <w:pPr>
              <w:spacing w:after="0"/>
              <w:rPr>
                <w:sz w:val="16"/>
                <w:szCs w:val="16"/>
                <w:color w:val="auto"/>
              </w:rPr>
            </w:pPr>
          </w:p>
        </w:tc>
        <w:tc>
          <w:tcPr>
            <w:tcW w:w="1800" w:type="dxa"/>
            <w:vAlign w:val="bottom"/>
            <w:tcBorders>
              <w:top w:val="single" w:sz="8" w:color="EEEEEE"/>
              <w:bottom w:val="single" w:sz="8" w:color="auto"/>
            </w:tcBorders>
            <w:shd w:val="clear" w:color="auto" w:fill="EEEEEE"/>
          </w:tcPr>
          <w:p>
            <w:pPr>
              <w:jc w:val="center"/>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700" w:type="dxa"/>
            <w:vAlign w:val="bottom"/>
            <w:tcBorders>
              <w:top w:val="single" w:sz="8" w:color="EEEEEE"/>
              <w:bottom w:val="single" w:sz="8" w:color="EEEEEE"/>
            </w:tcBorders>
            <w:gridSpan w:val="2"/>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114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200" w:type="dxa"/>
            <w:vAlign w:val="bottom"/>
            <w:tcBorders>
              <w:top w:val="single" w:sz="8" w:color="auto"/>
              <w:bottom w:val="single" w:sz="8" w:color="EEEEEE"/>
            </w:tcBorders>
            <w:shd w:val="clear" w:color="auto" w:fill="EEEEEE"/>
          </w:tcPr>
          <w:p>
            <w:pPr>
              <w:spacing w:after="0"/>
              <w:rPr>
                <w:sz w:val="16"/>
                <w:szCs w:val="16"/>
                <w:color w:val="auto"/>
              </w:rPr>
            </w:pPr>
          </w:p>
        </w:tc>
        <w:tc>
          <w:tcPr>
            <w:tcW w:w="1060" w:type="dxa"/>
            <w:vAlign w:val="bottom"/>
            <w:tcBorders>
              <w:top w:val="single" w:sz="8" w:color="auto"/>
              <w:bottom w:val="single" w:sz="8" w:color="EEEEEE"/>
            </w:tcBorders>
            <w:shd w:val="clear" w:color="auto" w:fill="EEEEEE"/>
          </w:tcPr>
          <w:p>
            <w:pPr>
              <w:spacing w:after="0"/>
              <w:rPr>
                <w:sz w:val="16"/>
                <w:szCs w:val="16"/>
                <w:color w:val="auto"/>
              </w:rPr>
            </w:pPr>
          </w:p>
        </w:tc>
        <w:tc>
          <w:tcPr>
            <w:tcW w:w="240" w:type="dxa"/>
            <w:vAlign w:val="bottom"/>
            <w:tcBorders>
              <w:top w:val="single" w:sz="8" w:color="EEEEEE"/>
              <w:bottom w:val="single" w:sz="8" w:color="EEEEEE"/>
            </w:tcBorders>
            <w:shd w:val="clear" w:color="auto" w:fill="EEEEEE"/>
          </w:tcPr>
          <w:p>
            <w:pPr>
              <w:spacing w:after="0"/>
              <w:rPr>
                <w:sz w:val="16"/>
                <w:szCs w:val="16"/>
                <w:color w:val="auto"/>
              </w:rPr>
            </w:pPr>
          </w:p>
        </w:tc>
        <w:tc>
          <w:tcPr>
            <w:tcW w:w="104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140" w:type="dxa"/>
            <w:vAlign w:val="bottom"/>
            <w:tcBorders>
              <w:top w:val="single" w:sz="8" w:color="auto"/>
              <w:bottom w:val="single" w:sz="8" w:color="EEEEEE"/>
            </w:tcBorders>
            <w:shd w:val="clear" w:color="auto" w:fill="EEEEEE"/>
          </w:tcPr>
          <w:p>
            <w:pPr>
              <w:spacing w:after="0"/>
              <w:rPr>
                <w:sz w:val="16"/>
                <w:szCs w:val="16"/>
                <w:color w:val="auto"/>
              </w:rPr>
            </w:pPr>
          </w:p>
        </w:tc>
        <w:tc>
          <w:tcPr>
            <w:tcW w:w="1100" w:type="dxa"/>
            <w:vAlign w:val="bottom"/>
            <w:tcBorders>
              <w:top w:val="single" w:sz="8" w:color="auto"/>
              <w:bottom w:val="single" w:sz="8" w:color="EEEEEE"/>
            </w:tcBorders>
            <w:shd w:val="clear" w:color="auto" w:fill="EEEEEE"/>
          </w:tcPr>
          <w:p>
            <w:pPr>
              <w:spacing w:after="0"/>
              <w:rPr>
                <w:sz w:val="16"/>
                <w:szCs w:val="16"/>
                <w:color w:val="auto"/>
              </w:rPr>
            </w:pPr>
          </w:p>
        </w:tc>
        <w:tc>
          <w:tcPr>
            <w:tcW w:w="120" w:type="dxa"/>
            <w:vAlign w:val="bottom"/>
            <w:tcBorders>
              <w:top w:val="single" w:sz="8" w:color="EEEEEE"/>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200" w:type="dxa"/>
            <w:vAlign w:val="bottom"/>
            <w:tcBorders>
              <w:top w:val="single" w:sz="8" w:color="auto"/>
              <w:bottom w:val="single" w:sz="8" w:color="EEEEEE"/>
            </w:tcBorders>
            <w:shd w:val="clear" w:color="auto" w:fill="EEEEEE"/>
          </w:tcPr>
          <w:p>
            <w:pPr>
              <w:spacing w:after="0"/>
              <w:rPr>
                <w:sz w:val="16"/>
                <w:szCs w:val="16"/>
                <w:color w:val="auto"/>
              </w:rPr>
            </w:pPr>
          </w:p>
        </w:tc>
        <w:tc>
          <w:tcPr>
            <w:tcW w:w="1040" w:type="dxa"/>
            <w:vAlign w:val="bottom"/>
            <w:tcBorders>
              <w:top w:val="single" w:sz="8" w:color="auto"/>
              <w:bottom w:val="single" w:sz="8" w:color="EEEEEE"/>
            </w:tcBorders>
            <w:shd w:val="clear" w:color="auto" w:fill="EEEEEE"/>
          </w:tcPr>
          <w:p>
            <w:pPr>
              <w:spacing w:after="0"/>
              <w:rPr>
                <w:sz w:val="16"/>
                <w:szCs w:val="16"/>
                <w:color w:val="auto"/>
              </w:rPr>
            </w:pPr>
          </w:p>
        </w:tc>
        <w:tc>
          <w:tcPr>
            <w:tcW w:w="220" w:type="dxa"/>
            <w:vAlign w:val="bottom"/>
            <w:tcBorders>
              <w:top w:val="single" w:sz="8" w:color="EEEEEE"/>
              <w:bottom w:val="single" w:sz="8" w:color="EEEEEE"/>
            </w:tcBorders>
            <w:shd w:val="clear" w:color="auto" w:fill="EEEEEE"/>
          </w:tcPr>
          <w:p>
            <w:pPr>
              <w:spacing w:after="0"/>
              <w:rPr>
                <w:sz w:val="16"/>
                <w:szCs w:val="16"/>
                <w:color w:val="auto"/>
              </w:rPr>
            </w:pPr>
          </w:p>
        </w:tc>
        <w:tc>
          <w:tcPr>
            <w:tcW w:w="1020" w:type="dxa"/>
            <w:vAlign w:val="bottom"/>
            <w:tcBorders>
              <w:top w:val="single" w:sz="8" w:color="auto"/>
              <w:bottom w:val="single" w:sz="8" w:color="EEEEEE"/>
            </w:tcBorders>
            <w:shd w:val="clear" w:color="auto" w:fill="EEEEEE"/>
          </w:tcPr>
          <w:p>
            <w:pPr>
              <w:spacing w:after="0"/>
              <w:rPr>
                <w:sz w:val="16"/>
                <w:szCs w:val="16"/>
                <w:color w:val="auto"/>
              </w:rPr>
            </w:pP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2,188,852</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408,996</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1,819,071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349,912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gridSpan w:val="5"/>
          </w:tcPr>
          <w:p>
            <w:pPr>
              <w:jc w:val="center"/>
              <w:ind w:right="1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76,208</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8,569</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11.2%</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62,104</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6,127</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846</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1,405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2,075,127</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69,178</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1,698,777</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48,631</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1,348</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1,582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EEEEEE"/>
          </w:tcPr>
          <w:p>
            <w:pPr>
              <w:spacing w:after="0" w:line="20" w:lineRule="exact"/>
              <w:rPr>
                <w:sz w:val="1"/>
                <w:szCs w:val="1"/>
                <w:color w:val="auto"/>
              </w:rPr>
            </w:pPr>
          </w:p>
        </w:tc>
        <w:tc>
          <w:tcPr>
            <w:tcW w:w="11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2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2,172,810</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79,941</w:t>
            </w:r>
          </w:p>
        </w:tc>
        <w:tc>
          <w:tcPr>
            <w:tcW w:w="240" w:type="dxa"/>
            <w:vAlign w:val="bottom"/>
            <w:vMerge w:val="continue"/>
            <w:shd w:val="clear" w:color="auto" w:fill="EEEEEE"/>
          </w:tcPr>
          <w:p>
            <w:pPr>
              <w:spacing w:after="0"/>
              <w:rPr>
                <w:sz w:val="20"/>
                <w:szCs w:val="20"/>
                <w:color w:val="auto"/>
              </w:rPr>
            </w:pPr>
          </w:p>
        </w:tc>
        <w:tc>
          <w:tcPr>
            <w:tcW w:w="1160" w:type="dxa"/>
            <w:vAlign w:val="bottom"/>
            <w:gridSpan w:val="2"/>
            <w:vMerge w:val="continue"/>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1,786,931</w:t>
            </w: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57,745</w:t>
            </w:r>
          </w:p>
        </w:tc>
        <w:tc>
          <w:tcPr>
            <w:tcW w:w="220" w:type="dxa"/>
            <w:vAlign w:val="bottom"/>
            <w:vMerge w:val="continue"/>
            <w:shd w:val="clear" w:color="auto" w:fill="EEEEEE"/>
          </w:tcPr>
          <w:p>
            <w:pPr>
              <w:spacing w:after="0"/>
              <w:rPr>
                <w:sz w:val="20"/>
                <w:szCs w:val="20"/>
                <w:color w:val="auto"/>
              </w:rPr>
            </w:pPr>
          </w:p>
        </w:tc>
        <w:tc>
          <w:tcPr>
            <w:tcW w:w="112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interest income/spread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interest margin (3)</w:t>
      </w:r>
    </w:p>
    <w:p>
      <w:pPr>
        <w:spacing w:after="0" w:line="23" w:lineRule="exact"/>
        <w:rPr>
          <w:sz w:val="20"/>
          <w:szCs w:val="20"/>
          <w:color w:val="auto"/>
        </w:rPr>
      </w:pPr>
    </w:p>
    <w:p>
      <w:pPr>
        <w:ind w:left="100" w:right="420" w:hanging="89"/>
        <w:spacing w:after="0" w:line="361" w:lineRule="auto"/>
        <w:rPr>
          <w:sz w:val="20"/>
          <w:szCs w:val="20"/>
          <w:color w:val="auto"/>
        </w:rPr>
      </w:pPr>
      <w:r>
        <w:rPr>
          <w:rFonts w:ascii="Arial" w:cs="Arial" w:eastAsia="Arial" w:hAnsi="Arial"/>
          <w:sz w:val="15"/>
          <w:szCs w:val="15"/>
          <w:color w:val="auto"/>
        </w:rPr>
        <w:t>Ratio of average interest earning assets to average interest bearing liabilities</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329,055</w:t>
            </w:r>
          </w:p>
        </w:tc>
        <w:tc>
          <w:tcPr>
            <w:tcW w:w="180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292,167</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jc w:val="right"/>
              <w:ind w:right="150"/>
              <w:spacing w:after="0"/>
              <w:rPr>
                <w:sz w:val="20"/>
                <w:szCs w:val="20"/>
                <w:color w:val="auto"/>
              </w:rPr>
            </w:pPr>
            <w:r>
              <w:rPr>
                <w:rFonts w:ascii="Arial" w:cs="Arial" w:eastAsia="Arial" w:hAnsi="Arial"/>
                <w:sz w:val="18"/>
                <w:szCs w:val="18"/>
                <w:color w:val="auto"/>
                <w:w w:val="86"/>
              </w:rPr>
              <w:t>101%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vMerge w:val="restart"/>
          </w:tcPr>
          <w:p>
            <w:pPr>
              <w:jc w:val="right"/>
              <w:ind w:right="430"/>
              <w:spacing w:after="0"/>
              <w:rPr>
                <w:sz w:val="20"/>
                <w:szCs w:val="20"/>
                <w:color w:val="auto"/>
              </w:rPr>
            </w:pPr>
            <w:r>
              <w:rPr>
                <w:rFonts w:ascii="Arial" w:cs="Arial" w:eastAsia="Arial" w:hAnsi="Arial"/>
                <w:sz w:val="18"/>
                <w:szCs w:val="18"/>
                <w:color w:val="auto"/>
              </w:rPr>
              <w:t>15.0%</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102%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line="20" w:lineRule="exact"/>
              <w:rPr>
                <w:sz w:val="1"/>
                <w:szCs w:val="1"/>
                <w:color w:val="auto"/>
              </w:rPr>
            </w:pPr>
          </w:p>
        </w:tc>
      </w:tr>
      <w:tr>
        <w:trPr>
          <w:trHeight w:val="197"/>
        </w:trPr>
        <w:tc>
          <w:tcPr>
            <w:tcW w:w="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-591185</wp:posOffset>
            </wp:positionV>
            <wp:extent cx="72466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-273685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240" w:space="720"/>
            <w:col w:w="7460"/>
          </w:cols>
          <w:pgMar w:left="240" w:top="692" w:right="239" w:bottom="1440" w:gutter="0" w:footer="0" w:header="0"/>
          <w:type w:val="continuous"/>
        </w:sect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7"/>
          </w:tcPr>
          <w:p>
            <w:pPr>
              <w:jc w:val="center"/>
              <w:ind w:left="590"/>
              <w:spacing w:after="0"/>
              <w:rPr>
                <w:sz w:val="20"/>
                <w:szCs w:val="20"/>
                <w:color w:val="auto"/>
              </w:rPr>
            </w:pPr>
            <w:r>
              <w:rPr>
                <w:rFonts w:ascii="Arial" w:cs="Arial" w:eastAsia="Arial" w:hAnsi="Arial"/>
                <w:sz w:val="18"/>
                <w:szCs w:val="18"/>
                <w:b w:val="1"/>
                <w:bCs w:val="1"/>
                <w:color w:val="auto"/>
                <w:w w:val="90"/>
              </w:rPr>
              <w:t>Year Ended December 31, 2016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b w:val="1"/>
                <w:bCs w:val="1"/>
                <w:color w:val="auto"/>
                <w:w w:val="89"/>
              </w:rPr>
              <w:t>Compared to December 31, 2015</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80" w:type="dxa"/>
            <w:vAlign w:val="bottom"/>
          </w:tcPr>
          <w:p>
            <w:pPr>
              <w:spacing w:after="0"/>
              <w:rPr>
                <w:sz w:val="16"/>
                <w:szCs w:val="16"/>
                <w:color w:val="auto"/>
              </w:rPr>
            </w:pPr>
          </w:p>
        </w:tc>
        <w:tc>
          <w:tcPr>
            <w:tcW w:w="12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Change Due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3"/>
            <w:vMerge w:val="restart"/>
          </w:tcPr>
          <w:p>
            <w:pPr>
              <w:jc w:val="center"/>
              <w:ind w:right="700"/>
              <w:spacing w:after="0"/>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Total Change</w:t>
            </w:r>
          </w:p>
        </w:tc>
        <w:tc>
          <w:tcPr>
            <w:tcW w:w="22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Volume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right="1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59,084</w:t>
            </w:r>
          </w:p>
        </w:tc>
        <w:tc>
          <w:tcPr>
            <w:tcW w:w="220" w:type="dxa"/>
            <w:vAlign w:val="bottom"/>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71,130</w:t>
            </w:r>
          </w:p>
        </w:tc>
        <w:tc>
          <w:tcPr>
            <w:tcW w:w="520" w:type="dxa"/>
            <w:vAlign w:val="bottom"/>
            <w:gridSpan w:val="2"/>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4"/>
          </w:tcPr>
          <w:p>
            <w:pPr>
              <w:jc w:val="center"/>
              <w:ind w:right="5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2,442</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20,547</w:t>
            </w: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10,774</w:t>
            </w:r>
          </w:p>
        </w:tc>
        <w:tc>
          <w:tcPr>
            <w:tcW w:w="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22,196</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11,579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56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36,888</w:t>
            </w:r>
          </w:p>
        </w:tc>
        <w:tc>
          <w:tcPr>
            <w:tcW w:w="2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5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59,551</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(22,663</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Provision for credit losses was $178.5 million for the year ended December 31, 2016, an increase of $35.9 million, or 25.2% compared to the prior year and represented 47.9%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increase in contract purchases during the last year, the larger portfolio owned by our consolidated subsidiaries compared to the prior year, and an adverse trend in the performance of our receivables, which we believe is consistent with the aging of our portfolio and may also be related to certain procedural changes in our servicing practices that were required by a consent decree to which we became subject in June 2014.</w:t>
      </w:r>
    </w:p>
    <w:p>
      <w:pPr>
        <w:spacing w:after="0" w:line="16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$348,000, or 2.0%, to $17.8 million during the year ended December 31, 2016, compared to $17.5 million in the prior year, and represented 4.8% of total operating expenses. For the year ended December 31, 2016, we purchased 66,527 contracts representing $1,088.8 million in receivables compared to 64,130 contracts representing $1,060.5 million in receivables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38" w:name="page39"/>
    <w:bookmarkEnd w:id="38"/>
    <w:p>
      <w:pPr>
        <w:ind w:right="40" w:firstLine="648"/>
        <w:spacing w:after="0" w:line="286" w:lineRule="auto"/>
        <w:rPr>
          <w:sz w:val="20"/>
          <w:szCs w:val="20"/>
          <w:color w:val="auto"/>
        </w:rPr>
      </w:pPr>
      <w:r>
        <w:rPr>
          <w:rFonts w:ascii="Arial" w:cs="Arial" w:eastAsia="Arial" w:hAnsi="Arial"/>
          <w:sz w:val="17"/>
          <w:szCs w:val="17"/>
          <w:color w:val="auto"/>
        </w:rPr>
        <w:t>Occupancy expenses increased by $1.1 million or 27.0%, to $5.2 million compared to $4.1 million in the previous year and represented 1.4%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Depreciation and amortization expenses increased by $140,000 or 22.0%, to $777,000 compared to $637,000 in the previous year and represented 0.2% of total operating expenses.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the year ended December 31, 2016, we recorded income tax expense of $20.4 million, representing a 41.0% effective income tax rate. In the prior year, we recorded $26.7 million of income tax expense, representing a 43.5%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business requires substantial cash to support our acquisitions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acquisitions of automobile contracts, repayment of securitization trust debt, repayment of amounts borrowed under warehouse credit facilities,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Net cash provided by operating activities for the years ended December 31, 2017, 2016 and 2015 was $215.6 million, $196.3 million and $187.6 million, respectively. Net cash from operating activities is generally provided by net income from operations adjusted for significant non-cash items such as our provision for credit losses and accretion of deferred acquisition fees.</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Net cash used in investing activities for the years ended December 31, 2017, 2016 and 2015 was $209.8 million, $444.5 million and $441.3 million, respectively. Cash provided by investing activities primarily results from principal payments and other proceeds received on finance receivables held for investment. Cash used in investing activities generally relates to acquisitions of finance receivables. Acquisitions of finance receivables held for investment were $859.1 million, $1,088.8 million and $1,060.5 million in 2017, 2016 and 2015, respectively. The results for 2015 also reflect a decrease of $69.3 million in restricted cash. Our restricted cash balance at December 31, 2014 included $85.3 million from the proceeds of the sale of the asset-backed notes that were held by the trustee pending delivery of the remaining receivables. Since we did not do a securitization in December 2015, 2016 or 2017, there was no related amount of restricted cash representing the pre-funding proceeds.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Net cash used in financing activities for the year ended December 31, 2017 was $7.0 million. Net cash provided by financing activities for the years ended December 31, 2016 and 2015 was $242.8 million and $255.2 million, respectively. Cash used or provided by financing activities is primarily attributable to the repayment or issuance of debt, and in particular, securitization trust debt and portfolio acquisition financing. We issued $852.6 million in new securitization trust debt in 2017 compared to $1,197.5 million in 2016 and $795.0 million in 2015. Repayments of securitization debt were $851.2 million, $834.9 million and $662.0 million in 2017, 2016 and 2015, respectively.</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access to the asset-backed securitization market for long-term financing of our portfolio of automobile contracts. In addition, from time to time, we have relied on the availability of cash from outside sources in order to finance our continuing operations, as well as to fund the portion of automobile contract purchase prices not financed under revolving warehouse credit facilities.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acquire automobile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right="40"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December 31, 2017, we had unrestricted cash of $12.7 million. We had an aggregate of $187.6 million available under our three $100 million warehouse credit facilities (subject to available eligible collateral and our own capital). During 2017 we completed four securitizations aggregating $870.0 million of receivables, and we intend to continue completing securitizations regularly during 2018,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w:t>
      </w:r>
    </w:p>
    <w:p>
      <w:pPr>
        <w:spacing w:after="0" w:line="2" w:lineRule="exact"/>
        <w:rPr>
          <w:sz w:val="20"/>
          <w:szCs w:val="20"/>
          <w:color w:val="auto"/>
        </w:rPr>
      </w:pPr>
    </w:p>
    <w:p>
      <w:pPr>
        <w:ind w:right="220" w:firstLine="8"/>
        <w:spacing w:after="0" w:line="255"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require increased credit enhancement to be accumulated for the particular pool; or (ii) in certain circumstances, may permit the transfer of servicing on some or all of the automobile contracts to another servicer. There can be no assurance that collections from the related trusts will continue to generate sufficient cash.</w:t>
      </w:r>
    </w:p>
    <w:p>
      <w:pPr>
        <w:spacing w:after="0" w:line="19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December 31, 2017, we had approximately $2,212.2 million of debt outstanding. Such debt consisted primarily of $2,083.2 million of securitization trust debt, $112.4 million of warehouse lines of credit, and $16.6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material contractual obligations as of December 31, 2017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ind w:left="1120"/>
              <w:spacing w:after="0"/>
              <w:rPr>
                <w:sz w:val="20"/>
                <w:szCs w:val="20"/>
                <w:color w:val="auto"/>
              </w:rPr>
            </w:pPr>
            <w:r>
              <w:rPr>
                <w:rFonts w:ascii="Arial" w:cs="Arial" w:eastAsia="Arial" w:hAnsi="Arial"/>
                <w:sz w:val="18"/>
                <w:szCs w:val="18"/>
                <w:b w:val="1"/>
                <w:bCs w:val="1"/>
                <w:color w:val="auto"/>
                <w:w w:val="92"/>
              </w:rPr>
              <w:t>Payment Due by Period (1)</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200"/>
              <w:spacing w:after="0" w:line="205" w:lineRule="exact"/>
              <w:rPr>
                <w:sz w:val="20"/>
                <w:szCs w:val="20"/>
                <w:color w:val="auto"/>
              </w:rPr>
            </w:pPr>
            <w:r>
              <w:rPr>
                <w:rFonts w:ascii="Arial" w:cs="Arial" w:eastAsia="Arial" w:hAnsi="Arial"/>
                <w:sz w:val="18"/>
                <w:szCs w:val="18"/>
                <w:b w:val="1"/>
                <w:bCs w:val="1"/>
                <w:color w:val="auto"/>
              </w:rPr>
              <w:t>2 to 3</w:t>
            </w:r>
          </w:p>
        </w:tc>
        <w:tc>
          <w:tcPr>
            <w:tcW w:w="280" w:type="dxa"/>
            <w:vAlign w:val="bottom"/>
          </w:tcPr>
          <w:p>
            <w:pPr>
              <w:spacing w:after="0"/>
              <w:rPr>
                <w:sz w:val="17"/>
                <w:szCs w:val="17"/>
                <w:color w:val="auto"/>
              </w:rPr>
            </w:pPr>
          </w:p>
        </w:tc>
        <w:tc>
          <w:tcPr>
            <w:tcW w:w="1400" w:type="dxa"/>
            <w:vAlign w:val="bottom"/>
            <w:gridSpan w:val="2"/>
          </w:tcPr>
          <w:p>
            <w:pPr>
              <w:ind w:left="200"/>
              <w:spacing w:after="0" w:line="205" w:lineRule="exact"/>
              <w:rPr>
                <w:sz w:val="20"/>
                <w:szCs w:val="20"/>
                <w:color w:val="auto"/>
              </w:rPr>
            </w:pPr>
            <w:r>
              <w:rPr>
                <w:rFonts w:ascii="Arial" w:cs="Arial" w:eastAsia="Arial" w:hAnsi="Arial"/>
                <w:sz w:val="18"/>
                <w:szCs w:val="18"/>
                <w:b w:val="1"/>
                <w:bCs w:val="1"/>
                <w:color w:val="auto"/>
              </w:rPr>
              <w:t>4 to 5</w:t>
            </w:r>
          </w:p>
        </w:tc>
        <w:tc>
          <w:tcPr>
            <w:tcW w:w="180" w:type="dxa"/>
            <w:vAlign w:val="bottom"/>
          </w:tcPr>
          <w:p>
            <w:pPr>
              <w:spacing w:after="0"/>
              <w:rPr>
                <w:sz w:val="17"/>
                <w:szCs w:val="17"/>
                <w:color w:val="auto"/>
              </w:rPr>
            </w:pPr>
          </w:p>
        </w:tc>
        <w:tc>
          <w:tcPr>
            <w:tcW w:w="11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16,566</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ind w:left="760"/>
              <w:spacing w:after="0"/>
              <w:rPr>
                <w:sz w:val="20"/>
                <w:szCs w:val="20"/>
                <w:color w:val="auto"/>
              </w:rPr>
            </w:pPr>
            <w:r>
              <w:rPr>
                <w:rFonts w:ascii="Arial" w:cs="Arial" w:eastAsia="Arial" w:hAnsi="Arial"/>
                <w:sz w:val="18"/>
                <w:szCs w:val="18"/>
                <w:color w:val="auto"/>
                <w:w w:val="84"/>
              </w:rPr>
              <w:t>8,406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4,558</w:t>
            </w:r>
          </w:p>
        </w:tc>
        <w:tc>
          <w:tcPr>
            <w:tcW w:w="3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33,932</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760"/>
              <w:spacing w:after="0"/>
              <w:rPr>
                <w:sz w:val="20"/>
                <w:szCs w:val="20"/>
                <w:color w:val="auto"/>
              </w:rPr>
            </w:pPr>
            <w:r>
              <w:rPr>
                <w:rFonts w:ascii="Arial" w:cs="Arial" w:eastAsia="Arial" w:hAnsi="Arial"/>
                <w:sz w:val="18"/>
                <w:szCs w:val="18"/>
                <w:color w:val="auto"/>
              </w:rPr>
              <w:t>6,493</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13,500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12,323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1,616</w:t>
            </w:r>
          </w:p>
        </w:tc>
      </w:tr>
    </w:tbl>
    <w:p>
      <w:pPr>
        <w:spacing w:after="0" w:line="187" w:lineRule="exact"/>
        <w:rPr>
          <w:sz w:val="20"/>
          <w:szCs w:val="20"/>
          <w:color w:val="auto"/>
        </w:rPr>
      </w:pPr>
    </w:p>
    <w:p>
      <w:pPr>
        <w:ind w:left="340" w:right="100" w:hanging="332"/>
        <w:spacing w:after="0" w:line="254" w:lineRule="auto"/>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$2,083.2 million as of December 31, 2017, is omitted from this table because it becomes due as and when the related receivables balance is reduced by payments and charge-offs. Expected payments, which will depend on the performance of such receivables, as to which there can be no assurance, are $873.7 million in 2018, $612.3 million in 2019, $362.5 million in 2020, $179.3 million in 2021, $49.5 million in 2022, and $5.9 million in 2023.</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represents subordinated renewable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repaying debt due in 2018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 $100 million one-year warehouse credit line with Citibank, N.A.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is structured to allow us to fund a portion of the purchase price of automobile contracts by borrowing from a credit facility to our consolidated subsidiary Page Eight Funding, LLC. The facility provides for effective advances up to 86.0% of eligible finance receivables. The loans under the facility accrue interest at one-month LIBOR plus 5.50% per annum, with a minimum rate of 6.25% per annum. In August 2016, this facility was amended to extend the revolving period to August 2018 and to include an amortization period through August 2019 for any receivables pledged to the facility at the end of the revolving period. At December 31, 2017 there was $77.5 million outstanding under this facility.</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Facility Established in April 2015. </w:t>
      </w:r>
      <w:r>
        <w:rPr>
          <w:rFonts w:ascii="Arial" w:cs="Arial" w:eastAsia="Arial" w:hAnsi="Arial"/>
          <w:sz w:val="17"/>
          <w:szCs w:val="17"/>
          <w:color w:val="auto"/>
        </w:rPr>
        <w:t>On April 17, 2015, we entered into an additional $100 million one-year warehouse credit line with Fortress</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April 2017, this facility was amended to extend the revolving period to April 2019 followed by an amortization period through April 2021 for any receivables pledged to the facility at the end of the revolving period. At December 31, 2017 there was $25.6 million outstanding under this facility.</w:t>
      </w:r>
    </w:p>
    <w:p>
      <w:pPr>
        <w:spacing w:after="0" w:line="178" w:lineRule="exact"/>
        <w:rPr>
          <w:sz w:val="20"/>
          <w:szCs w:val="20"/>
          <w:color w:val="auto"/>
        </w:rPr>
      </w:pPr>
    </w:p>
    <w:p>
      <w:pPr>
        <w:ind w:right="380" w:firstLine="648"/>
        <w:spacing w:after="0" w:line="288" w:lineRule="auto"/>
        <w:rPr>
          <w:sz w:val="20"/>
          <w:szCs w:val="20"/>
          <w:color w:val="auto"/>
        </w:rPr>
      </w:pPr>
      <w:r>
        <w:rPr>
          <w:rFonts w:ascii="Arial" w:cs="Arial" w:eastAsia="Arial" w:hAnsi="Arial"/>
          <w:sz w:val="16"/>
          <w:szCs w:val="16"/>
          <w:i w:val="1"/>
          <w:iCs w:val="1"/>
          <w:color w:val="auto"/>
        </w:rPr>
        <w:t xml:space="preserve">Facility Established in November 2015. </w:t>
      </w:r>
      <w:r>
        <w:rPr>
          <w:rFonts w:ascii="Arial" w:cs="Arial" w:eastAsia="Arial" w:hAnsi="Arial"/>
          <w:sz w:val="16"/>
          <w:szCs w:val="16"/>
          <w:color w:val="auto"/>
        </w:rPr>
        <w:t>On November 24, 2015, we entered into an additional $100 million one-year warehouse credit line with</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w:t>
      </w:r>
    </w:p>
    <w:p>
      <w:pPr>
        <w:ind w:right="40"/>
        <w:spacing w:after="0" w:line="254" w:lineRule="auto"/>
        <w:rPr>
          <w:sz w:val="20"/>
          <w:szCs w:val="20"/>
          <w:color w:val="auto"/>
        </w:rPr>
      </w:pPr>
      <w:r>
        <w:rPr>
          <w:rFonts w:ascii="Arial" w:cs="Arial" w:eastAsia="Arial" w:hAnsi="Arial"/>
          <w:sz w:val="18"/>
          <w:szCs w:val="18"/>
          <w:color w:val="auto"/>
        </w:rPr>
        <w:t>88.0% of eligible finance receivables, or up to 80.0% for certain other receivables. The loans under the facility accrue interest at a commercial paper rate plus 6.75% per annum, with a minimum rate of 7.75% per annum. In November 2017, this facility was amended to extend the revolving period to November 2019 followed by an amortization period through November 2021 for any receivables pledged to the facility at the end of the revolving period. At December 31, 2017 there was $11.1 million outstanding under this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Over the period from January 1, 2015 through December 31, 2017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(Dollars 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9,042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(9,042)</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2,080,900</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1,731,598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1,598,496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852,615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1,197,515</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795,000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(851,193)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(834,880)</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(661,960)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Reclassification of deferred financing costs</w:t>
            </w:r>
          </w:p>
        </w:tc>
        <w:tc>
          <w:tcPr>
            <w:tcW w:w="30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(11,579)</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Capitalization of deferred financing costs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(6,104)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(8,367)</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6,997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6,593</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2,083,215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2,080,900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SUBORDINATED RENEWABLE NOTES: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14,949</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15,138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15,233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4,083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2,911</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(3,100)</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16,566</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15,138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DEBT SECURED BY RECEIVABLES MEASURED AT FAIR VALUE: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Accretion of premium</w:t>
            </w:r>
          </w:p>
        </w:tc>
        <w:tc>
          <w:tcPr>
            <w:tcW w:w="30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April 2013, we established a five-year $20 million term residual facility. The facility is secured by eligible residual interests in two previously securitized pools of automobile receivables. The facility provides for effective advances up to 70.0% of the related borrowing base. Notes issued under the facility accrue interest at one-month LIBOR plus 11.75% per annum. The facility was repaid in full in November 2016.</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Securitization Trust Debt. </w:t>
      </w:r>
      <w:r>
        <w:rPr>
          <w:rFonts w:ascii="Arial" w:cs="Arial" w:eastAsia="Arial" w:hAnsi="Arial"/>
          <w:sz w:val="18"/>
          <w:szCs w:val="18"/>
          <w:color w:val="auto"/>
        </w:rPr>
        <w:t>Since 2011, we treated all 26 of our securitizations of automobile contracts as secured financings for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and the asset-backed securities issued in such securitizations remain on our consolidated balance sheet as securitization trust debt. We had $2,083.2 million of securitization trust debt outstanding at December 31, 2017.</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2017 there were $16.6 million of such notes outstanding.</w:t>
      </w:r>
    </w:p>
    <w:p>
      <w:pPr>
        <w:spacing w:after="0" w:line="18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2017,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1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3" w:name="page44"/>
    <w:bookmarkEnd w:id="43"/>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management of the Company has evaluated the effectiveness of the design and operation of the Company’s disclosure controls and procedures, as defined in Rules 13a-15(e) and 15d-15(e) under the Securities Exchange Act of 1934 (the "Exchange Act") as of December 31, 2017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quarter ended December 31, 2017,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over 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with the participation of the Chief Executive and Chief Financial Officers, assessed the effectiveness of our internal control over financial reporting as of December 31, 2017.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2017, our internal control over financial reporting is effective based on those criteria.</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internal control over financial reporting as of December 31, 2017, has been audited by Crowe Horwath LLP, an independent registered public accounting firm, as stated in their report which is included herein.</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8" w:right="339" w:bottom="1440" w:gutter="0" w:footer="0" w:header="0"/>
        </w:sectPr>
      </w:pPr>
    </w:p>
    <w:bookmarkStart w:id="44" w:name="page45"/>
    <w:bookmarkEnd w:id="44"/>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2018 (the "2018 Proxy Statement"). The 2018 Proxy Statement will be filed not later than April 30, 2018. Information regarding executive officers of the registrant appears in Part I of this report, and is incorporated herein by reference.</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2018 Proxy Statement.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2018 Proxy Statement.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2018 Proxy Statement.</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Incorporated by reference to the 2018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688" w:right="4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80" w:type="dxa"/>
            <w:vAlign w:val="bottom"/>
            <w:gridSpan w:val="2"/>
          </w:tcPr>
          <w:p>
            <w:pPr>
              <w:spacing w:after="0"/>
              <w:rPr>
                <w:sz w:val="20"/>
                <w:szCs w:val="20"/>
                <w:color w:val="auto"/>
              </w:rPr>
            </w:pPr>
            <w:r>
              <w:rPr>
                <w:rFonts w:ascii="Arial" w:cs="Arial" w:eastAsia="Arial" w:hAnsi="Arial"/>
                <w:sz w:val="18"/>
                <w:szCs w:val="18"/>
                <w:i w:val="1"/>
                <w:iCs w:val="1"/>
                <w:color w:val="auto"/>
              </w:rPr>
              <w:t>Exhibit Number</w:t>
            </w:r>
          </w:p>
        </w:tc>
        <w:tc>
          <w:tcPr>
            <w:tcW w:w="10040" w:type="dxa"/>
            <w:vAlign w:val="bottom"/>
            <w:gridSpan w:val="4"/>
          </w:tcPr>
          <w:p>
            <w:pPr>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169"/>
        </w:trPr>
        <w:tc>
          <w:tcPr>
            <w:tcW w:w="1160" w:type="dxa"/>
            <w:vAlign w:val="bottom"/>
            <w:tcBorders>
              <w:top w:val="single" w:sz="8" w:color="auto"/>
            </w:tcBorders>
            <w:shd w:val="clear" w:color="auto" w:fill="EEEEEE"/>
          </w:tcPr>
          <w:p>
            <w:pPr>
              <w:jc w:val="right"/>
              <w:spacing w:after="0" w:line="170" w:lineRule="exact"/>
              <w:rPr>
                <w:sz w:val="20"/>
                <w:szCs w:val="20"/>
                <w:color w:val="auto"/>
              </w:rPr>
            </w:pPr>
            <w:r>
              <w:rPr>
                <w:rFonts w:ascii="Arial" w:cs="Arial" w:eastAsia="Arial" w:hAnsi="Arial"/>
                <w:sz w:val="18"/>
                <w:szCs w:val="18"/>
                <w:color w:val="auto"/>
              </w:rPr>
              <w:t>3.1</w:t>
            </w:r>
          </w:p>
        </w:tc>
        <w:tc>
          <w:tcPr>
            <w:tcW w:w="220" w:type="dxa"/>
            <w:vAlign w:val="bottom"/>
            <w:tcBorders>
              <w:top w:val="single" w:sz="8" w:color="EEEEEE"/>
            </w:tcBorders>
            <w:shd w:val="clear" w:color="auto" w:fill="EEEEEE"/>
          </w:tcPr>
          <w:p>
            <w:pPr>
              <w:spacing w:after="0"/>
              <w:rPr>
                <w:sz w:val="14"/>
                <w:szCs w:val="14"/>
                <w:color w:val="auto"/>
              </w:rPr>
            </w:pPr>
          </w:p>
        </w:tc>
        <w:tc>
          <w:tcPr>
            <w:tcW w:w="10040" w:type="dxa"/>
            <w:vAlign w:val="bottom"/>
            <w:tcBorders>
              <w:top w:val="single" w:sz="8" w:color="auto"/>
            </w:tcBorders>
            <w:gridSpan w:val="4"/>
            <w:shd w:val="clear" w:color="auto" w:fill="EEEEEE"/>
          </w:tcPr>
          <w:p>
            <w:pPr>
              <w:spacing w:after="0" w:line="170" w:lineRule="exact"/>
              <w:rPr>
                <w:rFonts w:ascii="Arial" w:cs="Arial" w:eastAsia="Arial" w:hAnsi="Arial"/>
                <w:sz w:val="18"/>
                <w:szCs w:val="18"/>
                <w:color w:val="0000EE"/>
              </w:rPr>
            </w:pPr>
            <w:hyperlink r:id="rId65">
              <w:r>
                <w:rPr>
                  <w:rFonts w:ascii="Arial" w:cs="Arial" w:eastAsia="Arial" w:hAnsi="Arial"/>
                  <w:sz w:val="18"/>
                  <w:szCs w:val="18"/>
                  <w:color w:val="0000EE"/>
                </w:rPr>
                <w:t xml:space="preserve">Restated Articles of Incorporation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 to Form 10-K filed March 31, 2009)</w:t>
            </w:r>
          </w:p>
        </w:tc>
      </w:tr>
      <w:tr>
        <w:trPr>
          <w:trHeight w:val="21"/>
        </w:trPr>
        <w:tc>
          <w:tcPr>
            <w:tcW w:w="11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60" w:type="dxa"/>
            <w:vAlign w:val="bottom"/>
            <w:tcBorders>
              <w:top w:val="single" w:sz="8" w:color="0000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2140" w:type="dxa"/>
            <w:vAlign w:val="bottom"/>
            <w:tcBorders>
              <w:top w:val="single" w:sz="8" w:color="EEEEEE"/>
            </w:tcBorders>
            <w:shd w:val="clear" w:color="auto" w:fill="EEEEEE"/>
          </w:tcPr>
          <w:p>
            <w:pPr>
              <w:spacing w:after="0" w:line="20" w:lineRule="exact"/>
              <w:rPr>
                <w:sz w:val="1"/>
                <w:szCs w:val="1"/>
                <w:color w:val="auto"/>
              </w:rPr>
            </w:pPr>
          </w:p>
        </w:tc>
        <w:tc>
          <w:tcPr>
            <w:tcW w:w="448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138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3.1.1</w:t>
            </w:r>
          </w:p>
        </w:tc>
        <w:tc>
          <w:tcPr>
            <w:tcW w:w="10040" w:type="dxa"/>
            <w:vAlign w:val="bottom"/>
            <w:gridSpan w:val="4"/>
          </w:tcPr>
          <w:p>
            <w:pPr>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 xml:space="preserve">Certificate of Designation re Series B Preferred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3.1.1 to Form 8-K filed by the registrant on December 30, 2010)</w:t>
            </w:r>
          </w:p>
        </w:tc>
      </w:tr>
      <w:tr>
        <w:trPr>
          <w:trHeight w:val="21"/>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176"/>
        </w:trPr>
        <w:tc>
          <w:tcPr>
            <w:tcW w:w="1380" w:type="dxa"/>
            <w:vAlign w:val="bottom"/>
            <w:gridSpan w:val="2"/>
            <w:shd w:val="clear" w:color="auto" w:fill="EEEEEE"/>
          </w:tcPr>
          <w:p>
            <w:pPr>
              <w:jc w:val="right"/>
              <w:ind w:right="220"/>
              <w:spacing w:after="0" w:line="176" w:lineRule="exact"/>
              <w:rPr>
                <w:sz w:val="20"/>
                <w:szCs w:val="20"/>
                <w:color w:val="auto"/>
              </w:rPr>
            </w:pPr>
            <w:r>
              <w:rPr>
                <w:rFonts w:ascii="Arial" w:cs="Arial" w:eastAsia="Arial" w:hAnsi="Arial"/>
                <w:sz w:val="18"/>
                <w:szCs w:val="18"/>
                <w:color w:val="auto"/>
              </w:rPr>
              <w:t>3.2</w:t>
            </w:r>
          </w:p>
        </w:tc>
        <w:tc>
          <w:tcPr>
            <w:tcW w:w="10040" w:type="dxa"/>
            <w:vAlign w:val="bottom"/>
            <w:gridSpan w:val="4"/>
            <w:shd w:val="clear" w:color="auto" w:fill="EEEEEE"/>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Amended and Restated Bylaws (Exhibit 3.3 to Form 8-K filed July 20, 2009)</w:t>
              </w:r>
            </w:hyperlink>
          </w:p>
        </w:tc>
      </w:tr>
      <w:tr>
        <w:trPr>
          <w:trHeight w:val="21"/>
        </w:trPr>
        <w:tc>
          <w:tcPr>
            <w:tcW w:w="11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60" w:type="dxa"/>
            <w:vAlign w:val="bottom"/>
            <w:tcBorders>
              <w:top w:val="single" w:sz="8" w:color="0000EE"/>
            </w:tcBorders>
            <w:shd w:val="clear" w:color="auto" w:fill="EEEEEE"/>
          </w:tcPr>
          <w:p>
            <w:pPr>
              <w:spacing w:after="0" w:line="20" w:lineRule="exact"/>
              <w:rPr>
                <w:sz w:val="1"/>
                <w:szCs w:val="1"/>
                <w:color w:val="auto"/>
              </w:rPr>
            </w:pPr>
          </w:p>
        </w:tc>
        <w:tc>
          <w:tcPr>
            <w:tcW w:w="960" w:type="dxa"/>
            <w:vAlign w:val="bottom"/>
            <w:tcBorders>
              <w:top w:val="single" w:sz="8" w:color="0000EE"/>
            </w:tcBorders>
            <w:shd w:val="clear" w:color="auto" w:fill="EEEEEE"/>
          </w:tcPr>
          <w:p>
            <w:pPr>
              <w:spacing w:after="0" w:line="20" w:lineRule="exact"/>
              <w:rPr>
                <w:sz w:val="1"/>
                <w:szCs w:val="1"/>
                <w:color w:val="auto"/>
              </w:rPr>
            </w:pPr>
          </w:p>
        </w:tc>
        <w:tc>
          <w:tcPr>
            <w:tcW w:w="2140" w:type="dxa"/>
            <w:vAlign w:val="bottom"/>
            <w:tcBorders>
              <w:top w:val="single" w:sz="8" w:color="0000EE"/>
            </w:tcBorders>
            <w:shd w:val="clear" w:color="auto" w:fill="EEEEEE"/>
          </w:tcPr>
          <w:p>
            <w:pPr>
              <w:spacing w:after="0" w:line="20" w:lineRule="exact"/>
              <w:rPr>
                <w:sz w:val="1"/>
                <w:szCs w:val="1"/>
                <w:color w:val="auto"/>
              </w:rPr>
            </w:pPr>
          </w:p>
        </w:tc>
        <w:tc>
          <w:tcPr>
            <w:tcW w:w="4480" w:type="dxa"/>
            <w:vAlign w:val="bottom"/>
            <w:tcBorders>
              <w:top w:val="single" w:sz="8" w:color="EEEEEE"/>
            </w:tcBorders>
            <w:shd w:val="clear" w:color="auto" w:fill="EEEEEE"/>
          </w:tcPr>
          <w:p>
            <w:pPr>
              <w:spacing w:after="0" w:line="20" w:lineRule="exact"/>
              <w:rPr>
                <w:sz w:val="1"/>
                <w:szCs w:val="1"/>
                <w:color w:val="auto"/>
              </w:rPr>
            </w:pPr>
          </w:p>
        </w:tc>
      </w:tr>
    </w:tbl>
    <w:p>
      <w:pPr>
        <w:ind w:left="1380" w:hanging="359"/>
        <w:spacing w:after="0" w:line="250"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Instruments defining the rights of holders of long-term debt of certain consolidated subsidiaries of the registrant are omitted pursuant to the exclusion set forth in subdivision (b)(iv)(iii)(A) of Item 601 of Regulation S-K (17 CFR 229.601). The registrant agrees to provide copies of such instruments to the United States Securities and Exchange Commission upon request.</w:t>
      </w:r>
    </w:p>
    <w:p>
      <w:pPr>
        <w:spacing w:after="0" w:line="1"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68">
        <w:r>
          <w:rPr>
            <w:rFonts w:ascii="Arial" w:cs="Arial" w:eastAsia="Arial" w:hAnsi="Arial"/>
            <w:sz w:val="16"/>
            <w:szCs w:val="16"/>
            <w:u w:val="single" w:color="auto"/>
            <w:color w:val="0000EE"/>
          </w:rPr>
          <w:t xml:space="preserve">Form of Indenture re Renewable Unsecured Subordinated Notes </w:t>
        </w:r>
      </w:hyperlink>
      <w:r>
        <w:rPr>
          <w:rFonts w:ascii="Arial" w:cs="Arial" w:eastAsia="Arial" w:hAnsi="Arial"/>
          <w:sz w:val="16"/>
          <w:szCs w:val="16"/>
          <w:color w:val="000000"/>
        </w:rPr>
        <w:t>(“RUS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S-2, no. 333-121913)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0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4.2.1</w:t>
      </w:r>
      <w:r>
        <w:rPr>
          <w:sz w:val="20"/>
          <w:szCs w:val="20"/>
          <w:color w:val="auto"/>
        </w:rPr>
        <w:tab/>
      </w:r>
      <w:hyperlink r:id="rId70">
        <w:r>
          <w:rPr>
            <w:rFonts w:ascii="Arial" w:cs="Arial" w:eastAsia="Arial" w:hAnsi="Arial"/>
            <w:sz w:val="16"/>
            <w:szCs w:val="16"/>
            <w:u w:val="single" w:color="auto"/>
            <w:color w:val="0000EE"/>
          </w:rPr>
          <w:t>Form of RUS Notes (Exhibit 4.2 to Form S-2, no. 333-121913)</w:t>
        </w:r>
      </w:hyperlink>
    </w:p>
    <w:p>
      <w:pPr>
        <w:spacing w:after="0" w:line="9"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71">
        <w:r>
          <w:rPr>
            <w:rFonts w:ascii="Arial" w:cs="Arial" w:eastAsia="Arial" w:hAnsi="Arial"/>
            <w:sz w:val="16"/>
            <w:szCs w:val="16"/>
            <w:u w:val="single" w:color="auto"/>
            <w:color w:val="0000EE"/>
          </w:rPr>
          <w:t xml:space="preserve">Form of Indenture re additional Renewable Unsecured Subordinated Notes </w:t>
        </w:r>
      </w:hyperlink>
      <w:r>
        <w:rPr>
          <w:rFonts w:ascii="Arial" w:cs="Arial" w:eastAsia="Arial" w:hAnsi="Arial"/>
          <w:sz w:val="16"/>
          <w:szCs w:val="16"/>
          <w:color w:val="000000"/>
        </w:rPr>
        <w:t>(“ARUS</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Notes”) (Exhibit 4.1 to Form S-1, no. 333-168976)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0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4.3.1</w:t>
      </w:r>
      <w:r>
        <w:rPr>
          <w:sz w:val="20"/>
          <w:szCs w:val="20"/>
          <w:color w:val="auto"/>
        </w:rPr>
        <w:tab/>
      </w:r>
      <w:hyperlink r:id="rId73">
        <w:r>
          <w:rPr>
            <w:rFonts w:ascii="Arial" w:cs="Arial" w:eastAsia="Arial" w:hAnsi="Arial"/>
            <w:sz w:val="16"/>
            <w:szCs w:val="16"/>
            <w:u w:val="single" w:color="auto"/>
            <w:color w:val="0000EE"/>
          </w:rPr>
          <w:t xml:space="preserve">Form of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4.2 to Form S-1, no. 333-168976)</w:t>
      </w:r>
    </w:p>
    <w:p>
      <w:pPr>
        <w:spacing w:after="0" w:line="9" w:lineRule="exact"/>
        <w:rPr>
          <w:sz w:val="20"/>
          <w:szCs w:val="20"/>
          <w:color w:val="auto"/>
        </w:rPr>
      </w:pP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74">
        <w:r>
          <w:rPr>
            <w:rFonts w:ascii="Arial" w:cs="Arial" w:eastAsia="Arial" w:hAnsi="Arial"/>
            <w:sz w:val="16"/>
            <w:szCs w:val="16"/>
            <w:u w:val="single" w:color="auto"/>
            <w:color w:val="0000EE"/>
          </w:rPr>
          <w:t xml:space="preserve">Supplement dated December 7, 2010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4.3 to Form S-1, no. 333-168976)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4.4</w:t>
      </w:r>
      <w:r>
        <w:rPr>
          <w:sz w:val="20"/>
          <w:szCs w:val="20"/>
          <w:color w:val="auto"/>
        </w:rPr>
        <w:tab/>
      </w:r>
      <w:hyperlink r:id="rId76">
        <w:r>
          <w:rPr>
            <w:rFonts w:ascii="Arial" w:cs="Arial" w:eastAsia="Arial" w:hAnsi="Arial"/>
            <w:sz w:val="16"/>
            <w:szCs w:val="16"/>
            <w:u w:val="single" w:color="auto"/>
            <w:color w:val="0000EE"/>
          </w:rPr>
          <w:t xml:space="preserve">Supplement dated January 22, 2014 to Indenture re ARUS Notes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4.4 to Form S-1, no. 333-190766)</w:t>
      </w:r>
    </w:p>
    <w:p>
      <w:pPr>
        <w:spacing w:after="0" w:line="9" w:lineRule="exact"/>
        <w:rPr>
          <w:sz w:val="20"/>
          <w:szCs w:val="20"/>
          <w:color w:val="auto"/>
        </w:rPr>
      </w:pPr>
    </w:p>
    <w:p>
      <w:pPr>
        <w:ind w:left="84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77">
        <w:r>
          <w:rPr>
            <w:rFonts w:ascii="Arial" w:cs="Arial" w:eastAsia="Arial" w:hAnsi="Arial"/>
            <w:sz w:val="16"/>
            <w:szCs w:val="16"/>
            <w:u w:val="single" w:color="auto"/>
            <w:color w:val="0000EE"/>
          </w:rPr>
          <w:t xml:space="preserve">1997 Long-Term Incentive Stock Plan </w:t>
        </w:r>
      </w:hyperlink>
      <w:r>
        <w:rPr>
          <w:rFonts w:ascii="Arial" w:cs="Arial" w:eastAsia="Arial" w:hAnsi="Arial"/>
          <w:sz w:val="16"/>
          <w:szCs w:val="16"/>
          <w:color w:val="000000"/>
        </w:rPr>
        <w:t>("1997</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Plan") (Exhibit 10.20 to Form S-2, no. 333-121913)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0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79">
        <w:r>
          <w:rPr>
            <w:rFonts w:ascii="Arial" w:cs="Arial" w:eastAsia="Arial" w:hAnsi="Arial"/>
            <w:sz w:val="16"/>
            <w:szCs w:val="16"/>
            <w:u w:val="single" w:color="auto"/>
            <w:color w:val="0000EE"/>
          </w:rPr>
          <w:t xml:space="preserve">Form of Option Agreement under 1997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10.2.1 to Form 10-K filed March 13, 2006) **</w:t>
      </w:r>
    </w:p>
    <w:p>
      <w:pPr>
        <w:spacing w:after="0" w:line="9" w:lineRule="exact"/>
        <w:rPr>
          <w:sz w:val="20"/>
          <w:szCs w:val="20"/>
          <w:color w:val="auto"/>
        </w:rPr>
      </w:pPr>
    </w:p>
    <w:p>
      <w:pPr>
        <w:ind w:left="1380" w:right="120" w:hanging="634"/>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80">
        <w:r>
          <w:rPr>
            <w:rFonts w:ascii="Arial" w:cs="Arial" w:eastAsia="Arial" w:hAnsi="Arial"/>
            <w:sz w:val="18"/>
            <w:szCs w:val="18"/>
            <w:u w:val="single" w:color="auto"/>
            <w:color w:val="0000EE"/>
          </w:rPr>
          <w:t xml:space="preserve">2006 Long-Term Equity Incentive Plan as amended May 18, 2015 </w:t>
        </w:r>
      </w:hyperlink>
      <w:r>
        <w:rPr>
          <w:rFonts w:ascii="Arial" w:cs="Arial" w:eastAsia="Arial" w:hAnsi="Arial"/>
          <w:sz w:val="18"/>
          <w:szCs w:val="18"/>
          <w:color w:val="000000"/>
        </w:rPr>
        <w:t>(Incorporated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by reference to pages A-1 through A-10 of the definitive</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proxy statement filed by the registrant on April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62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10.14.1</w:t>
      </w:r>
      <w:r>
        <w:rPr>
          <w:sz w:val="20"/>
          <w:szCs w:val="20"/>
          <w:color w:val="auto"/>
        </w:rPr>
        <w:tab/>
      </w:r>
      <w:hyperlink r:id="rId82">
        <w:r>
          <w:rPr>
            <w:rFonts w:ascii="Arial" w:cs="Arial" w:eastAsia="Arial" w:hAnsi="Arial"/>
            <w:sz w:val="16"/>
            <w:szCs w:val="16"/>
            <w:u w:val="single" w:color="auto"/>
            <w:color w:val="0000EE"/>
          </w:rPr>
          <w:t xml:space="preserve">Form of Option Agreement under the 2006 Long-Term Equity Incentive Plan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10.14.1 to registrant's Form 10-K filed March 9,</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2007)**</w:t>
      </w:r>
    </w:p>
    <w:p>
      <w:pPr>
        <w:spacing w:after="0" w:line="9" w:lineRule="exact"/>
        <w:rPr>
          <w:sz w:val="20"/>
          <w:szCs w:val="20"/>
          <w:color w:val="auto"/>
        </w:rPr>
      </w:pPr>
    </w:p>
    <w:p>
      <w:pPr>
        <w:ind w:left="1380" w:right="740" w:hanging="769"/>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83">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99.(D)(2)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right="740" w:hanging="769"/>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85">
        <w:r>
          <w:rPr>
            <w:rFonts w:ascii="Arial" w:cs="Arial" w:eastAsia="Arial" w:hAnsi="Arial"/>
            <w:sz w:val="18"/>
            <w:szCs w:val="18"/>
            <w:u w:val="single" w:color="auto"/>
            <w:color w:val="0000EE"/>
          </w:rPr>
          <w:t xml:space="preserve">Form of Option Agreement under the 2006 Long-Term Equity Incentive Plan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99.(D)(3) to registrant's Schedule TO filed</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November 12, 2009)**</w:t>
      </w:r>
    </w:p>
    <w:p>
      <w:pPr>
        <w:spacing w:after="0" w:line="1" w:lineRule="exact"/>
        <w:rPr>
          <w:sz w:val="20"/>
          <w:szCs w:val="20"/>
          <w:color w:val="auto"/>
        </w:rPr>
      </w:pPr>
    </w:p>
    <w:p>
      <w:pPr>
        <w:ind w:left="760"/>
        <w:spacing w:after="0"/>
        <w:tabs>
          <w:tab w:leader="none" w:pos="136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86">
        <w:r>
          <w:rPr>
            <w:rFonts w:ascii="Arial" w:cs="Arial" w:eastAsia="Arial" w:hAnsi="Arial"/>
            <w:sz w:val="16"/>
            <w:szCs w:val="16"/>
            <w:u w:val="single" w:color="auto"/>
            <w:color w:val="0000EE"/>
          </w:rPr>
          <w:t xml:space="preserve">Warrant dated July 10, 2008, issued to Citigroup Global Markets Inc. </w:t>
        </w:r>
      </w:hyperlink>
      <w:r>
        <w:rPr>
          <w:rFonts w:ascii="Arial" w:cs="Arial" w:eastAsia="Arial" w:hAnsi="Arial"/>
          <w:sz w:val="16"/>
          <w:szCs w:val="16"/>
          <w:color w:val="000000"/>
        </w:rPr>
        <w:t>(Exhibit</w:t>
      </w:r>
      <w:r>
        <w:rPr>
          <w:rFonts w:ascii="Arial" w:cs="Arial" w:eastAsia="Arial" w:hAnsi="Arial"/>
          <w:sz w:val="16"/>
          <w:szCs w:val="16"/>
          <w:u w:val="single" w:color="auto"/>
          <w:color w:val="0000EE"/>
        </w:rPr>
        <w:t xml:space="preserve"> </w:t>
      </w:r>
      <w:r>
        <w:rPr>
          <w:rFonts w:ascii="Arial" w:cs="Arial" w:eastAsia="Arial" w:hAnsi="Arial"/>
          <w:sz w:val="16"/>
          <w:szCs w:val="16"/>
          <w:color w:val="000000"/>
        </w:rPr>
        <w:t>10.23 to registrant's Form 10-Q filed August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380" w:right="360" w:hanging="634"/>
        <w:spacing w:after="0" w:line="250" w:lineRule="auto"/>
        <w:tabs>
          <w:tab w:leader="none" w:pos="1360" w:val="left"/>
        </w:tabs>
        <w:rPr>
          <w:rFonts w:ascii="Arial" w:cs="Arial" w:eastAsia="Arial" w:hAnsi="Arial"/>
          <w:sz w:val="18"/>
          <w:szCs w:val="18"/>
          <w:color w:val="0000EE"/>
        </w:rPr>
      </w:pPr>
      <w:r>
        <w:rPr>
          <w:rFonts w:ascii="Arial" w:cs="Arial" w:eastAsia="Arial" w:hAnsi="Arial"/>
          <w:sz w:val="18"/>
          <w:szCs w:val="18"/>
          <w:color w:val="auto"/>
        </w:rPr>
        <w:t>10.61</w:t>
      </w:r>
      <w:r>
        <w:rPr>
          <w:sz w:val="20"/>
          <w:szCs w:val="20"/>
          <w:color w:val="auto"/>
        </w:rPr>
        <w:tab/>
      </w:r>
      <w:hyperlink r:id="rId88">
        <w:r>
          <w:rPr>
            <w:rFonts w:ascii="Arial" w:cs="Arial" w:eastAsia="Arial" w:hAnsi="Arial"/>
            <w:sz w:val="18"/>
            <w:szCs w:val="18"/>
            <w:u w:val="single" w:color="auto"/>
            <w:color w:val="0000EE"/>
          </w:rPr>
          <w:t>Revolving Credit Agreement dated April 17, 2015 among the registrant, its subsidiary Page Six Funding, LLC, and Fortress Credit Co</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LLC</w:t>
        </w:r>
        <w:r>
          <w:rPr>
            <w:rFonts w:ascii="Arial" w:cs="Arial" w:eastAsia="Arial" w:hAnsi="Arial"/>
            <w:sz w:val="18"/>
            <w:szCs w:val="18"/>
            <w:color w:val="0000EE"/>
          </w:rPr>
          <w:t xml:space="preserve"> </w:t>
        </w:r>
        <w:r>
          <w:rPr>
            <w:rFonts w:ascii="Arial" w:cs="Arial" w:eastAsia="Arial" w:hAnsi="Arial"/>
            <w:sz w:val="18"/>
            <w:szCs w:val="18"/>
            <w:color w:val="000000"/>
          </w:rPr>
          <w:t>("Fortress") (Exhibit 10.61 to registrant's Form 8-K filed April 23, 2015)</w:t>
        </w:r>
      </w:hyperlink>
    </w:p>
    <w:p>
      <w:pPr>
        <w:spacing w:after="0" w:line="1" w:lineRule="exact"/>
        <w:rPr>
          <w:sz w:val="20"/>
          <w:szCs w:val="20"/>
          <w:color w:val="auto"/>
        </w:rPr>
      </w:pPr>
    </w:p>
    <w:p>
      <w:pPr>
        <w:ind w:left="1380" w:right="120" w:hanging="634"/>
        <w:spacing w:after="0" w:line="250" w:lineRule="auto"/>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10.62</w:t>
      </w:r>
      <w:r>
        <w:rPr>
          <w:sz w:val="20"/>
          <w:szCs w:val="20"/>
          <w:color w:val="auto"/>
        </w:rPr>
        <w:tab/>
      </w:r>
      <w:hyperlink r:id="rId89">
        <w:r>
          <w:rPr>
            <w:rFonts w:ascii="Arial" w:cs="Arial" w:eastAsia="Arial" w:hAnsi="Arial"/>
            <w:sz w:val="18"/>
            <w:szCs w:val="18"/>
            <w:u w:val="single" w:color="auto"/>
            <w:color w:val="0000EE"/>
          </w:rPr>
          <w:t xml:space="preserve">Receivables Purchase Agreement dated April 17, 2015 between the registrant and its subsidiary Page Six Funding, LLC </w:t>
        </w:r>
      </w:hyperlink>
      <w:r>
        <w:rPr>
          <w:rFonts w:ascii="Arial" w:cs="Arial" w:eastAsia="Arial" w:hAnsi="Arial"/>
          <w:sz w:val="18"/>
          <w:szCs w:val="18"/>
          <w:color w:val="000000"/>
        </w:rPr>
        <w:t>(Exhibit</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10.62 to</w:t>
      </w:r>
      <w:r>
        <w:rPr>
          <w:rFonts w:ascii="Arial" w:cs="Arial" w:eastAsia="Arial" w:hAnsi="Arial"/>
          <w:sz w:val="18"/>
          <w:szCs w:val="18"/>
          <w:u w:val="single" w:color="auto"/>
          <w:color w:val="0000EE"/>
        </w:rPr>
        <w:t xml:space="preserve"> </w:t>
      </w:r>
      <w:r>
        <w:rPr>
          <w:rFonts w:ascii="Arial" w:cs="Arial" w:eastAsia="Arial" w:hAnsi="Arial"/>
          <w:sz w:val="18"/>
          <w:szCs w:val="18"/>
          <w:color w:val="000000"/>
        </w:rPr>
        <w:t>registrant's Form 8-K filed April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380" w:hanging="404"/>
        <w:spacing w:after="0"/>
        <w:tabs>
          <w:tab w:leader="none" w:pos="1380" w:val="left"/>
        </w:tabs>
        <w:numPr>
          <w:ilvl w:val="0"/>
          <w:numId w:val="24"/>
        </w:numPr>
        <w:rPr>
          <w:rFonts w:ascii="Arial" w:cs="Arial" w:eastAsia="Arial" w:hAnsi="Arial"/>
          <w:sz w:val="18"/>
          <w:szCs w:val="18"/>
          <w:color w:val="0000EE"/>
        </w:rPr>
      </w:pPr>
      <w:hyperlink r:id="rId91">
        <w:r>
          <w:rPr>
            <w:rFonts w:ascii="Arial" w:cs="Arial" w:eastAsia="Arial" w:hAnsi="Arial"/>
            <w:sz w:val="18"/>
            <w:szCs w:val="18"/>
            <w:u w:val="single" w:color="auto"/>
            <w:color w:val="0000EE"/>
          </w:rPr>
          <w:t>Registrant’s Code of Ethics for Senior Financial Officers</w:t>
        </w:r>
        <w:r>
          <w:rPr>
            <w:rFonts w:ascii="Arial" w:cs="Arial" w:eastAsia="Arial" w:hAnsi="Arial"/>
            <w:sz w:val="18"/>
            <w:szCs w:val="18"/>
            <w:color w:val="0000EE"/>
          </w:rPr>
          <w:t xml:space="preserve"> </w:t>
        </w:r>
      </w:hyperlink>
      <w:r>
        <w:rPr>
          <w:rFonts w:ascii="Arial" w:cs="Arial" w:eastAsia="Arial" w:hAnsi="Arial"/>
          <w:sz w:val="18"/>
          <w:szCs w:val="18"/>
          <w:color w:val="000000"/>
        </w:rPr>
        <w:t>(Exhibit</w:t>
      </w:r>
      <w:r>
        <w:rPr>
          <w:rFonts w:ascii="Arial" w:cs="Arial" w:eastAsia="Arial" w:hAnsi="Arial"/>
          <w:sz w:val="18"/>
          <w:szCs w:val="18"/>
          <w:color w:val="0000EE"/>
        </w:rPr>
        <w:t xml:space="preserve"> </w:t>
      </w:r>
      <w:r>
        <w:rPr>
          <w:rFonts w:ascii="Arial" w:cs="Arial" w:eastAsia="Arial" w:hAnsi="Arial"/>
          <w:sz w:val="18"/>
          <w:szCs w:val="18"/>
          <w:color w:val="000000"/>
        </w:rPr>
        <w:t>14 to Form 10-K filed March 13, 2006)</w:t>
      </w:r>
    </w:p>
    <w:p>
      <w:pPr>
        <w:spacing w:after="0" w:line="9" w:lineRule="exact"/>
        <w:rPr>
          <w:rFonts w:ascii="Arial" w:cs="Arial" w:eastAsia="Arial" w:hAnsi="Arial"/>
          <w:sz w:val="18"/>
          <w:szCs w:val="18"/>
          <w:color w:val="0000EE"/>
        </w:rPr>
      </w:pPr>
    </w:p>
    <w:p>
      <w:pPr>
        <w:ind w:left="1380" w:hanging="404"/>
        <w:spacing w:after="0"/>
        <w:tabs>
          <w:tab w:leader="none" w:pos="1380" w:val="left"/>
        </w:tabs>
        <w:numPr>
          <w:ilvl w:val="0"/>
          <w:numId w:val="25"/>
        </w:numPr>
        <w:rPr>
          <w:rFonts w:ascii="Arial" w:cs="Arial" w:eastAsia="Arial" w:hAnsi="Arial"/>
          <w:sz w:val="18"/>
          <w:szCs w:val="18"/>
          <w:color w:val="0000EE"/>
        </w:rPr>
      </w:pPr>
      <w:hyperlink w:anchor="page74">
        <w:r>
          <w:rPr>
            <w:rFonts w:ascii="Arial" w:cs="Arial" w:eastAsia="Arial" w:hAnsi="Arial"/>
            <w:sz w:val="18"/>
            <w:szCs w:val="18"/>
            <w:u w:val="single" w:color="auto"/>
            <w:color w:val="0000EE"/>
          </w:rPr>
          <w:t>List of subsidiaries of the registrant</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1380" w:type="dxa"/>
            <w:vAlign w:val="bottom"/>
          </w:tcPr>
          <w:p>
            <w:pPr>
              <w:jc w:val="right"/>
              <w:ind w:right="130"/>
              <w:spacing w:after="0" w:line="185" w:lineRule="exact"/>
              <w:rPr>
                <w:sz w:val="20"/>
                <w:szCs w:val="20"/>
                <w:color w:val="auto"/>
              </w:rPr>
            </w:pPr>
            <w:r>
              <w:rPr>
                <w:rFonts w:ascii="Arial" w:cs="Arial" w:eastAsia="Arial" w:hAnsi="Arial"/>
                <w:sz w:val="18"/>
                <w:szCs w:val="18"/>
                <w:color w:val="auto"/>
              </w:rPr>
              <w:t>23.1</w:t>
            </w:r>
          </w:p>
        </w:tc>
        <w:tc>
          <w:tcPr>
            <w:tcW w:w="10040" w:type="dxa"/>
            <w:vAlign w:val="bottom"/>
            <w:gridSpan w:val="5"/>
          </w:tcPr>
          <w:p>
            <w:pPr>
              <w:spacing w:after="0" w:line="185" w:lineRule="exact"/>
              <w:rPr>
                <w:rFonts w:ascii="Arial" w:cs="Arial" w:eastAsia="Arial" w:hAnsi="Arial"/>
                <w:sz w:val="18"/>
                <w:szCs w:val="18"/>
                <w:color w:val="0000EE"/>
              </w:rPr>
            </w:pPr>
            <w:hyperlink w:anchor="page75">
              <w:r>
                <w:rPr>
                  <w:rFonts w:ascii="Arial" w:cs="Arial" w:eastAsia="Arial" w:hAnsi="Arial"/>
                  <w:sz w:val="18"/>
                  <w:szCs w:val="18"/>
                  <w:color w:val="0000EE"/>
                </w:rPr>
                <w:t xml:space="preserve">Consent of Crowe Horwath LLP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1"/>
        </w:trPr>
        <w:tc>
          <w:tcPr>
            <w:tcW w:w="138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76"/>
        </w:trPr>
        <w:tc>
          <w:tcPr>
            <w:tcW w:w="138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31.1</w:t>
            </w:r>
          </w:p>
        </w:tc>
        <w:tc>
          <w:tcPr>
            <w:tcW w:w="10040" w:type="dxa"/>
            <w:vAlign w:val="bottom"/>
            <w:gridSpan w:val="5"/>
            <w:shd w:val="clear" w:color="auto" w:fill="EEEEEE"/>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 xml:space="preserve">Rule 13a-14(a) certification by Chief Executive Officer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1"/>
        </w:trPr>
        <w:tc>
          <w:tcPr>
            <w:tcW w:w="1380" w:type="dxa"/>
            <w:vAlign w:val="bottom"/>
            <w:tcBorders>
              <w:top w:val="single" w:sz="8" w:color="EEEEEE"/>
            </w:tcBorders>
            <w:shd w:val="clear" w:color="auto" w:fill="EEEEEE"/>
          </w:tcPr>
          <w:p>
            <w:pPr>
              <w:spacing w:after="0" w:line="20" w:lineRule="exact"/>
              <w:rPr>
                <w:sz w:val="1"/>
                <w:szCs w:val="1"/>
                <w:color w:val="auto"/>
              </w:rPr>
            </w:pPr>
          </w:p>
        </w:tc>
        <w:tc>
          <w:tcPr>
            <w:tcW w:w="1860" w:type="dxa"/>
            <w:vAlign w:val="bottom"/>
            <w:tcBorders>
              <w:top w:val="single" w:sz="8" w:color="0000EE"/>
            </w:tcBorders>
            <w:shd w:val="clear" w:color="auto" w:fill="EEEEEE"/>
          </w:tcPr>
          <w:p>
            <w:pPr>
              <w:spacing w:after="0" w:line="20" w:lineRule="exact"/>
              <w:rPr>
                <w:sz w:val="1"/>
                <w:szCs w:val="1"/>
                <w:color w:val="auto"/>
              </w:rPr>
            </w:pPr>
          </w:p>
        </w:tc>
        <w:tc>
          <w:tcPr>
            <w:tcW w:w="500" w:type="dxa"/>
            <w:vAlign w:val="bottom"/>
            <w:tcBorders>
              <w:top w:val="single" w:sz="8" w:color="0000EE"/>
            </w:tcBorders>
            <w:shd w:val="clear" w:color="auto" w:fill="EEEEEE"/>
          </w:tcPr>
          <w:p>
            <w:pPr>
              <w:spacing w:after="0" w:line="20" w:lineRule="exact"/>
              <w:rPr>
                <w:sz w:val="1"/>
                <w:szCs w:val="1"/>
                <w:color w:val="auto"/>
              </w:rPr>
            </w:pPr>
          </w:p>
        </w:tc>
        <w:tc>
          <w:tcPr>
            <w:tcW w:w="16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4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138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31.2</w:t>
            </w:r>
          </w:p>
        </w:tc>
        <w:tc>
          <w:tcPr>
            <w:tcW w:w="10040" w:type="dxa"/>
            <w:vAlign w:val="bottom"/>
            <w:gridSpan w:val="5"/>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 xml:space="preserve">Rule 13a-14(a) certification by Chief Financial Officer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1"/>
        </w:trPr>
        <w:tc>
          <w:tcPr>
            <w:tcW w:w="1380" w:type="dxa"/>
            <w:vAlign w:val="bottom"/>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38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32</w:t>
            </w:r>
          </w:p>
        </w:tc>
        <w:tc>
          <w:tcPr>
            <w:tcW w:w="10040" w:type="dxa"/>
            <w:vAlign w:val="bottom"/>
            <w:gridSpan w:val="5"/>
            <w:shd w:val="clear" w:color="auto" w:fill="EEEEEE"/>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 xml:space="preserve">Section 1350 certification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16"/>
        </w:trPr>
        <w:tc>
          <w:tcPr>
            <w:tcW w:w="1380" w:type="dxa"/>
            <w:vAlign w:val="bottom"/>
            <w:tcBorders>
              <w:top w:val="single" w:sz="8" w:color="EEEEEE"/>
            </w:tcBorders>
          </w:tcPr>
          <w:p>
            <w:pPr>
              <w:spacing w:after="0"/>
              <w:rPr>
                <w:sz w:val="18"/>
                <w:szCs w:val="18"/>
                <w:color w:val="auto"/>
              </w:rPr>
            </w:pPr>
          </w:p>
        </w:tc>
        <w:tc>
          <w:tcPr>
            <w:tcW w:w="1860" w:type="dxa"/>
            <w:vAlign w:val="bottom"/>
            <w:tcBorders>
              <w:top w:val="single" w:sz="8" w:color="0000EE"/>
            </w:tcBorders>
          </w:tcPr>
          <w:p>
            <w:pPr>
              <w:spacing w:after="0"/>
              <w:rPr>
                <w:sz w:val="18"/>
                <w:szCs w:val="18"/>
                <w:color w:val="auto"/>
              </w:rPr>
            </w:pPr>
          </w:p>
        </w:tc>
        <w:tc>
          <w:tcPr>
            <w:tcW w:w="500" w:type="dxa"/>
            <w:vAlign w:val="bottom"/>
            <w:tcBorders>
              <w:top w:val="single" w:sz="8" w:color="EEEEEE"/>
            </w:tcBorders>
          </w:tcPr>
          <w:p>
            <w:pPr>
              <w:spacing w:after="0"/>
              <w:rPr>
                <w:sz w:val="18"/>
                <w:szCs w:val="18"/>
                <w:color w:val="auto"/>
              </w:rPr>
            </w:pPr>
          </w:p>
        </w:tc>
        <w:tc>
          <w:tcPr>
            <w:tcW w:w="16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6040" w:type="dxa"/>
            <w:vAlign w:val="bottom"/>
            <w:tcBorders>
              <w:top w:val="single" w:sz="8" w:color="EEEEEE"/>
            </w:tcBorders>
          </w:tcPr>
          <w:p>
            <w:pPr>
              <w:spacing w:after="0"/>
              <w:rPr>
                <w:sz w:val="18"/>
                <w:szCs w:val="18"/>
                <w:color w:val="auto"/>
              </w:rPr>
            </w:pPr>
          </w:p>
        </w:tc>
      </w:tr>
      <w:tr>
        <w:trPr>
          <w:trHeight w:val="216"/>
        </w:trPr>
        <w:tc>
          <w:tcPr>
            <w:tcW w:w="13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101.INS</w:t>
            </w:r>
          </w:p>
        </w:tc>
        <w:tc>
          <w:tcPr>
            <w:tcW w:w="100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XBRL Instances Document</w:t>
            </w: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101.SCH</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101.CAL</w:t>
            </w:r>
          </w:p>
        </w:tc>
        <w:tc>
          <w:tcPr>
            <w:tcW w:w="100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101.DEF</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101.LAB</w:t>
            </w:r>
          </w:p>
        </w:tc>
        <w:tc>
          <w:tcPr>
            <w:tcW w:w="100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tcPr>
          <w:p>
            <w:pPr>
              <w:jc w:val="right"/>
              <w:ind w:right="130"/>
              <w:spacing w:after="0"/>
              <w:rPr>
                <w:sz w:val="20"/>
                <w:szCs w:val="20"/>
                <w:color w:val="auto"/>
              </w:rPr>
            </w:pPr>
            <w:r>
              <w:rPr>
                <w:rFonts w:ascii="Arial" w:cs="Arial" w:eastAsia="Arial" w:hAnsi="Arial"/>
                <w:sz w:val="18"/>
                <w:szCs w:val="18"/>
                <w:color w:val="auto"/>
              </w:rPr>
              <w:t>101.PRE</w:t>
            </w:r>
          </w:p>
        </w:tc>
        <w:tc>
          <w:tcPr>
            <w:tcW w:w="100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0"/>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5"/>
          </w:tcPr>
          <w:p>
            <w:pPr>
              <w:ind w:left="426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68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March 7, 2018</w:t>
            </w:r>
          </w:p>
        </w:tc>
        <w:tc>
          <w:tcPr>
            <w:tcW w:w="2160" w:type="dxa"/>
            <w:vAlign w:val="bottom"/>
          </w:tcPr>
          <w:p>
            <w:pPr>
              <w:ind w:left="1480"/>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224"/>
        </w:trPr>
        <w:tc>
          <w:tcPr>
            <w:tcW w:w="2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E. BRADLEY, JR.</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ADAMS</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J. RAYHILL</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S. WASHER</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WOOD</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418"/>
        </w:trPr>
        <w:tc>
          <w:tcPr>
            <w:tcW w:w="4800" w:type="dxa"/>
            <w:vAlign w:val="bottom"/>
          </w:tcPr>
          <w:p>
            <w:pPr>
              <w:spacing w:after="0"/>
              <w:rPr>
                <w:sz w:val="20"/>
                <w:szCs w:val="20"/>
                <w:color w:val="auto"/>
              </w:rPr>
            </w:pPr>
            <w:r>
              <w:rPr>
                <w:rFonts w:ascii="Arial" w:cs="Arial" w:eastAsia="Arial" w:hAnsi="Arial"/>
                <w:sz w:val="18"/>
                <w:szCs w:val="18"/>
                <w:color w:val="auto"/>
              </w:rPr>
              <w:t>March 7, 2018</w:t>
            </w:r>
          </w:p>
        </w:tc>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P. FRITZ</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20" w:type="dxa"/>
            <w:vAlign w:val="bottom"/>
            <w:gridSpan w:val="7"/>
          </w:tcPr>
          <w:p>
            <w:pPr>
              <w:ind w:left="920"/>
              <w:spacing w:after="0"/>
              <w:rPr>
                <w:sz w:val="20"/>
                <w:szCs w:val="20"/>
                <w:color w:val="auto"/>
              </w:rPr>
            </w:pPr>
            <w:r>
              <w:rPr>
                <w:rFonts w:ascii="Arial" w:cs="Arial" w:eastAsia="Arial" w:hAnsi="Arial"/>
                <w:sz w:val="18"/>
                <w:szCs w:val="18"/>
                <w:b w:val="1"/>
                <w:bCs w:val="1"/>
                <w:color w:val="auto"/>
              </w:rPr>
              <w:t>INDEX TO FINANCIAL STATEMENTS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0" w:type="dxa"/>
            <w:vAlign w:val="bottom"/>
            <w:gridSpan w:val="8"/>
            <w:shd w:val="clear" w:color="auto" w:fill="EEEEEE"/>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Report of Independent Registered Public Accounting Firm</w:t>
              </w:r>
            </w:hyperlink>
          </w:p>
        </w:tc>
        <w:tc>
          <w:tcPr>
            <w:tcW w:w="1000" w:type="dxa"/>
            <w:vAlign w:val="bottom"/>
            <w:gridSpan w:val="2"/>
            <w:shd w:val="clear" w:color="auto" w:fill="EEEEEE"/>
          </w:tcPr>
          <w:p>
            <w:pPr>
              <w:jc w:val="center"/>
              <w:ind w:right="240"/>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Borders>
              <w:top w:val="single" w:sz="8" w:color="0000EE"/>
            </w:tcBorders>
            <w:shd w:val="clear" w:color="auto" w:fill="EEEEEE"/>
          </w:tcPr>
          <w:p>
            <w:pPr>
              <w:spacing w:after="0" w:line="20" w:lineRule="exact"/>
              <w:rPr>
                <w:sz w:val="1"/>
                <w:szCs w:val="1"/>
                <w:color w:val="auto"/>
              </w:rPr>
            </w:pPr>
          </w:p>
        </w:tc>
        <w:tc>
          <w:tcPr>
            <w:tcW w:w="1020" w:type="dxa"/>
            <w:vAlign w:val="bottom"/>
            <w:tcBorders>
              <w:top w:val="single" w:sz="8" w:color="0000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9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4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0" w:type="dxa"/>
            <w:vAlign w:val="bottom"/>
            <w:gridSpan w:val="8"/>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2017 and 2016</w:t>
              </w:r>
            </w:hyperlink>
          </w:p>
        </w:tc>
        <w:tc>
          <w:tcPr>
            <w:tcW w:w="10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0" w:type="dxa"/>
            <w:vAlign w:val="bottom"/>
            <w:tcBorders>
              <w:bottom w:val="single" w:sz="8" w:color="0000EE"/>
            </w:tcBorders>
            <w:gridSpan w:val="4"/>
            <w:shd w:val="clear" w:color="auto" w:fill="EEEEEE"/>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Income for the years ended December 31, 2017, 2016 and 2015</w:t>
              </w:r>
            </w:hyperlink>
          </w:p>
        </w:tc>
        <w:tc>
          <w:tcPr>
            <w:tcW w:w="3800" w:type="dxa"/>
            <w:vAlign w:val="bottom"/>
            <w:tcBorders>
              <w:bottom w:val="single" w:sz="8" w:color="EEEEEE"/>
            </w:tcBorders>
            <w:gridSpan w:val="4"/>
            <w:shd w:val="clear" w:color="auto" w:fill="EEEEEE"/>
          </w:tcPr>
          <w:p>
            <w:pPr>
              <w:spacing w:after="0"/>
              <w:rPr>
                <w:sz w:val="17"/>
                <w:szCs w:val="17"/>
                <w:color w:val="auto"/>
              </w:rPr>
            </w:pPr>
          </w:p>
        </w:tc>
        <w:tc>
          <w:tcPr>
            <w:tcW w:w="1000" w:type="dxa"/>
            <w:vAlign w:val="bottom"/>
            <w:tcBorders>
              <w:bottom w:val="single" w:sz="8" w:color="EEEEEE"/>
            </w:tcBorders>
            <w:gridSpan w:val="2"/>
            <w:shd w:val="clear" w:color="auto" w:fill="EEEEEE"/>
          </w:tcPr>
          <w:p>
            <w:pPr>
              <w:jc w:val="center"/>
              <w:ind w:right="240"/>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8"/>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Comprehensive Income for the years ended December 31, 2017, 2016 and 2015</w:t>
              </w:r>
            </w:hyperlink>
          </w:p>
        </w:tc>
        <w:tc>
          <w:tcPr>
            <w:tcW w:w="10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80" w:type="dxa"/>
            <w:vAlign w:val="bottom"/>
            <w:tcBorders>
              <w:bottom w:val="single" w:sz="8" w:color="0000EE"/>
            </w:tcBorders>
            <w:gridSpan w:val="6"/>
            <w:shd w:val="clear" w:color="auto" w:fill="EEEEEE"/>
          </w:tcPr>
          <w:p>
            <w:pPr>
              <w:spacing w:after="0" w:line="17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Shareholders’ Equity for the years ended December 31, 2017, 2016 and 2015</w:t>
              </w:r>
            </w:hyperlink>
          </w:p>
        </w:tc>
        <w:tc>
          <w:tcPr>
            <w:tcW w:w="2820" w:type="dxa"/>
            <w:vAlign w:val="bottom"/>
            <w:tcBorders>
              <w:bottom w:val="single" w:sz="8" w:color="EEEEEE"/>
            </w:tcBorders>
            <w:gridSpan w:val="2"/>
            <w:shd w:val="clear" w:color="auto" w:fill="EEEEEE"/>
          </w:tcPr>
          <w:p>
            <w:pPr>
              <w:spacing w:after="0"/>
              <w:rPr>
                <w:sz w:val="17"/>
                <w:szCs w:val="17"/>
                <w:color w:val="auto"/>
              </w:rPr>
            </w:pPr>
          </w:p>
        </w:tc>
        <w:tc>
          <w:tcPr>
            <w:tcW w:w="1000" w:type="dxa"/>
            <w:vAlign w:val="bottom"/>
            <w:tcBorders>
              <w:bottom w:val="single" w:sz="8" w:color="EEEEEE"/>
            </w:tcBorders>
            <w:gridSpan w:val="2"/>
            <w:shd w:val="clear" w:color="auto" w:fill="EEEEEE"/>
          </w:tcPr>
          <w:p>
            <w:pPr>
              <w:jc w:val="center"/>
              <w:ind w:right="240"/>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8"/>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Cash Flows for the years ended December 31, 2017, 2016 and 2015</w:t>
              </w:r>
            </w:hyperlink>
          </w:p>
        </w:tc>
        <w:tc>
          <w:tcPr>
            <w:tcW w:w="10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0" w:type="dxa"/>
            <w:vAlign w:val="bottom"/>
            <w:gridSpan w:val="8"/>
            <w:shd w:val="clear" w:color="auto" w:fill="EEEEEE"/>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000" w:type="dxa"/>
            <w:vAlign w:val="bottom"/>
            <w:gridSpan w:val="2"/>
            <w:shd w:val="clear" w:color="auto" w:fill="EEEEEE"/>
          </w:tcPr>
          <w:p>
            <w:pPr>
              <w:jc w:val="center"/>
              <w:ind w:right="240"/>
              <w:spacing w:after="0" w:line="17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Borders>
              <w:top w:val="single" w:sz="8" w:color="0000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9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64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8" w:name="page49"/>
    <w:bookmarkEnd w:id="4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Consumer Portfolio Services, Inc. and Subsidiaries (the "Company") as of December 31, 2017 and 2016, the related consolidated statements of income, comprehensive income, shareholders’ equity, and cash flows for each of the years in the three-year period ended December 31, 2017, and the related notes (collectively referred to as the "financial statements"). We also have audited the Company’s internal control over financial reporting as of December 31, 2017, based on criteria established in Internal Control – Integrated Framework: (2013) 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Internal Control – Integrated Framework: (2013)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12,731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111,965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2,304,984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2,267,943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2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(109,187)</w:t>
            </w: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(95,578)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2,195,797</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2,172,365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32,446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46,753</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23,397</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2,424,841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2,410,402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28,715</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112,408</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2,083,215</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2,080,900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2,240,904</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2,224,184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Common stock, no par value; authorized 75,000,000 shares; 21,488,589 and 23,587,126 shares issued and</w:t>
            </w:r>
          </w:p>
        </w:tc>
        <w:tc>
          <w:tcPr>
            <w:tcW w:w="1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outstanding at December 31, 2017 and 2016, respectively</w:t>
            </w:r>
          </w:p>
        </w:tc>
        <w:tc>
          <w:tcPr>
            <w:tcW w:w="12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71,582</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119,537</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(7,182)</w:t>
            </w:r>
          </w:p>
        </w:tc>
        <w:tc>
          <w:tcPr>
            <w:tcW w:w="1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183,937</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4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2,424,841</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jc w:val="center"/>
              <w:ind w:left="309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Borders>
              <w:bottom w:val="single" w:sz="8" w:color="auto"/>
            </w:tcBorders>
          </w:tcPr>
          <w:p>
            <w:pPr>
              <w:jc w:val="center"/>
              <w:ind w:left="3090"/>
              <w:spacing w:after="0"/>
              <w:rPr>
                <w:sz w:val="20"/>
                <w:szCs w:val="20"/>
                <w:color w:val="auto"/>
              </w:rPr>
            </w:pPr>
            <w:r>
              <w:rPr>
                <w:rFonts w:ascii="Arial" w:cs="Arial" w:eastAsia="Arial" w:hAnsi="Arial"/>
                <w:sz w:val="18"/>
                <w:szCs w:val="18"/>
                <w:color w:val="auto"/>
                <w:w w:val="88"/>
              </w:rPr>
              <w:t>F-3</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424,174</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408,996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349,912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10,209</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13,286</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434,383</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422,282</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363,650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72,967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65,549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26,578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24,840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92,345</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79,941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186,713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178,511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Marketing</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15,613</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17,818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5,185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934</w:t>
            </w: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777</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402,312</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372,621</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302,268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32,071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49,661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28,306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20,361</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3,765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29,300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22,687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24,356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27,214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29,035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ind w:left="514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EEEEEE"/>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3,765</w:t>
            </w:r>
          </w:p>
        </w:tc>
        <w:tc>
          <w:tcPr>
            <w:tcW w:w="6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29,300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7"/>
              </w:rPr>
              <w:t>Other comprehensive income (loss); change in funded status of pension plan, net of</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$232, $7 and $1,016 in tax for 2017, 2016 and 2015, respectively</w:t>
            </w:r>
          </w:p>
        </w:tc>
        <w:tc>
          <w:tcPr>
            <w:tcW w:w="920" w:type="dxa"/>
            <w:vAlign w:val="bottom"/>
          </w:tcPr>
          <w:p>
            <w:pPr>
              <w:spacing w:after="0"/>
              <w:rPr>
                <w:sz w:val="21"/>
                <w:szCs w:val="21"/>
                <w:color w:val="auto"/>
              </w:rPr>
            </w:pPr>
          </w:p>
        </w:tc>
        <w:tc>
          <w:tcPr>
            <w:tcW w:w="800" w:type="dxa"/>
            <w:vAlign w:val="bottom"/>
            <w:gridSpan w:val="2"/>
          </w:tcPr>
          <w:p>
            <w:pPr>
              <w:jc w:val="right"/>
              <w:ind w:right="19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top w:val="single" w:sz="8" w:color="auto"/>
              <w:bottom w:val="single" w:sz="8" w:color="auto"/>
            </w:tcBorders>
            <w:shd w:val="clear" w:color="auto" w:fill="EEEEEE"/>
          </w:tcPr>
          <w:p>
            <w:pPr>
              <w:jc w:val="right"/>
              <w:ind w:right="76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3,265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29,268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33,082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ind w:left="3060"/>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320" w:type="dxa"/>
            <w:vAlign w:val="bottom"/>
            <w:gridSpan w:val="5"/>
          </w:tcPr>
          <w:p>
            <w:pPr>
              <w:jc w:val="right"/>
              <w:ind w:right="1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Comprehensive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2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19"/>
                <w:szCs w:val="19"/>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30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2015</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25,541</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80,513</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51,791</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(5,051)</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Common stock issued upon exercise of</w:t>
            </w: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options and warrants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(5,926)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(1,599)</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34,681</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63"/>
        </w:trPr>
        <w:tc>
          <w:tcPr>
            <w:tcW w:w="310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86,472</w:t>
            </w:r>
          </w:p>
        </w:tc>
        <w:tc>
          <w:tcPr>
            <w:tcW w:w="3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Borders>
              <w:top w:val="single" w:sz="8" w:color="EEEEEE"/>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2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7"/>
              </w:rPr>
              <w:t>Common stock issued upon exercise of</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options and warrants</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(2,478)</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(10,468)</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5,553</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29,300</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2016</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23,587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77,128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115,772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(6,682</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Common stock issued upon exercise of options and warrants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Repurchase of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 obligation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1,085</w:t>
            </w:r>
          </w:p>
        </w:tc>
        <w:tc>
          <w:tcPr>
            <w:tcW w:w="4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1,085</w:t>
            </w:r>
          </w:p>
        </w:tc>
        <w:tc>
          <w:tcPr>
            <w:tcW w:w="60" w:type="dxa"/>
            <w:vAlign w:val="bottom"/>
          </w:tcPr>
          <w:p>
            <w:pPr>
              <w:spacing w:after="0"/>
              <w:rPr>
                <w:sz w:val="19"/>
                <w:szCs w:val="19"/>
                <w:color w:val="auto"/>
              </w:rPr>
            </w:pPr>
          </w:p>
        </w:tc>
      </w:tr>
      <w:tr>
        <w:trPr>
          <w:trHeight w:val="230"/>
        </w:trPr>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(2,745)</w:t>
            </w:r>
          </w:p>
        </w:tc>
        <w:tc>
          <w:tcPr>
            <w:tcW w:w="4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(12,346)</w:t>
            </w:r>
          </w:p>
        </w:tc>
        <w:tc>
          <w:tcPr>
            <w:tcW w:w="4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(12,346)</w:t>
            </w: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5,715</w:t>
            </w:r>
          </w:p>
        </w:tc>
        <w:tc>
          <w:tcPr>
            <w:tcW w:w="44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5,715</w:t>
            </w:r>
          </w:p>
        </w:tc>
        <w:tc>
          <w:tcPr>
            <w:tcW w:w="60" w:type="dxa"/>
            <w:vAlign w:val="bottom"/>
          </w:tcPr>
          <w:p>
            <w:pPr>
              <w:spacing w:after="0"/>
              <w:rPr>
                <w:sz w:val="19"/>
                <w:szCs w:val="19"/>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3,765</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gridSpan w:val="3"/>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3,765</w:t>
            </w:r>
          </w:p>
        </w:tc>
        <w:tc>
          <w:tcPr>
            <w:tcW w:w="6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21,489</w:t>
            </w: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71,582</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119,537</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183,937</w:t>
            </w:r>
          </w:p>
        </w:tc>
        <w:tc>
          <w:tcPr>
            <w:tcW w:w="60" w:type="dxa"/>
            <w:vAlign w:val="bottom"/>
          </w:tcPr>
          <w:p>
            <w:pPr>
              <w:spacing w:after="0"/>
              <w:rPr>
                <w:sz w:val="19"/>
                <w:szCs w:val="19"/>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-1045845</wp:posOffset>
            </wp:positionV>
            <wp:extent cx="7246620" cy="283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-616585</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-325120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jc w:val="center"/>
        <w:ind w:right="310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840" w:space="260"/>
            <w:col w:w="8320"/>
          </w:cols>
          <w:pgMar w:left="240" w:top="688"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3,765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29,300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Accretion of deferred acquisition fees</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Amortization of discount on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934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8,738</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8,389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186,713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178,511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5,553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 income on residual assets</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300" w:type="dxa"/>
            <w:vAlign w:val="bottom"/>
          </w:tcPr>
          <w:p>
            <w:pPr>
              <w:spacing w:after="0"/>
              <w:rPr>
                <w:sz w:val="18"/>
                <w:szCs w:val="18"/>
                <w:color w:val="auto"/>
              </w:rPr>
            </w:pPr>
          </w:p>
        </w:tc>
        <w:tc>
          <w:tcPr>
            <w:tcW w:w="1280" w:type="dxa"/>
            <w:vAlign w:val="bottom"/>
            <w:gridSpan w:val="2"/>
          </w:tcPr>
          <w:p>
            <w:pPr>
              <w:jc w:val="right"/>
              <w:ind w:right="57"/>
              <w:spacing w:after="0"/>
              <w:rPr>
                <w:sz w:val="20"/>
                <w:szCs w:val="20"/>
                <w:color w:val="auto"/>
              </w:rPr>
            </w:pPr>
            <w:r>
              <w:rPr>
                <w:rFonts w:ascii="Arial" w:cs="Arial" w:eastAsia="Arial" w:hAnsi="Arial"/>
                <w:sz w:val="18"/>
                <w:szCs w:val="18"/>
                <w:color w:val="auto"/>
              </w:rPr>
              <w:t>(10,520)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(4,686)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5,361</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(8,739)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10,399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(5,248)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3,238</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(4,564)</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215,648</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196,333</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187,555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Originations of finance receivables held for investment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7"/>
              <w:spacing w:after="0"/>
              <w:rPr>
                <w:sz w:val="20"/>
                <w:szCs w:val="20"/>
                <w:color w:val="auto"/>
              </w:rPr>
            </w:pPr>
            <w:r>
              <w:rPr>
                <w:rFonts w:ascii="Arial" w:cs="Arial" w:eastAsia="Arial" w:hAnsi="Arial"/>
                <w:sz w:val="18"/>
                <w:szCs w:val="18"/>
                <w:color w:val="auto"/>
              </w:rPr>
              <w:t>(859,069)</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(1,088,785)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647,619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650,379</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receivables portfolio at fair value</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1,629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Decreases (increases) in restricted cash and cash equivalents, net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(6,700)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69,328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300" w:type="dxa"/>
            <w:vAlign w:val="bottom"/>
          </w:tcPr>
          <w:p>
            <w:pPr>
              <w:spacing w:after="0"/>
              <w:rPr>
                <w:sz w:val="19"/>
                <w:szCs w:val="19"/>
                <w:color w:val="auto"/>
              </w:rPr>
            </w:pPr>
          </w:p>
        </w:tc>
        <w:tc>
          <w:tcPr>
            <w:tcW w:w="1280" w:type="dxa"/>
            <w:vAlign w:val="bottom"/>
            <w:gridSpan w:val="2"/>
          </w:tcPr>
          <w:p>
            <w:pPr>
              <w:jc w:val="right"/>
              <w:ind w:right="57"/>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(1,079)</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(209,836</w:t>
            </w:r>
          </w:p>
        </w:tc>
        <w:tc>
          <w:tcPr>
            <w:tcW w:w="200" w:type="dxa"/>
            <w:vAlign w:val="bottom"/>
            <w:tcBorders>
              <w:top w:val="single" w:sz="8" w:color="EEEEEE"/>
            </w:tcBorders>
            <w:shd w:val="clear" w:color="auto" w:fill="EEEEEE"/>
          </w:tcPr>
          <w:p>
            <w:pPr>
              <w:jc w:val="right"/>
              <w:ind w:right="57"/>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(444,498</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(441,287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852,615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1,197,515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4,083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2,911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00" w:type="dxa"/>
            <w:vAlign w:val="bottom"/>
          </w:tcPr>
          <w:p>
            <w:pPr>
              <w:spacing w:after="0"/>
              <w:rPr>
                <w:sz w:val="18"/>
                <w:szCs w:val="18"/>
                <w:color w:val="auto"/>
              </w:rPr>
            </w:pPr>
          </w:p>
        </w:tc>
        <w:tc>
          <w:tcPr>
            <w:tcW w:w="1280" w:type="dxa"/>
            <w:vAlign w:val="bottom"/>
            <w:gridSpan w:val="2"/>
          </w:tcPr>
          <w:p>
            <w:pPr>
              <w:jc w:val="right"/>
              <w:ind w:right="57"/>
              <w:spacing w:after="0"/>
              <w:rPr>
                <w:sz w:val="20"/>
                <w:szCs w:val="20"/>
                <w:color w:val="auto"/>
              </w:rPr>
            </w:pPr>
            <w:r>
              <w:rPr>
                <w:rFonts w:ascii="Arial" w:cs="Arial" w:eastAsia="Arial" w:hAnsi="Arial"/>
                <w:sz w:val="18"/>
                <w:szCs w:val="18"/>
                <w:color w:val="auto"/>
              </w:rPr>
              <w:t>(2,466)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(3,100)</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proceeds from (repayments of) warehouse lines of credit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9,309</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(91,496)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Repayments of residual interest financing debt</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(9,042)</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7"/>
              <w:spacing w:after="0"/>
              <w:rPr>
                <w:sz w:val="20"/>
                <w:szCs w:val="20"/>
                <w:color w:val="auto"/>
              </w:rPr>
            </w:pPr>
            <w:r>
              <w:rPr>
                <w:rFonts w:ascii="Arial" w:cs="Arial" w:eastAsia="Arial" w:hAnsi="Arial"/>
                <w:sz w:val="18"/>
                <w:szCs w:val="18"/>
                <w:color w:val="auto"/>
              </w:rPr>
              <w:t>(851,193)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(834,880)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Repayment of debt secured by receivables measured at fair value</w:t>
            </w:r>
          </w:p>
        </w:tc>
        <w:tc>
          <w:tcPr>
            <w:tcW w:w="300" w:type="dxa"/>
            <w:vAlign w:val="bottom"/>
          </w:tcPr>
          <w:p>
            <w:pPr>
              <w:spacing w:after="0"/>
              <w:rPr>
                <w:sz w:val="18"/>
                <w:szCs w:val="18"/>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 of financing costs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57"/>
              <w:spacing w:after="0"/>
              <w:rPr>
                <w:sz w:val="20"/>
                <w:szCs w:val="20"/>
                <w:color w:val="auto"/>
              </w:rPr>
            </w:pPr>
            <w:r>
              <w:rPr>
                <w:rFonts w:ascii="Arial" w:cs="Arial" w:eastAsia="Arial" w:hAnsi="Arial"/>
                <w:sz w:val="18"/>
                <w:szCs w:val="18"/>
                <w:color w:val="auto"/>
              </w:rPr>
              <w:t>(8,104)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(9,367)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1280" w:type="dxa"/>
            <w:vAlign w:val="bottom"/>
            <w:gridSpan w:val="2"/>
          </w:tcPr>
          <w:p>
            <w:pPr>
              <w:jc w:val="right"/>
              <w:ind w:right="57"/>
              <w:spacing w:after="0"/>
              <w:rPr>
                <w:sz w:val="20"/>
                <w:szCs w:val="20"/>
                <w:color w:val="auto"/>
              </w:rPr>
            </w:pPr>
            <w:r>
              <w:rPr>
                <w:rFonts w:ascii="Arial" w:cs="Arial" w:eastAsia="Arial" w:hAnsi="Arial"/>
                <w:sz w:val="18"/>
                <w:szCs w:val="18"/>
                <w:color w:val="auto"/>
              </w:rPr>
              <w:t>(12,346)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(10,468)</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options and warrants</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200" w:type="dxa"/>
            <w:vAlign w:val="bottom"/>
            <w:tcBorders>
              <w:bottom w:val="single" w:sz="8" w:color="EEEEEE"/>
            </w:tcBorders>
          </w:tcPr>
          <w:p>
            <w:pPr>
              <w:jc w:val="right"/>
              <w:ind w:right="57"/>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242,779</w:t>
            </w:r>
          </w:p>
        </w:tc>
        <w:tc>
          <w:tcPr>
            <w:tcW w:w="3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(1,205)</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(5,386)</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13,936</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19,322</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12,731</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13,936</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during the period for:</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83,110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71,077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17"/>
              <w:spacing w:after="0"/>
              <w:rPr>
                <w:sz w:val="20"/>
                <w:szCs w:val="20"/>
                <w:color w:val="auto"/>
              </w:rPr>
            </w:pPr>
            <w:r>
              <w:rPr>
                <w:rFonts w:ascii="Arial" w:cs="Arial" w:eastAsia="Arial" w:hAnsi="Arial"/>
                <w:sz w:val="18"/>
                <w:szCs w:val="18"/>
                <w:color w:val="auto"/>
              </w:rPr>
              <w:t>9,319</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32,909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Non-cash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Pension benefit obligation, net</w:t>
            </w:r>
          </w:p>
        </w:tc>
        <w:tc>
          <w:tcPr>
            <w:tcW w:w="300" w:type="dxa"/>
            <w:vAlign w:val="bottom"/>
          </w:tcPr>
          <w:p>
            <w:pPr>
              <w:spacing w:after="0"/>
              <w:rPr>
                <w:sz w:val="20"/>
                <w:szCs w:val="20"/>
                <w:color w:val="auto"/>
              </w:rPr>
            </w:pPr>
          </w:p>
        </w:tc>
        <w:tc>
          <w:tcPr>
            <w:tcW w:w="1280" w:type="dxa"/>
            <w:vAlign w:val="bottom"/>
            <w:gridSpan w:val="2"/>
          </w:tcPr>
          <w:p>
            <w:pPr>
              <w:jc w:val="right"/>
              <w:ind w:right="117"/>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Texas, Ohio, California, Florida and North Carolina represented 7.4%, 7.4%, 7.1%, 5.9% and 5.8%, respectively, of contracts purchased during 2017 compared with 7.3%, 6.8%, 7.2%, 5.6% and 5.3% respectively in 2016. No other state had a concentration in excess of 5.8% in 2017. We specialize in contracts with vehicle purchasers who generally would not be expected to qualify for traditional financing provided by commercial banks or automobile manufacturers’ captive finance companies.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2017, our unrestricted cash balance was $12.7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Income.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$9.7 million and $11.1 million at December 31, 2017 and 2016,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(the "Noteholders") purchase the Notes issued by the Trust; the proceeds from the sale of the Notes are then used to purchase the contracts from us. We may retain or sell subordinated Notes issued by the Trust. In addition, we have provided "Credit Enhancement" for the benefit of the Noteholders in three forms:</w:t>
      </w:r>
    </w:p>
    <w:p>
      <w:pPr>
        <w:spacing w:after="0" w:line="5" w:lineRule="exact"/>
        <w:rPr>
          <w:sz w:val="20"/>
          <w:szCs w:val="20"/>
          <w:color w:val="auto"/>
        </w:rPr>
      </w:pPr>
    </w:p>
    <w:p>
      <w:pPr>
        <w:ind w:right="40" w:firstLine="8"/>
        <w:spacing w:after="0" w:line="288"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from one Trust to another.</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primary components of Other Income:</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center"/>
              <w:ind w:right="205"/>
              <w:spacing w:after="0"/>
              <w:rPr>
                <w:sz w:val="20"/>
                <w:szCs w:val="20"/>
                <w:color w:val="auto"/>
              </w:rPr>
            </w:pPr>
            <w:r>
              <w:rPr>
                <w:rFonts w:ascii="Arial" w:cs="Arial" w:eastAsia="Arial" w:hAnsi="Arial"/>
                <w:sz w:val="18"/>
                <w:szCs w:val="18"/>
                <w:b w:val="1"/>
                <w:bCs w:val="1"/>
                <w:color w:val="auto"/>
                <w:w w:val="90"/>
              </w:rPr>
              <w:t>Year Ended 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540" w:type="dxa"/>
            <w:vAlign w:val="bottom"/>
            <w:gridSpan w:val="2"/>
            <w:shd w:val="clear" w:color="auto" w:fill="EEEEEE"/>
          </w:tcPr>
          <w:p>
            <w:pPr>
              <w:jc w:val="right"/>
              <w:ind w:right="677"/>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6,432</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9,202</w:t>
            </w:r>
          </w:p>
        </w:tc>
        <w:tc>
          <w:tcPr>
            <w:tcW w:w="32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8,927</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7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 tax refunds</w:t>
            </w: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EEEEEE"/>
          </w:tcPr>
          <w:p>
            <w:pPr>
              <w:spacing w:after="0"/>
              <w:rPr>
                <w:sz w:val="19"/>
                <w:szCs w:val="19"/>
                <w:color w:val="auto"/>
              </w:rPr>
            </w:pPr>
          </w:p>
        </w:tc>
        <w:tc>
          <w:tcPr>
            <w:tcW w:w="840" w:type="dxa"/>
            <w:vAlign w:val="bottom"/>
            <w:tcBorders>
              <w:bottom w:val="single" w:sz="8" w:color="auto"/>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ind w:right="67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10,209</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computation of basic and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spacing w:after="0"/>
              <w:rPr>
                <w:sz w:val="20"/>
                <w:szCs w:val="20"/>
                <w:color w:val="auto"/>
              </w:rPr>
            </w:pPr>
            <w:r>
              <w:rPr>
                <w:rFonts w:ascii="Arial" w:cs="Arial" w:eastAsia="Arial" w:hAnsi="Arial"/>
                <w:sz w:val="18"/>
                <w:szCs w:val="18"/>
                <w:color w:val="auto"/>
              </w:rPr>
              <w:t>Numerator for basic and diluted earnings per share</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3,765</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29,300</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34,681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52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tcBorders>
              <w:top w:val="single" w:sz="8" w:color="auto"/>
            </w:tcBorders>
            <w:shd w:val="clear" w:color="auto" w:fill="EEEEEE"/>
          </w:tcPr>
          <w:p>
            <w:pPr>
              <w:spacing w:after="0"/>
              <w:rPr>
                <w:sz w:val="17"/>
                <w:szCs w:val="17"/>
                <w:color w:val="auto"/>
              </w:rPr>
            </w:pPr>
          </w:p>
        </w:tc>
        <w:tc>
          <w:tcPr>
            <w:tcW w:w="50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440" w:type="dxa"/>
            <w:vAlign w:val="bottom"/>
            <w:tcBorders>
              <w:top w:val="single" w:sz="8" w:color="auto"/>
            </w:tcBorders>
            <w:shd w:val="clear" w:color="auto" w:fill="EEEEEE"/>
          </w:tcPr>
          <w:p>
            <w:pPr>
              <w:spacing w:after="0"/>
              <w:rPr>
                <w:sz w:val="17"/>
                <w:szCs w:val="17"/>
                <w:color w:val="auto"/>
              </w:rPr>
            </w:pPr>
          </w:p>
        </w:tc>
        <w:tc>
          <w:tcPr>
            <w:tcW w:w="9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color w:val="auto"/>
              </w:rPr>
              <w:t>Denominator for basic earnings per share - weighted average number of common</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shares outstanding during the year</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22,687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24,356</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25,935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Incremental common shares attributable to exercise of outstanding options and</w:t>
            </w: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5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warrants</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4,527</w:t>
            </w:r>
          </w:p>
        </w:tc>
        <w:tc>
          <w:tcPr>
            <w:tcW w:w="34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4,679</w:t>
            </w:r>
          </w:p>
        </w:tc>
        <w:tc>
          <w:tcPr>
            <w:tcW w:w="440" w:type="dxa"/>
            <w:vAlign w:val="bottom"/>
            <w:shd w:val="clear" w:color="auto" w:fill="EEEEEE"/>
          </w:tcPr>
          <w:p>
            <w:pPr>
              <w:spacing w:after="0"/>
              <w:rPr>
                <w:sz w:val="21"/>
                <w:szCs w:val="21"/>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5,649</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8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27,214</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29,035</w:t>
            </w:r>
          </w:p>
        </w:tc>
        <w:tc>
          <w:tcPr>
            <w:tcW w:w="340" w:type="dxa"/>
            <w:vAlign w:val="bottom"/>
            <w:tcBorders>
              <w:bottom w:val="single" w:sz="8" w:color="EEEEEE"/>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31,584</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880" w:type="dxa"/>
            <w:vAlign w:val="bottom"/>
            <w:tcBorders>
              <w:bottom w:val="single" w:sz="8" w:color="auto"/>
            </w:tcBorders>
            <w:shd w:val="clear" w:color="auto" w:fill="EEEEEE"/>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0.17</w:t>
            </w:r>
          </w:p>
        </w:tc>
        <w:tc>
          <w:tcPr>
            <w:tcW w:w="34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auto"/>
            </w:tcBorders>
            <w:shd w:val="clear" w:color="auto" w:fill="EEEEEE"/>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1.20</w:t>
            </w:r>
          </w:p>
        </w:tc>
        <w:tc>
          <w:tcPr>
            <w:tcW w:w="340" w:type="dxa"/>
            <w:vAlign w:val="bottom"/>
            <w:tcBorders>
              <w:bottom w:val="single" w:sz="8" w:color="EEEEEE"/>
            </w:tcBorders>
            <w:shd w:val="clear" w:color="auto" w:fill="EEEEEE"/>
          </w:tcPr>
          <w:p>
            <w:pPr>
              <w:spacing w:after="0"/>
              <w:rPr>
                <w:sz w:val="17"/>
                <w:szCs w:val="17"/>
                <w:color w:val="auto"/>
              </w:rPr>
            </w:pPr>
          </w:p>
        </w:tc>
        <w:tc>
          <w:tcPr>
            <w:tcW w:w="440" w:type="dxa"/>
            <w:vAlign w:val="bottom"/>
            <w:tcBorders>
              <w:bottom w:val="single" w:sz="8" w:color="auto"/>
            </w:tcBorders>
            <w:shd w:val="clear" w:color="auto" w:fill="EEEEEE"/>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1.34</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3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34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Incremental shares of 7.5 million, 7.9 million and 6.8 million related to stock options and warrants have been excluded from the diluted earnings per share calculation for the years ended December 31, 2017, 2016 and 2015, respectively, because the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debt issuance costs are presented as a direct deduction to the carrying amount of the related debt on our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recognize compensation costs in the financial statements based on the grant date fair value estimated in accordance with the provisions of ASC 718 “Stock Compensation”. Compensation cost is recognized over the required service period, generally defined as the vesting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These material estimates that could be susceptible to changes in the near term and, accordingly,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2017 we were in compliance with all such financial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have recorded a liability as of December 31, 2017, which represents our best estimate of the immaterial aggregate probable incurred losses for legal contingencies. The amount of losses that may ultimately be incurred, over and above such losses as are probable, cannot be estimated with certainty.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February 2018, as a result of the enactment of the Tax Cuts and Jobs Act (the Tax Act), the FASB issued new accounting guidance on the reclassification of certain tax effects from accumulated other comprehensive income to retained earnings. The guidance is effective January 1, 2019, with early adoption permitted. The Company is evaluating the new guidance along with any impact on the Company’s financial position, results of operations and cash flows, none of which are expected to be material.</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2016, the FASB issued Accounting Standards Update ("ASU") 2016-13 - Financial Instruments - Credit Losses (Topic 326): Measurement of Credit Losses on Financial Instruments. The revised accounting guidance changes the criteria under which credit losses are measured. The amendment introduces a new credit reserving model known as the Current Expected Credit Loss (CECL) model, which replaces the incurred loss impairment methodology in current U.S. GAAP with a methodology that reflects expected credit losses and requires consideration of a broader range of reasonable and supportable information to establish credit loss estimates. This new accounting guidance will be effective for interim and annual reporting periods beginning after December 15, 2019. The Company is currently evaluating the provisions of ASU No. 2016-13, however, it is expected that the new CECL model will alter the assumptions used in calculating the Company's credit losses, given the change to estimated losses for the estimated life of the financial asset, and will likely result in a material effect on the Company’s financial position and results of operations.</w:t>
      </w:r>
    </w:p>
    <w:p>
      <w:pPr>
        <w:spacing w:after="0" w:line="17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May 2014, the FASB issued Accounting Standards Update (“ASU”) 2014-09, Revenue from Contracts with Customers (Topic 606), superseding the revenue recognition requirements in ASC 605. This ASU requires an entity to recognize revenue for the transfer of promised goods or services to customers in an amount that reflects the consideration to which the entity expects to be entitled in exchange for those goods or services. The amendment includes a five-step process to assist an entity in achieving the main principle(s) of revenue recognition under ASC 605. The Company has adopted this ASU in the first quarter of 2018 and expects the new guidance will not have a material effect on its financial position,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$112.0 million and $112.8 million as of December 31, 2017 and 2016, respectively.</w:t>
      </w:r>
    </w:p>
    <w:p>
      <w:pPr>
        <w:spacing w:after="0" w:line="124"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$45.7 million and $40.8 million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820" w:type="dxa"/>
            <w:vAlign w:val="bottom"/>
            <w:gridSpan w:val="6"/>
          </w:tcPr>
          <w:p>
            <w:pPr>
              <w:jc w:val="right"/>
              <w:ind w:right="1140"/>
              <w:spacing w:after="0"/>
              <w:rPr>
                <w:sz w:val="20"/>
                <w:szCs w:val="20"/>
                <w:color w:val="auto"/>
              </w:rPr>
            </w:pPr>
            <w:r>
              <w:rPr>
                <w:rFonts w:ascii="Arial" w:cs="Arial" w:eastAsia="Arial" w:hAnsi="Arial"/>
                <w:sz w:val="18"/>
                <w:szCs w:val="18"/>
                <w:color w:val="auto"/>
                <w:w w:val="89"/>
              </w:rPr>
              <w:t>The following table presents the components of finance receivables, net of unearned interest:</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7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80" w:type="dxa"/>
            <w:vAlign w:val="bottom"/>
          </w:tcPr>
          <w:p>
            <w:pPr>
              <w:spacing w:after="0"/>
              <w:rPr>
                <w:sz w:val="19"/>
                <w:szCs w:val="19"/>
                <w:color w:val="auto"/>
              </w:rPr>
            </w:pPr>
          </w:p>
        </w:tc>
        <w:tc>
          <w:tcPr>
            <w:tcW w:w="5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EEEEEE"/>
            </w:tcBorders>
          </w:tcPr>
          <w:p>
            <w:pPr>
              <w:spacing w:after="0"/>
              <w:rPr>
                <w:sz w:val="19"/>
                <w:szCs w:val="19"/>
                <w:color w:val="auto"/>
              </w:rPr>
            </w:pPr>
          </w:p>
        </w:tc>
      </w:tr>
      <w:tr>
        <w:trPr>
          <w:trHeight w:val="210"/>
        </w:trPr>
        <w:tc>
          <w:tcPr>
            <w:tcW w:w="78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Automobile finance receivables, net of unearned interest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2,298,608</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2,266,619</w:t>
            </w:r>
          </w:p>
        </w:tc>
        <w:tc>
          <w:tcPr>
            <w:tcW w:w="120" w:type="dxa"/>
            <w:vAlign w:val="bottom"/>
          </w:tcPr>
          <w:p>
            <w:pPr>
              <w:spacing w:after="0"/>
              <w:rPr>
                <w:sz w:val="18"/>
                <w:szCs w:val="18"/>
                <w:color w:val="auto"/>
              </w:rPr>
            </w:pPr>
          </w:p>
        </w:tc>
      </w:tr>
      <w:tr>
        <w:trPr>
          <w:trHeight w:val="202"/>
        </w:trPr>
        <w:tc>
          <w:tcPr>
            <w:tcW w:w="780" w:type="dxa"/>
            <w:vAlign w:val="bottom"/>
          </w:tcPr>
          <w:p>
            <w:pPr>
              <w:spacing w:after="0"/>
              <w:rPr>
                <w:sz w:val="17"/>
                <w:szCs w:val="17"/>
                <w:color w:val="auto"/>
              </w:rPr>
            </w:pPr>
          </w:p>
        </w:tc>
        <w:tc>
          <w:tcPr>
            <w:tcW w:w="520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w w:val="92"/>
              </w:rPr>
              <w:t>Unearned acquisition fees, discounts and deferred origination costs,</w:t>
            </w:r>
          </w:p>
        </w:tc>
        <w:tc>
          <w:tcPr>
            <w:tcW w:w="1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r>
      <w:tr>
        <w:trPr>
          <w:trHeight w:val="230"/>
        </w:trPr>
        <w:tc>
          <w:tcPr>
            <w:tcW w:w="780" w:type="dxa"/>
            <w:vAlign w:val="bottom"/>
          </w:tcPr>
          <w:p>
            <w:pPr>
              <w:spacing w:after="0"/>
              <w:rPr>
                <w:sz w:val="20"/>
                <w:szCs w:val="20"/>
                <w:color w:val="auto"/>
              </w:rPr>
            </w:pPr>
          </w:p>
        </w:tc>
        <w:tc>
          <w:tcPr>
            <w:tcW w:w="52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6,376</w:t>
            </w:r>
          </w:p>
        </w:tc>
        <w:tc>
          <w:tcPr>
            <w:tcW w:w="50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1,324</w:t>
            </w:r>
          </w:p>
        </w:tc>
      </w:tr>
      <w:tr>
        <w:trPr>
          <w:trHeight w:val="223"/>
        </w:trPr>
        <w:tc>
          <w:tcPr>
            <w:tcW w:w="780" w:type="dxa"/>
            <w:vAlign w:val="bottom"/>
          </w:tcPr>
          <w:p>
            <w:pPr>
              <w:spacing w:after="0"/>
              <w:rPr>
                <w:sz w:val="19"/>
                <w:szCs w:val="19"/>
                <w:color w:val="auto"/>
              </w:rPr>
            </w:pPr>
          </w:p>
        </w:tc>
        <w:tc>
          <w:tcPr>
            <w:tcW w:w="520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2,304,984</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2,267,943</w:t>
            </w:r>
          </w:p>
        </w:tc>
        <w:tc>
          <w:tcPr>
            <w:tcW w:w="120" w:type="dxa"/>
            <w:vAlign w:val="bottom"/>
          </w:tcPr>
          <w:p>
            <w:pPr>
              <w:spacing w:after="0"/>
              <w:rPr>
                <w:sz w:val="19"/>
                <w:szCs w:val="19"/>
                <w:color w:val="auto"/>
              </w:rPr>
            </w:pPr>
          </w:p>
        </w:tc>
      </w:tr>
      <w:tr>
        <w:trPr>
          <w:trHeight w:val="20"/>
        </w:trPr>
        <w:tc>
          <w:tcPr>
            <w:tcW w:w="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delinquency status of finance receivables as of December 31, 2017 and 2016:</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2,069,617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2,053,759</w:t>
            </w:r>
          </w:p>
        </w:tc>
        <w:tc>
          <w:tcPr>
            <w:tcW w:w="12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9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138,395</w:t>
            </w:r>
          </w:p>
        </w:tc>
        <w:tc>
          <w:tcPr>
            <w:tcW w:w="46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116,073</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3180" w:type="dxa"/>
            <w:vAlign w:val="bottom"/>
          </w:tcPr>
          <w:p>
            <w:pPr>
              <w:ind w:left="20"/>
              <w:spacing w:after="0"/>
              <w:rPr>
                <w:sz w:val="20"/>
                <w:szCs w:val="20"/>
                <w:color w:val="auto"/>
              </w:rPr>
            </w:pPr>
            <w:r>
              <w:rPr>
                <w:rFonts w:ascii="Arial" w:cs="Arial" w:eastAsia="Arial" w:hAnsi="Arial"/>
                <w:sz w:val="18"/>
                <w:szCs w:val="18"/>
                <w:color w:val="auto"/>
              </w:rPr>
              <w:t>- 90 days</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63,081</w:t>
            </w:r>
          </w:p>
        </w:tc>
        <w:tc>
          <w:tcPr>
            <w:tcW w:w="4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52,404</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3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9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27,515</w:t>
            </w:r>
          </w:p>
        </w:tc>
        <w:tc>
          <w:tcPr>
            <w:tcW w:w="46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44,383</w:t>
            </w:r>
          </w:p>
        </w:tc>
      </w:tr>
      <w:tr>
        <w:trPr>
          <w:trHeight w:val="223"/>
        </w:trPr>
        <w:tc>
          <w:tcPr>
            <w:tcW w:w="2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2,298,608</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2,266,619</w:t>
            </w:r>
          </w:p>
        </w:tc>
        <w:tc>
          <w:tcPr>
            <w:tcW w:w="12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Finance receivables totaling $27.5 million and $44.4 million at December 31, 2017 and 2016, respectively, have been placed on non-accrual status as a result of their delinquency status.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r>
      <w:tr>
        <w:trPr>
          <w:trHeight w:val="210"/>
        </w:trPr>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95,578</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75,603</w:t>
            </w:r>
          </w:p>
        </w:tc>
        <w:tc>
          <w:tcPr>
            <w:tcW w:w="44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61,460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186,713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178,511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142,618</w:t>
            </w:r>
          </w:p>
        </w:tc>
      </w:tr>
      <w:tr>
        <w:trPr>
          <w:trHeight w:val="216"/>
        </w:trPr>
        <w:tc>
          <w:tcPr>
            <w:tcW w:w="364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(211,948)</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(192,366)</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(156,553)</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Recoveries</w:t>
            </w:r>
          </w:p>
        </w:tc>
        <w:tc>
          <w:tcPr>
            <w:tcW w:w="3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38,844</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33,830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28,078</w:t>
            </w:r>
          </w:p>
        </w:tc>
      </w:tr>
      <w:tr>
        <w:trPr>
          <w:trHeight w:val="223"/>
        </w:trPr>
        <w:tc>
          <w:tcPr>
            <w:tcW w:w="3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109,187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95,578</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75,603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178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33,679</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center"/>
              <w:ind w:left="230"/>
              <w:spacing w:after="0"/>
              <w:rPr>
                <w:sz w:val="20"/>
                <w:szCs w:val="20"/>
                <w:color w:val="auto"/>
              </w:rPr>
            </w:pPr>
            <w:r>
              <w:rPr>
                <w:rFonts w:ascii="Arial" w:cs="Arial" w:eastAsia="Arial" w:hAnsi="Arial"/>
                <w:sz w:val="18"/>
                <w:szCs w:val="18"/>
                <w:color w:val="auto"/>
                <w:w w:val="87"/>
              </w:rPr>
              <w:t>40,069</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(24,024)</w:t>
            </w:r>
          </w:p>
        </w:tc>
        <w:tc>
          <w:tcPr>
            <w:tcW w:w="460" w:type="dxa"/>
            <w:vAlign w:val="bottom"/>
          </w:tcPr>
          <w:p>
            <w:pPr>
              <w:spacing w:after="0"/>
              <w:rPr>
                <w:sz w:val="19"/>
                <w:szCs w:val="19"/>
                <w:color w:val="auto"/>
              </w:rPr>
            </w:pPr>
          </w:p>
        </w:tc>
        <w:tc>
          <w:tcPr>
            <w:tcW w:w="10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(28,924)</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38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4"/>
              </w:rPr>
              <w:t>Net repossessed inventory included in other assets</w:t>
            </w:r>
          </w:p>
        </w:tc>
        <w:tc>
          <w:tcPr>
            <w:tcW w:w="148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9,655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center"/>
              <w:ind w:left="350"/>
              <w:spacing w:after="0"/>
              <w:rPr>
                <w:sz w:val="20"/>
                <w:szCs w:val="20"/>
                <w:color w:val="auto"/>
              </w:rPr>
            </w:pPr>
            <w:r>
              <w:rPr>
                <w:rFonts w:ascii="Arial" w:cs="Arial" w:eastAsia="Arial" w:hAnsi="Arial"/>
                <w:sz w:val="18"/>
                <w:szCs w:val="18"/>
                <w:color w:val="auto"/>
                <w:w w:val="87"/>
              </w:rPr>
              <w:t>11,145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45"/>
        </w:trPr>
        <w:tc>
          <w:tcPr>
            <w:tcW w:w="14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right"/>
              <w:ind w:right="1090"/>
              <w:spacing w:after="0"/>
              <w:rPr>
                <w:sz w:val="20"/>
                <w:szCs w:val="20"/>
                <w:color w:val="auto"/>
              </w:rPr>
            </w:pPr>
            <w:r>
              <w:rPr>
                <w:rFonts w:ascii="Arial" w:cs="Arial" w:eastAsia="Arial" w:hAnsi="Arial"/>
                <w:sz w:val="18"/>
                <w:szCs w:val="18"/>
                <w:color w:val="auto"/>
              </w:rPr>
              <w:t>F-13</w:t>
            </w: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(4) Furniture and Equipment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60" w:type="dxa"/>
            <w:vAlign w:val="bottom"/>
            <w:gridSpan w:val="2"/>
          </w:tcPr>
          <w:p>
            <w:pPr>
              <w:ind w:left="660"/>
              <w:spacing w:after="0"/>
              <w:rPr>
                <w:sz w:val="20"/>
                <w:szCs w:val="20"/>
                <w:color w:val="auto"/>
              </w:rPr>
            </w:pPr>
            <w:r>
              <w:rPr>
                <w:rFonts w:ascii="Arial" w:cs="Arial" w:eastAsia="Arial" w:hAnsi="Arial"/>
                <w:sz w:val="18"/>
                <w:szCs w:val="18"/>
                <w:color w:val="auto"/>
                <w:w w:val="98"/>
              </w:rPr>
              <w:t>The following table presents the components of furniture and equipment: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1,566</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5,470</w:t>
            </w:r>
          </w:p>
        </w:tc>
        <w:tc>
          <w:tcPr>
            <w:tcW w:w="4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4,907</w:t>
            </w:r>
          </w:p>
        </w:tc>
        <w:tc>
          <w:tcPr>
            <w:tcW w:w="10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1,260</w:t>
            </w:r>
          </w:p>
        </w:tc>
        <w:tc>
          <w:tcPr>
            <w:tcW w:w="4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EEEEEE"/>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8,296</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(6,544)</w:t>
            </w:r>
          </w:p>
        </w:tc>
        <w:tc>
          <w:tcPr>
            <w:tcW w:w="46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(5,610)</w:t>
            </w:r>
          </w:p>
        </w:tc>
      </w:tr>
      <w:tr>
        <w:trPr>
          <w:trHeight w:val="223"/>
        </w:trPr>
        <w:tc>
          <w:tcPr>
            <w:tcW w:w="14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totaled $934,000, $777,000 and $637,000 for the years ended December 31, 2017, 2016 and 2015,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Interest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Pledged at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Rate at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Final Scheduled</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3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Series</w:t>
            </w:r>
          </w:p>
        </w:tc>
        <w:tc>
          <w:tcPr>
            <w:tcW w:w="184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1"/>
              </w:rPr>
              <w:t>Payment Date (1)</w:t>
            </w: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2017 (2)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Initial Principal</w:t>
            </w:r>
          </w:p>
        </w:tc>
        <w:tc>
          <w:tcPr>
            <w:tcW w:w="12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2012-C</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2019</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147,000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14,421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2012-D</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17,865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2013-A</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2020</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28,661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2013-B</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21,251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18,407</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37,570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2013-C</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2020</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26,518</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25,559</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46,830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2013-D</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26,921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183,000</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24,917</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46,345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2021</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33,120</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30,521</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54,988</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2014-B</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2021</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46,600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202,500</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44,516</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75,140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2021</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73,634</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273,000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71,174</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116,280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80,784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267,500</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79,099</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127,307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2022</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89,171</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245,000</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87,194</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134,466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104,354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102,873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153,893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2022</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142,703</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141,362</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207,636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March 2023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182,657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329,460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180,761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262,260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2023</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206,881</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332,690</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201,199</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284,752</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2023</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208,815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318,500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203,504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285,618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April 2024</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153,671</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206,325</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149,671</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200,221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April 2024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166,693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206,320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161,892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r>
      <w:tr>
        <w:trPr>
          <w:trHeight w:val="216"/>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December 2023</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198,860</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225,170</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186,594</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September 2024</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207,158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224,825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197,155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30"/>
        </w:trPr>
        <w:tc>
          <w:tcPr>
            <w:tcW w:w="1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184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June 2024</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193,957</w:t>
            </w: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196,300</w:t>
            </w: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189,277</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2.74%</w:t>
            </w:r>
          </w:p>
        </w:tc>
      </w:tr>
      <w:tr>
        <w:trPr>
          <w:trHeight w:val="223"/>
        </w:trPr>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2,163,746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4,842,590</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2,095,675</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2,094,253</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13" w:lineRule="exact"/>
        <w:rPr>
          <w:sz w:val="20"/>
          <w:szCs w:val="20"/>
          <w:color w:val="auto"/>
        </w:rPr>
      </w:pPr>
    </w:p>
    <w:p>
      <w:pPr>
        <w:ind w:left="580" w:right="120" w:hanging="248"/>
        <w:spacing w:after="0" w:line="250" w:lineRule="auto"/>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$873.7 million in 2018, $612.3 million in 2019, $362.5 million in 2020, $179.3 million in 2021, $49.5 million in 2022, and $5.9 million in 2023.</w:t>
      </w:r>
    </w:p>
    <w:p>
      <w:pPr>
        <w:ind w:left="580" w:hanging="248"/>
        <w:spacing w:after="0"/>
        <w:tabs>
          <w:tab w:leader="none" w:pos="5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Debt issuance costs of $12.5 million and $13.4 million as of December 31, 2017 and December 31, 2016, respectively, have been excluded from the table above. These debt issuance costs are presented as a direct deduction to the carrying amount of the Securitization trust debt on our Consolidated Balance Sheets.</w:t>
      </w:r>
    </w:p>
    <w:p>
      <w:pPr>
        <w:spacing w:after="0" w:line="18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2017.</w:t>
      </w:r>
    </w:p>
    <w:p>
      <w:pPr>
        <w:spacing w:after="0" w:line="18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2017, restricted cash under the various agreements totaled approximately $112.0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18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our debt outstanding at December 31, 2017 and 2016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gridSpan w:val="6"/>
          </w:tcPr>
          <w:p>
            <w:pPr>
              <w:ind w:left="9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vMerge w:val="restart"/>
          </w:tcPr>
          <w:p>
            <w:pPr>
              <w:ind w:left="660"/>
              <w:spacing w:after="0"/>
              <w:rPr>
                <w:sz w:val="20"/>
                <w:szCs w:val="20"/>
                <w:color w:val="auto"/>
              </w:rPr>
            </w:pPr>
            <w:r>
              <w:rPr>
                <w:rFonts w:ascii="Arial" w:cs="Arial" w:eastAsia="Arial" w:hAnsi="Arial"/>
                <w:sz w:val="18"/>
                <w:szCs w:val="18"/>
                <w:color w:val="auto"/>
              </w:rPr>
              <w:t>Description</w:t>
            </w:r>
          </w:p>
        </w:tc>
        <w:tc>
          <w:tcPr>
            <w:tcW w:w="2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Interest Rate</w:t>
            </w:r>
          </w:p>
        </w:tc>
        <w:tc>
          <w:tcPr>
            <w:tcW w:w="2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5"/>
              </w:rPr>
              <w:t>Revolving Maturity</w:t>
            </w:r>
          </w:p>
        </w:tc>
        <w:tc>
          <w:tcPr>
            <w:tcW w:w="260" w:type="dxa"/>
            <w:vAlign w:val="bottom"/>
          </w:tcPr>
          <w:p>
            <w:pPr>
              <w:spacing w:after="0"/>
              <w:rPr>
                <w:sz w:val="19"/>
                <w:szCs w:val="19"/>
                <w:color w:val="auto"/>
              </w:rPr>
            </w:pPr>
          </w:p>
        </w:tc>
        <w:tc>
          <w:tcPr>
            <w:tcW w:w="24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3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6.50%)</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April 2019</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25,629</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1"/>
              </w:rPr>
              <w:t>5.50% over one month Libor</w:t>
            </w:r>
          </w:p>
        </w:tc>
        <w:tc>
          <w:tcPr>
            <w:tcW w:w="2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6"/>
              </w:rPr>
              <w:t>(Minimum 6.25%)</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August 2018</w:t>
            </w: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77,546</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6.75% over a commercial</w:t>
            </w:r>
          </w:p>
        </w:tc>
        <w:tc>
          <w:tcPr>
            <w:tcW w:w="20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paper rate (Minimum 7.75%)</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November 2019</w:t>
            </w: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11,100</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Subordinated renewable notes</w:t>
            </w:r>
          </w:p>
        </w:tc>
        <w:tc>
          <w:tcPr>
            <w:tcW w:w="24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9"/>
              </w:rPr>
              <w:t>Weighted average rate of</w:t>
            </w:r>
          </w:p>
        </w:tc>
        <w:tc>
          <w:tcPr>
            <w:tcW w:w="230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90"/>
              </w:rPr>
              <w:t>Weighted average maturity</w:t>
            </w:r>
          </w:p>
        </w:tc>
        <w:tc>
          <w:tcPr>
            <w:tcW w:w="26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7.99% and 7.50% at</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0"/>
              </w:rPr>
              <w:t>of March 2020 and January</w:t>
            </w:r>
          </w:p>
        </w:tc>
        <w:tc>
          <w:tcPr>
            <w:tcW w:w="2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December 31, 2017 and 2016,</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2019 at December 31, 2017</w:t>
            </w:r>
          </w:p>
        </w:tc>
        <w:tc>
          <w:tcPr>
            <w:tcW w:w="2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92"/>
              </w:rPr>
              <w:t>respectively</w:t>
            </w:r>
          </w:p>
        </w:tc>
        <w:tc>
          <w:tcPr>
            <w:tcW w:w="23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and 2016, respectively</w:t>
            </w: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16,566</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1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06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0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130,841</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420" w:type="dxa"/>
            <w:vAlign w:val="bottom"/>
            <w:tcBorders>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119,914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Debt issuance costs of $1.9 million and $1.6 million as of December 31, 2017 and December 31, 2016, respectively, have been excluded from the table above. These debt issuance costs are presented as a direct deduction to the carrying amount of the Warehouse lines of credit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May 11, 2012, we entered into a $100 million one-year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86.0% of eligible finance receivables. The loans under the facility accrue interest at one-month LIBOR plus 5.50% per annum, with a minimum rate of 6.25% per annum. In August 2016, this facility was amended to extend the revolving period to August 2018 and to include an amortization period through August 2019 for any receivables pledged to the facility at the end of the revolving period. At December 31, 2017 there was $77.5 million outstanding under this facility.</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April 17, 2015, we entered into an additional $100 million one-year warehouse credit line with Fortress Investment 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In April 2017, this facility was amended to extend the revolving period to April 2019 followed by an amortization period through April 2021 for any receivables pledged to the facility at the end of the revolving period. At December 31, 2017 there was $25.6 million outstanding under this facility.</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November 24, 2015, we entered into an additional $100 million one-year warehouse credit line with affiliates of 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or up to 80.0% for certain other receivables. The loans under the facility accrue interest at a commercial paper rate plus 6.75% per annum, with a minimum rate of 7.75% per annum. In November 2017, this facility was amended to extend the revolving period to November 2019 followed by an amortization period through November 2021 for any receivables pledged to the facility at the end of the revolving period. At December 31, 2017 there was $11.1 million outstanding under this facility.</w:t>
      </w:r>
    </w:p>
    <w:p>
      <w:pPr>
        <w:spacing w:after="0" w:line="18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total outstanding debt on our three warehouse lines of credit was $114.3 million as of December 31, 2017, compared to $105.0 million outstanding as of December 31, 2016.</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2017:</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Subordinated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gridSpan w:val="2"/>
          </w:tcPr>
          <w:p>
            <w:pPr>
              <w:ind w:left="1360"/>
              <w:spacing w:after="0"/>
              <w:rPr>
                <w:sz w:val="20"/>
                <w:szCs w:val="20"/>
                <w:color w:val="auto"/>
              </w:rPr>
            </w:pPr>
            <w:r>
              <w:rPr>
                <w:rFonts w:ascii="Arial" w:cs="Arial" w:eastAsia="Arial" w:hAnsi="Arial"/>
                <w:sz w:val="18"/>
                <w:szCs w:val="18"/>
                <w:b w:val="1"/>
                <w:bCs w:val="1"/>
                <w:color w:val="auto"/>
              </w:rPr>
              <w:t>Contractual maturity date</w:t>
            </w:r>
          </w:p>
        </w:tc>
        <w:tc>
          <w:tcPr>
            <w:tcW w:w="160" w:type="dxa"/>
            <w:vAlign w:val="bottom"/>
          </w:tcPr>
          <w:p>
            <w:pPr>
              <w:spacing w:after="0"/>
              <w:rPr>
                <w:sz w:val="20"/>
                <w:szCs w:val="20"/>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renewable notes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For the year ending December 31, 2017, we purchased 2,745,493 shares of our common stock at an average price of $4.49. We purchased 2,693,562 shares of our stock in the open market for $12.1 million. In October 2017 our board of directors authorized the repurchase of up to $10 million of our common stock. There was $4.7 million of board authorization remaining in our repurchase plans from prior authorizations at December 31, 2016. There is approximately $12.6 million of board authorization remaining under such plans, which have no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586"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remaining purchases of 51,931 shares were related to net exercises of outstanding options and warrants. In transactions during the year ended December 31, 2017, the holders of options and warrants to purchase 110,000 shares of our common stock paid the aggregate $241,000 exercise price by surrender to us of 51,931 of such 110,000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and again in May 2015, the shareholders of the Company approved an amendment to the 2006 Plan to increase the maximum number of shares that may be subject to awards under the 2006 Plan to 5,000,000, 7,200,000, 12,200,000 and 17,200,000,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2017, 2016 and 2015 was $1.32, $1.38 and $2.41,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35% to 37% for 2017, 44% to 51% for 2016, and 47% to 51% for 2015.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8"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260" w:type="dxa"/>
            <w:vAlign w:val="bottom"/>
            <w:gridSpan w:val="2"/>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880" w:type="dxa"/>
            <w:vAlign w:val="bottom"/>
            <w:tcBorders>
              <w:top w:val="single" w:sz="8" w:color="auto"/>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34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1.59%</w:t>
            </w: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years ended December 31, 2017, 2016 and 2015, we recorded stock-based compensation costs in the amount of $5.7 million, $5.6 million and $5.0 million, respectively. As of December 31, 2017, the unrecognized stock-based compensation costs to be recognized over future periods was equal to $5.8 million. This amount will be recognized as expense over a weighted-average period of 1.9 years.</w:t>
      </w:r>
    </w:p>
    <w:p>
      <w:pPr>
        <w:spacing w:after="0" w:line="181"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At December 31, 2017 and 2016, options outstanding had intrinsic values of $10.4 million and $17.8 million, respectively. At December 31, 2017 and 2016, options exercisable had intrinsic values of $9.5 million and $14.2 million, respectively. The total intrinsic value of options exercised was $1.9 million and $1.3 million for the years ended December 31, 2017 and 2016, respectively. New shares were issued for all options exercised during the year ended December 2017 and cash of $1.1 million was received. A tax benefit of $178,000 was recorded for the options exercised in 2017. At December 31, 2017, there were a total of 2.5 million additional shares available for grant under the 2006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year ended December 31, 2017 for stock options under the 2006 and 1997 plans is as follows: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Number of Shares</w:t>
            </w:r>
          </w:p>
        </w:tc>
        <w:tc>
          <w:tcPr>
            <w:tcW w:w="1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 Average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12,595</w:t>
            </w: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1.68</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Forfeited/Expired</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5.62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13,135</w:t>
            </w:r>
          </w:p>
        </w:tc>
        <w:tc>
          <w:tcPr>
            <w:tcW w:w="180" w:type="dxa"/>
            <w:vAlign w:val="bottom"/>
            <w:tcBorders>
              <w:top w:val="single" w:sz="8" w:color="EEEEEE"/>
            </w:tcBorders>
            <w:shd w:val="clear" w:color="auto" w:fill="EEEEEE"/>
          </w:tcPr>
          <w:p>
            <w:pPr>
              <w:spacing w:after="0"/>
              <w:rPr>
                <w:sz w:val="19"/>
                <w:szCs w:val="19"/>
                <w:color w:val="auto"/>
              </w:rPr>
            </w:pP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EEEEEE"/>
            </w:tcBorders>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4.66</w:t>
            </w:r>
          </w:p>
        </w:tc>
        <w:tc>
          <w:tcPr>
            <w:tcW w:w="154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4.45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7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8,789</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4.51</w:t>
            </w:r>
          </w:p>
        </w:tc>
        <w:tc>
          <w:tcPr>
            <w:tcW w:w="1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4.04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2017, 2016 and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December 31, 2017.</w:t>
      </w:r>
    </w:p>
    <w:p>
      <w:pPr>
        <w:sectPr>
          <w:pgSz w:w="11900" w:h="16838" w:orient="portrait"/>
          <w:cols w:equalWidth="0" w:num="1">
            <w:col w:w="11420"/>
          </w:cols>
          <w:pgMar w:left="240" w:top="688"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on finance receivables</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federal tax expense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federal tax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Deferred state tax expense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423,567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408,723</w:t>
            </w:r>
          </w:p>
        </w:tc>
        <w:tc>
          <w:tcPr>
            <w:tcW w:w="340" w:type="dxa"/>
            <w:vAlign w:val="bottom"/>
          </w:tcPr>
          <w:p>
            <w:pPr>
              <w:spacing w:after="0"/>
              <w:rPr>
                <w:sz w:val="19"/>
                <w:szCs w:val="19"/>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349,796</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424,174</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349,912</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-462280</wp:posOffset>
            </wp:positionV>
            <wp:extent cx="65176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-179705</wp:posOffset>
            </wp:positionV>
            <wp:extent cx="651764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83,084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69,178</w:t>
            </w:r>
          </w:p>
        </w:tc>
        <w:tc>
          <w:tcPr>
            <w:tcW w:w="3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48,631</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6,127</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92,345</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57,745</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-736600</wp:posOffset>
            </wp:positionV>
            <wp:extent cx="651764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-462280</wp:posOffset>
            </wp:positionV>
            <wp:extent cx="65176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-179705</wp:posOffset>
            </wp:positionV>
            <wp:extent cx="651764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440"/>
              <w:spacing w:after="0" w:line="195" w:lineRule="exact"/>
              <w:rPr>
                <w:sz w:val="20"/>
                <w:szCs w:val="20"/>
                <w:color w:val="auto"/>
              </w:rPr>
            </w:pPr>
            <w:r>
              <w:rPr>
                <w:rFonts w:ascii="Arial" w:cs="Arial" w:eastAsia="Arial" w:hAnsi="Arial"/>
                <w:sz w:val="18"/>
                <w:szCs w:val="18"/>
                <w:b w:val="1"/>
                <w:bCs w:val="1"/>
                <w:color w:val="auto"/>
                <w:w w:val="91"/>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14,369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22,872</w:t>
            </w:r>
          </w:p>
        </w:tc>
        <w:tc>
          <w:tcPr>
            <w:tcW w:w="3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18,653</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10,131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(6,329)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30"/>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r>
      <w:tr>
        <w:trPr>
          <w:trHeight w:val="223"/>
        </w:trPr>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28,306</w:t>
            </w: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-736600</wp:posOffset>
            </wp:positionV>
            <wp:extent cx="651764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-462280</wp:posOffset>
            </wp:positionV>
            <wp:extent cx="65176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-179705</wp:posOffset>
            </wp:positionV>
            <wp:extent cx="651764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640"/>
            <w:col w:w="5440"/>
          </w:cols>
          <w:pgMar w:left="240" w:top="688" w:right="239" w:bottom="1440" w:gutter="0" w:footer="0" w:header="0"/>
          <w:type w:val="continuous"/>
        </w:sectPr>
      </w:pPr>
    </w:p>
    <w:p>
      <w:pPr>
        <w:spacing w:after="0" w:line="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Income tax expense for the years ended December 31, 2017, 2016 and 2015 differs from the amount determined by applying the statutory federal rate of 35% to income before income taxes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2200" w:type="dxa"/>
            <w:vAlign w:val="bottom"/>
            <w:gridSpan w:val="2"/>
            <w:shd w:val="clear" w:color="auto" w:fill="EEEEEE"/>
          </w:tcPr>
          <w:p>
            <w:pPr>
              <w:jc w:val="right"/>
              <w:ind w:right="677"/>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11,225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17,381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21,484</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824</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40" w:type="dxa"/>
            <w:vAlign w:val="bottom"/>
            <w:shd w:val="clear" w:color="auto" w:fill="EEEEEE"/>
          </w:tcPr>
          <w:p>
            <w:pPr>
              <w:spacing w:after="0"/>
              <w:rPr>
                <w:sz w:val="20"/>
                <w:szCs w:val="20"/>
                <w:color w:val="auto"/>
              </w:rPr>
            </w:pPr>
            <w:r>
              <w:rPr>
                <w:rFonts w:ascii="Arial" w:cs="Arial" w:eastAsia="Arial" w:hAnsi="Arial"/>
                <w:sz w:val="18"/>
                <w:szCs w:val="18"/>
                <w:color w:val="auto"/>
              </w:rPr>
              <w:t>Effect of change in tax rate</w:t>
            </w:r>
          </w:p>
        </w:tc>
        <w:tc>
          <w:tcPr>
            <w:tcW w:w="13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15,117</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gridSpan w:val="2"/>
          </w:tcPr>
          <w:p>
            <w:pPr>
              <w:jc w:val="right"/>
              <w:ind w:right="19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840" w:type="dxa"/>
            <w:vAlign w:val="bottom"/>
            <w:tcBorders>
              <w:top w:val="single" w:sz="8" w:color="auto"/>
              <w:bottom w:val="single" w:sz="8" w:color="auto"/>
            </w:tcBorders>
            <w:shd w:val="clear" w:color="auto" w:fill="EEEEEE"/>
          </w:tcPr>
          <w:p>
            <w:pPr>
              <w:jc w:val="right"/>
              <w:ind w:right="67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28,306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20,361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26,701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45"/>
        </w:trPr>
        <w:tc>
          <w:tcPr>
            <w:tcW w:w="5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837"/>
              <w:spacing w:after="0"/>
              <w:rPr>
                <w:sz w:val="20"/>
                <w:szCs w:val="20"/>
                <w:color w:val="auto"/>
              </w:rPr>
            </w:pPr>
            <w:r>
              <w:rPr>
                <w:rFonts w:ascii="Arial" w:cs="Arial" w:eastAsia="Arial" w:hAnsi="Arial"/>
                <w:sz w:val="18"/>
                <w:szCs w:val="18"/>
                <w:color w:val="auto"/>
              </w:rPr>
              <w:t>F-18</w:t>
            </w: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2017, we recorded income tax expense of $28.3 million which includes $15.1 of income tax expense related to the effects of the Tax Act, which are required to be recorded in the period of enactment. Excluding the impact of the Tax Act, income tax expense for 2017 would have been $13.2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tax effected cumulative temporary differences that give rise to deferred tax assets and liabilities as of December 31, 2017 and 2016 are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Finance receivables</w:t>
            </w:r>
          </w:p>
        </w:tc>
        <w:tc>
          <w:tcPr>
            <w:tcW w:w="24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23,034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28,986</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206</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NOL carryforwards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Built in losses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5,277</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8,915</w:t>
            </w: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Pension accrual</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1,654</w:t>
            </w: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3,642</w:t>
            </w:r>
          </w:p>
        </w:tc>
        <w:tc>
          <w:tcPr>
            <w:tcW w:w="4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582</w:t>
            </w:r>
          </w:p>
        </w:tc>
        <w:tc>
          <w:tcPr>
            <w:tcW w:w="4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19"/>
                <w:szCs w:val="19"/>
                <w:color w:val="auto"/>
              </w:rPr>
            </w:pPr>
          </w:p>
        </w:tc>
      </w:tr>
      <w:tr>
        <w:trPr>
          <w:trHeight w:val="210"/>
        </w:trPr>
        <w:tc>
          <w:tcPr>
            <w:tcW w:w="376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assets</w:t>
            </w:r>
          </w:p>
        </w:tc>
        <w:tc>
          <w:tcPr>
            <w:tcW w:w="158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34,924</w:t>
            </w:r>
          </w:p>
        </w:tc>
        <w:tc>
          <w:tcPr>
            <w:tcW w:w="3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46,370</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FFFFFF"/>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Liabilities:</w:t>
            </w: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FFFFFF"/>
              </w:rPr>
              <w:t>$</w:t>
            </w: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Deferred loan costs</w:t>
            </w:r>
          </w:p>
        </w:tc>
        <w:tc>
          <w:tcPr>
            <w:tcW w:w="1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(2,233)</w:t>
            </w:r>
          </w:p>
        </w:tc>
        <w:tc>
          <w:tcPr>
            <w:tcW w:w="4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(3,223)</w:t>
            </w:r>
          </w:p>
        </w:tc>
      </w:tr>
      <w:tr>
        <w:trPr>
          <w:trHeight w:val="230"/>
        </w:trPr>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w:t>
            </w:r>
          </w:p>
        </w:tc>
        <w:tc>
          <w:tcPr>
            <w:tcW w:w="15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(302)</w:t>
            </w:r>
          </w:p>
        </w:tc>
      </w:tr>
      <w:tr>
        <w:trPr>
          <w:trHeight w:val="210"/>
        </w:trPr>
        <w:tc>
          <w:tcPr>
            <w:tcW w:w="376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580" w:type="dxa"/>
            <w:vAlign w:val="bottom"/>
            <w:tcBorders>
              <w:bottom w:val="single" w:sz="8" w:color="EEEEEE"/>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(2,478</w:t>
            </w:r>
          </w:p>
        </w:tc>
        <w:tc>
          <w:tcPr>
            <w:tcW w:w="320" w:type="dxa"/>
            <w:vAlign w:val="bottom"/>
            <w:tcBorders>
              <w:bottom w:val="single" w:sz="8" w:color="EEEEEE"/>
            </w:tcBorders>
          </w:tcPr>
          <w:p>
            <w:pPr>
              <w:jc w:val="right"/>
              <w:ind w:right="18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0"/>
        </w:trPr>
        <w:tc>
          <w:tcPr>
            <w:tcW w:w="37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FFFFFF"/>
              </w:rPr>
              <w:t>$</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246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32,446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42,845</w:t>
            </w:r>
          </w:p>
        </w:tc>
        <w:tc>
          <w:tcPr>
            <w:tcW w:w="100" w:type="dxa"/>
            <w:vAlign w:val="bottom"/>
          </w:tcPr>
          <w:p>
            <w:pPr>
              <w:spacing w:after="0"/>
              <w:rPr>
                <w:sz w:val="21"/>
                <w:szCs w:val="21"/>
                <w:color w:val="auto"/>
              </w:rPr>
            </w:pPr>
          </w:p>
        </w:tc>
      </w:tr>
      <w:tr>
        <w:trPr>
          <w:trHeight w:val="20"/>
        </w:trPr>
        <w:tc>
          <w:tcPr>
            <w:tcW w:w="3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$32.4 million as of December 31, 2017 is more likely than not based on forecasted future net earnings. Our net deferred tax asset of $32.4 million consists of approximately $22.8 million of net U.S. federal deferred tax assets and $9.6 million of net state deferred tax assets. The major components of the deferred tax asset are $5.8 million in net operating loss carryforwards and built in losses and $23.2 million in net deductions which have not yet been taken on a tax return.</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2017, we had net operating loss carryforwards for state income tax purposes of $12.3 million. These state net operating losses begin to expire in 2018.</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2017, we had no unrecognized tax benefits for uncertain tax positions.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 Party Transactions</w:t>
      </w:r>
    </w:p>
    <w:p>
      <w:pPr>
        <w:spacing w:after="0" w:line="225" w:lineRule="exact"/>
        <w:rPr>
          <w:sz w:val="20"/>
          <w:szCs w:val="20"/>
          <w:color w:val="auto"/>
        </w:rPr>
      </w:pPr>
    </w:p>
    <w:p>
      <w:pPr>
        <w:ind w:right="80" w:firstLine="130"/>
        <w:spacing w:after="0" w:line="286" w:lineRule="auto"/>
        <w:rPr>
          <w:sz w:val="20"/>
          <w:szCs w:val="20"/>
          <w:color w:val="auto"/>
        </w:rPr>
      </w:pPr>
      <w:r>
        <w:rPr>
          <w:rFonts w:ascii="Arial" w:cs="Arial" w:eastAsia="Arial" w:hAnsi="Arial"/>
          <w:sz w:val="17"/>
          <w:szCs w:val="17"/>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2017, $4.0 million remains outstanding on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leases its facilities and certain computer equipment under non-cancelable operating leases, which expire through 2025. Future minimum lease payments at December 31, 2017, under these leases are due during the years ended December 31 as follows:</w:t>
      </w:r>
    </w:p>
    <w:p>
      <w:pPr>
        <w:spacing w:after="0" w:line="156"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ind w:left="2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6,493</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6,710</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5,465</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2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2017, 2016 and 2015, was $6.3 million, $5.2 million and $4.1 million, respectively.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Industry Inquiry. </w:t>
      </w:r>
      <w:r>
        <w:rPr>
          <w:rFonts w:ascii="Arial" w:cs="Arial" w:eastAsia="Arial" w:hAnsi="Arial"/>
          <w:sz w:val="17"/>
          <w:szCs w:val="17"/>
          <w:color w:val="auto"/>
        </w:rPr>
        <w:t>In January 2015, we were served with a subpoena by the U.S. Department of Justice (the “DOJ”) directing us</w:t>
      </w:r>
      <w:r>
        <w:rPr>
          <w:rFonts w:ascii="Arial" w:cs="Arial" w:eastAsia="Arial" w:hAnsi="Arial"/>
          <w:sz w:val="17"/>
          <w:szCs w:val="17"/>
          <w:i w:val="1"/>
          <w:iCs w:val="1"/>
          <w:color w:val="auto"/>
        </w:rPr>
        <w:t xml:space="preserve"> </w:t>
      </w:r>
      <w:r>
        <w:rPr>
          <w:rFonts w:ascii="Arial" w:cs="Arial" w:eastAsia="Arial" w:hAnsi="Arial"/>
          <w:sz w:val="17"/>
          <w:szCs w:val="17"/>
          <w:color w:val="auto"/>
        </w:rPr>
        <w:t>to produce certain documents relating to our and our subsidiaries’ and affiliates’ origination and securitization of sub-prime automobile contracts since 2005, in connection with an investigation by the DOJ in contemplation of a civil proceeding for potential violations of the Financial Institutions Reform, Recovery, and Enforcement Act of 1989. The DOJ in its investigation requested information relating, among other matters, to the underwriting criteria used to originate these automobile contracts and to the representations and warranties relating to those underwriting criteria that were made in connection with the securitization of the automobile contracts. We are among several other securitizers of sub-prime automobile receivables who received such subpoenas in 2014, 2015 and 2016. We have provided the required information, and we were advised by the DOJ in February 2018 that no further information is required of us and that no enforcement action is recommended.</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Although the inquiry commenced January 2015 is thus completed as to us, no assurance can be given as to whether some other government agency may commence inquiries into or actions against us, nor as to whether the DOJ may recommence its investigation, any of which hypothetical proceedings might materially and adversely affect us.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described or referenced above. We record at each measurement date,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as of December 31, 2017,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December 31, 2017 is immaterial, and that the range of reasonably possible losses for the legal proceedings and contingencies we face, including those described or referenced above, as of December 31, 2017 does not exceed $1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 wide discretion vested in the DOJ and other government agencies, and the deference that courts may give to assertions made by government litigants,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Employee Benefits</w:t>
      </w:r>
    </w:p>
    <w:p>
      <w:pPr>
        <w:spacing w:after="0" w:line="225"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We sponsor a pretax savings and profit sharing plan (the “401(k) Plan”) qualified under Section 401(k) of the Internal Revenue Code. Under the 401(k) Plan, eligible employees are able to contribute up to the maximum allowed under the law. We may, at our discretion, match 100% of employees’ contributions up to $2,000 per employee per calendar year. Our matching contributions to the 401(k) Plan were $1.2 million, $929,000, and $838,000, respectively, for the years ended December 31, 2017, 2016 and 2015.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sponsor a defined benefit plan, the MFN Financial Corporation Pension Plan (the “Plan”). The Plan benefits were frozen on June 30, 2001.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represents a reconciliation of the change in the plan’s benefit obligations, fair value of plan assets, and funded status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0"/>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0"/>
              </w:rPr>
              <w:t>(In 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21,515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855</w:t>
            </w: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1,535</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Projected benefit obligation, end of year</w:t>
            </w:r>
          </w:p>
        </w:tc>
        <w:tc>
          <w:tcPr>
            <w:tcW w:w="300" w:type="dxa"/>
            <w:vAlign w:val="bottom"/>
            <w:tcBorders>
              <w:top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22,562</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21,515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16,243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1,508</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Employer contribution</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(1,045)</w:t>
            </w:r>
          </w:p>
        </w:tc>
        <w:tc>
          <w:tcPr>
            <w:tcW w:w="4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Fair value of plan assets, end of year</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16,446</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spacing w:after="0"/>
              <w:rPr>
                <w:sz w:val="19"/>
                <w:szCs w:val="19"/>
                <w:color w:val="auto"/>
              </w:rPr>
            </w:pPr>
          </w:p>
        </w:tc>
        <w:tc>
          <w:tcPr>
            <w:tcW w:w="92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vMerge w:val="restart"/>
          </w:tcPr>
          <w:p>
            <w:pPr>
              <w:ind w:left="120"/>
              <w:spacing w:after="0"/>
              <w:rPr>
                <w:sz w:val="20"/>
                <w:szCs w:val="20"/>
                <w:color w:val="auto"/>
              </w:rPr>
            </w:pPr>
            <w:r>
              <w:rPr>
                <w:rFonts w:ascii="Arial" w:cs="Arial" w:eastAsia="Arial" w:hAnsi="Arial"/>
                <w:sz w:val="18"/>
                <w:szCs w:val="18"/>
                <w:b w:val="1"/>
                <w:bCs w:val="1"/>
                <w:i w:val="1"/>
                <w:iCs w:val="1"/>
                <w:color w:val="auto"/>
              </w:rPr>
              <w:t>Additional Information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Weighted average assumptions used to determine benefit obligations and cost at December 31, 2017 and 2016 were as follows: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7"/>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EEEEE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Discount rate</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4.05%</w:t>
            </w:r>
          </w:p>
        </w:tc>
        <w:tc>
          <w:tcPr>
            <w:tcW w:w="44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4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overall expected long-term rate of return on assets is 7.25% per annum as of December 31, 2017. The expected long-term rate of return is based on the weighted average of historical returns on individual asset categories, which are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(6,116)</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(5,272)</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(6,116</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w w:val="99"/>
              </w:rPr>
              <w:t>Amounts recognized in accumulated other comprehensive loss consists of:</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11,350</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10,618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10,592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11,350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10,592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(1,149)</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(1,199)</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Loss (Income)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732</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amount recognized in other comprehensive loss (income)</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net loss that will be amortized from accumulated other comprehensive income into net periodic benefit cost in 2018 is $443,000.</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asset allocation of our pension benefits at December 31, 2017 and 2016 were as follows:</w:t>
      </w:r>
    </w:p>
    <w:p>
      <w:pPr>
        <w:spacing w:after="0" w:line="23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223"/>
        </w:trPr>
        <w:tc>
          <w:tcPr>
            <w:tcW w:w="5360" w:type="dxa"/>
            <w:vAlign w:val="bottom"/>
            <w:tcBorders>
              <w:bottom w:val="single" w:sz="8" w:color="EEEEEE"/>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EEEEEE"/>
            </w:tcBorders>
          </w:tcPr>
          <w:p>
            <w:pPr>
              <w:spacing w:after="0"/>
              <w:rPr>
                <w:sz w:val="19"/>
                <w:szCs w:val="19"/>
                <w:color w:val="auto"/>
              </w:rPr>
            </w:pPr>
          </w:p>
        </w:tc>
      </w:tr>
      <w:tr>
        <w:trPr>
          <w:trHeight w:val="210"/>
        </w:trPr>
        <w:tc>
          <w:tcPr>
            <w:tcW w:w="5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9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w:t>
            </w:r>
          </w:p>
        </w:tc>
        <w:tc>
          <w:tcPr>
            <w:tcW w:w="1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30"/>
        </w:trPr>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9"/>
                <w:szCs w:val="19"/>
                <w:color w:val="auto"/>
              </w:rPr>
            </w:pPr>
          </w:p>
        </w:tc>
      </w:tr>
      <w:tr>
        <w:trPr>
          <w:trHeight w:val="223"/>
        </w:trPr>
        <w:tc>
          <w:tcPr>
            <w:tcW w:w="536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3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000" w:type="dxa"/>
            <w:vAlign w:val="bottom"/>
          </w:tcPr>
          <w:p>
            <w:pPr>
              <w:ind w:left="1620"/>
              <w:spacing w:after="0"/>
              <w:rPr>
                <w:sz w:val="20"/>
                <w:szCs w:val="20"/>
                <w:color w:val="auto"/>
              </w:rPr>
            </w:pPr>
            <w:r>
              <w:rPr>
                <w:rFonts w:ascii="Arial" w:cs="Arial" w:eastAsia="Arial" w:hAnsi="Arial"/>
                <w:sz w:val="18"/>
                <w:szCs w:val="18"/>
                <w:b w:val="1"/>
                <w:bCs w:val="1"/>
                <w:color w:val="auto"/>
              </w:rPr>
              <w:t>CONSUMER PORTFOLIO SERVICES, INC. AND SUBSIDIARIES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7000" w:type="dxa"/>
            <w:vAlign w:val="bottom"/>
          </w:tcPr>
          <w:p>
            <w:pPr>
              <w:ind w:left="1920"/>
              <w:spacing w:after="0"/>
              <w:rPr>
                <w:sz w:val="20"/>
                <w:szCs w:val="20"/>
                <w:color w:val="auto"/>
              </w:rPr>
            </w:pPr>
            <w:r>
              <w:rPr>
                <w:rFonts w:ascii="Arial" w:cs="Arial" w:eastAsia="Arial" w:hAnsi="Arial"/>
                <w:sz w:val="18"/>
                <w:szCs w:val="18"/>
                <w:b w:val="1"/>
                <w:bCs w:val="1"/>
                <w:color w:val="auto"/>
              </w:rPr>
              <w:t>NOTES TO CONSOLIDATED FINANCIAL STATEMENTS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144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6"/>
        </w:trPr>
        <w:tc>
          <w:tcPr>
            <w:tcW w:w="144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5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2018</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16"/>
        </w:trPr>
        <w:tc>
          <w:tcPr>
            <w:tcW w:w="144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2019</w:t>
            </w:r>
          </w:p>
        </w:tc>
        <w:tc>
          <w:tcPr>
            <w:tcW w:w="5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854</w:t>
            </w:r>
          </w:p>
        </w:tc>
      </w:tr>
      <w:tr>
        <w:trPr>
          <w:trHeight w:val="216"/>
        </w:trPr>
        <w:tc>
          <w:tcPr>
            <w:tcW w:w="14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895</w:t>
            </w:r>
          </w:p>
        </w:tc>
      </w:tr>
      <w:tr>
        <w:trPr>
          <w:trHeight w:val="216"/>
        </w:trPr>
        <w:tc>
          <w:tcPr>
            <w:tcW w:w="144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936</w:t>
            </w:r>
          </w:p>
        </w:tc>
      </w:tr>
      <w:tr>
        <w:trPr>
          <w:trHeight w:val="216"/>
        </w:trPr>
        <w:tc>
          <w:tcPr>
            <w:tcW w:w="144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981</w:t>
            </w:r>
          </w:p>
        </w:tc>
      </w:tr>
      <w:tr>
        <w:trPr>
          <w:trHeight w:val="216"/>
        </w:trPr>
        <w:tc>
          <w:tcPr>
            <w:tcW w:w="144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Years 2023 - 2027</w:t>
            </w:r>
          </w:p>
        </w:tc>
        <w:tc>
          <w:tcPr>
            <w:tcW w:w="5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5,449</w:t>
            </w:r>
          </w:p>
        </w:tc>
      </w:tr>
      <w:tr>
        <w:trPr>
          <w:trHeight w:val="216"/>
        </w:trPr>
        <w:tc>
          <w:tcPr>
            <w:tcW w:w="14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000" w:type="dxa"/>
            <w:vAlign w:val="bottom"/>
            <w:shd w:val="clear" w:color="auto" w:fill="EEEEEE"/>
          </w:tcPr>
          <w:p>
            <w:pPr>
              <w:spacing w:after="0"/>
              <w:rPr>
                <w:sz w:val="20"/>
                <w:szCs w:val="20"/>
                <w:color w:val="auto"/>
              </w:rPr>
            </w:pPr>
            <w:r>
              <w:rPr>
                <w:rFonts w:ascii="Arial" w:cs="Arial" w:eastAsia="Arial" w:hAnsi="Arial"/>
                <w:sz w:val="18"/>
                <w:szCs w:val="18"/>
                <w:color w:val="auto"/>
              </w:rPr>
              <w:t>Anticipated Contributions in 2018</w:t>
            </w:r>
          </w:p>
        </w:tc>
        <w:tc>
          <w:tcPr>
            <w:tcW w:w="58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7"/>
          </w:tcPr>
          <w:p>
            <w:pPr>
              <w:ind w:left="660"/>
              <w:spacing w:after="0"/>
              <w:rPr>
                <w:sz w:val="20"/>
                <w:szCs w:val="20"/>
                <w:color w:val="auto"/>
              </w:rPr>
            </w:pPr>
            <w:r>
              <w:rPr>
                <w:rFonts w:ascii="Arial" w:cs="Arial" w:eastAsia="Arial" w:hAnsi="Arial"/>
                <w:sz w:val="18"/>
                <w:szCs w:val="18"/>
                <w:color w:val="auto"/>
                <w:w w:val="98"/>
              </w:rPr>
              <w:t>The fair value of plan assets at December 31, 2017 and 2016, by asset category, is as follows: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3,633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2,324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647</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Blend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2,313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2,683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1,870</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12,813</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16,446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4,581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2,238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Focus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1,980</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2,392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1,644</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4,581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11,662</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41249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340" w:hanging="332"/>
        <w:spacing w:after="0"/>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7" w:lineRule="exact"/>
        <w:rPr>
          <w:rFonts w:ascii="Arial" w:cs="Arial" w:eastAsia="Arial" w:hAnsi="Arial"/>
          <w:sz w:val="18"/>
          <w:szCs w:val="18"/>
          <w:i w:val="1"/>
          <w:iCs w:val="1"/>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Fair Value Measurements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consolidated balance sheet, is measured at fair value using level 2 assumptions based on our actual loss experience on sale of repossessed vehicles. At December 31, 2017, the finance receivables related to the repossessed vehicles in inventory totaled $33.7 million. We have applied a valuation adjustment, or loss allowance, of $24.0 million, which is based on a recovery rate of approximately 29%, resulting in an estimated fair value and carrying amount of $9.7 million. The fair value and carrying amount of the repossessed inventory at December 31, 2016 was $11.1 million after applying a valuation adjustment of $28.9 million.</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2017 and 2016. We have no level 3 assets or liabilities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December 31, 2017 and 2016,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4"/>
              </w:rPr>
              <w:t>As of December 31, 2017</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Fair Value Measurements Using:</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12,731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12,731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111,965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111,965</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111,965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2,195,797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2,171,846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2,171,846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46,753</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46,753</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46,753</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112,408</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112,408</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112,408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4,212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2,083,215</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2,089,678</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2,089,678</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16,566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16,566</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4"/>
              </w:rPr>
              <w:t>As of December 31, 2016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spacing w:after="0" w:line="170" w:lineRule="exact"/>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Fair Value Measurements Using:</w:t>
            </w:r>
          </w:p>
        </w:tc>
        <w:tc>
          <w:tcPr>
            <w:tcW w:w="10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13,936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13,936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13,936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112,754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112,754</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112,754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2,172,365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2,104,503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2,104,503</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36,233</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36,233</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36,233</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103,358</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103,358</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103,358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3,715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3,715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2,080,900</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2,138,892</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2,138,892</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14,949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14,949</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December 31, 2017 and 2016,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(14) Quarterly Financial Data (unaudited)</w:t>
            </w:r>
          </w:p>
        </w:tc>
        <w:tc>
          <w:tcPr>
            <w:tcW w:w="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2017</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107,598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110,072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109,488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7,792</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7,952</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8,109</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4,480</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4,572</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4,663</w:t>
            </w: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Earnings (loss) per share: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0.20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2016</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100,649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104,933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108,516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12,229</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12,325</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12,455</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7,214</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7,272</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7,348</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0.25</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0.26</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2015</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85,989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88,361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93,991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14,749</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15,200</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15,649</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8,333</w:t>
            </w:r>
          </w:p>
        </w:tc>
        <w:tc>
          <w:tcPr>
            <w:tcW w:w="280" w:type="dxa"/>
            <w:vAlign w:val="bottom"/>
          </w:tcPr>
          <w:p>
            <w:pPr>
              <w:spacing w:after="0"/>
              <w:rPr>
                <w:sz w:val="18"/>
                <w:szCs w:val="18"/>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8,537</w:t>
            </w:r>
          </w:p>
        </w:tc>
        <w:tc>
          <w:tcPr>
            <w:tcW w:w="3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8,843</w:t>
            </w: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0.34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Subsequent Events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January 16, 2018 we executed our first securitization of 2018. In the transaction, qualified institutional buyers purchased $190.0 million of asset-backed notes secured by $193.6 million in automobile receivables purchased by us. The sold notes, issued by CPS Auto Receivables Trust 2018-A, consist of five classes. Ratings of the notes were provided by Standard &amp; Poor’s, and DBRS and were based on the structure of the transaction, the historical performance of similar receivables and our experience as a servicer. The weighted average yield on the notes is approximately 3.46%.</w:t>
      </w:r>
    </w:p>
    <w:p>
      <w:pPr>
        <w:spacing w:after="0" w:line="154" w:lineRule="exact"/>
        <w:rPr>
          <w:sz w:val="20"/>
          <w:szCs w:val="20"/>
          <w:color w:val="auto"/>
        </w:rPr>
      </w:pPr>
    </w:p>
    <w:p>
      <w:pPr>
        <w:jc w:val="both"/>
        <w:ind w:right="60" w:firstLine="648"/>
        <w:spacing w:after="0" w:line="276" w:lineRule="auto"/>
        <w:rPr>
          <w:sz w:val="20"/>
          <w:szCs w:val="20"/>
          <w:color w:val="auto"/>
        </w:rPr>
      </w:pPr>
      <w:r>
        <w:rPr>
          <w:rFonts w:ascii="Arial" w:cs="Arial" w:eastAsia="Arial" w:hAnsi="Arial"/>
          <w:sz w:val="17"/>
          <w:szCs w:val="17"/>
          <w:color w:val="auto"/>
        </w:rPr>
        <w:t>The 2018-A transaction has initial credit enhancement consisting of a cash deposit equal to 1.00% of the original receivable pool balance. The final enhancement level requires accelerated payment of principal on the notes to reach overcollateralization of the lesser of 6.80% of the original receivable pool balance, or 18.50% of the then outstanding pool balance. The transaction utilizes a pre-funding structure, in which CPS sold approximately $121.3 million of receivables on January 16, 2018 and sold $72.3 million of additional receivables on February 9, 2018. The transaction was a private offering of securities, not registered under the Securities Act of 1933, or any state securities law.</w:t>
      </w:r>
    </w:p>
    <w:p>
      <w:pPr>
        <w:spacing w:after="0" w:line="173"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In January 2018 the Company adopted the fair value method of accounting for finance receivables acquired after 2017. Under fair value, direct originations cost will not be deferred and there will be no allowance for credit losses associated with these receivables. The Company will make estimates regarding expected finance charge revenue, and the timing and magnitude of credit losses, to establish the fair value of the receivables on a quarterly basis, with changes in fair value recorded through the statement of income. In addition, the fair value may be impacted by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Exhibit 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Registrant Consumer Portfolio Services,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10"/>
        </w:trPr>
        <w:tc>
          <w:tcPr>
            <w:tcW w:w="5960" w:type="dxa"/>
            <w:vAlign w:val="bottom"/>
            <w:tcBorders>
              <w:left w:val="single" w:sz="8" w:color="auto"/>
              <w:bottom w:val="single" w:sz="8" w:color="auto"/>
              <w:right w:val="single" w:sz="8" w:color="auto"/>
            </w:tcBorders>
          </w:tcPr>
          <w:p>
            <w:pPr>
              <w:spacing w:after="0"/>
              <w:rPr>
                <w:sz w:val="18"/>
                <w:szCs w:val="18"/>
                <w:color w:val="auto"/>
              </w:rPr>
            </w:pPr>
          </w:p>
        </w:tc>
        <w:tc>
          <w:tcPr>
            <w:tcW w:w="5460" w:type="dxa"/>
            <w:vAlign w:val="bottom"/>
            <w:tcBorders>
              <w:bottom w:val="single" w:sz="8" w:color="auto"/>
              <w:right w:val="single" w:sz="8" w:color="auto"/>
            </w:tcBorders>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CPS Receivables Five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Six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Seven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Page Nine Funding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10"/>
        </w:trPr>
        <w:tc>
          <w:tcPr>
            <w:tcW w:w="5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Folio Residual Holdings LLC</w:t>
            </w:r>
          </w:p>
        </w:tc>
        <w:tc>
          <w:tcPr>
            <w:tcW w:w="5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which would not constitute a significant subsidiary if considered collectively as a single subsidiary, are omitted.</w:t>
      </w:r>
    </w:p>
    <w:p>
      <w:pPr>
        <w:sectPr>
          <w:pgSz w:w="11900" w:h="16838" w:orient="portrait"/>
          <w:cols w:equalWidth="0" w:num="1">
            <w:col w:w="11420"/>
          </w:cols>
          <w:pgMar w:left="240" w:top="118"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333-190766 and 333-168976 on Form S-1, Nos. 333-152969 and 333-204492 on Form S-3, and Nos. 333-58199, 333-35758, 333-75594, 333-115622, 333-135907, 333-161448, 333-166892, and 333-193926 on Form S-8 of Consumer Portfolio Services, Inc. of our report dated March 7, 2018 relating to the financial statements and effectiveness of internal control over financial reporting, appearing in this Annual Report on Form 10-K.</w:t>
      </w:r>
    </w:p>
    <w:p>
      <w:pPr>
        <w:spacing w:after="0" w:line="18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CROWE HORWATH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ectPr>
          <w:pgSz w:w="11900" w:h="16838" w:orient="portrait"/>
          <w:cols w:equalWidth="0" w:num="1">
            <w:col w:w="11380"/>
          </w:cols>
          <w:pgMar w:left="240" w:top="118"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820" w:hanging="812"/>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2017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225"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2017 of Consumer Portfolio Services, Inc.;</w:t>
      </w:r>
    </w:p>
    <w:p>
      <w:pPr>
        <w:spacing w:after="0" w:line="236"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ind w:left="820" w:right="4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7,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360"/>
          </w:cols>
          <w:pgMar w:left="240" w:top="125" w:right="2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2017, as filed with the Securities and Exchange Commission on March 7, 2018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lowerRoman"/>
      <w:start w:val="4"/>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4"/>
    </w:lvl>
  </w:abstractNum>
  <w:abstractNum w:abstractNumId="23">
    <w:nsid w:val="836C40E"/>
    <w:multiLevelType w:val="hybridMultilevel"/>
    <w:lvl w:ilvl="0">
      <w:lvlJc w:val="left"/>
      <w:lvlText w:val="%1"/>
      <w:numFmt w:val="decimal"/>
      <w:start w:val="14"/>
    </w:lvl>
  </w:abstractNum>
  <w:abstractNum w:abstractNumId="24">
    <w:nsid w:val="2901D82"/>
    <w:multiLevelType w:val="hybridMultilevel"/>
    <w:lvl w:ilvl="0">
      <w:lvlJc w:val="left"/>
      <w:lvlText w:val="%1"/>
      <w:numFmt w:val="decimal"/>
      <w:start w:val="2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5"/>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2" Type="http://schemas.openxmlformats.org/officeDocument/2006/relationships/image" Target="media/image59.png"/><Relationship Id="rId75" Type="http://schemas.openxmlformats.org/officeDocument/2006/relationships/image" Target="media/image60.png"/><Relationship Id="rId78" Type="http://schemas.openxmlformats.org/officeDocument/2006/relationships/image" Target="media/image61.png"/><Relationship Id="rId81" Type="http://schemas.openxmlformats.org/officeDocument/2006/relationships/image" Target="media/image62.png"/><Relationship Id="rId84" Type="http://schemas.openxmlformats.org/officeDocument/2006/relationships/image" Target="media/image63.png"/><Relationship Id="rId87" Type="http://schemas.openxmlformats.org/officeDocument/2006/relationships/image" Target="media/image64.png"/><Relationship Id="rId90"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65" Type="http://schemas.openxmlformats.org/officeDocument/2006/relationships/hyperlink" Target="http://www.sec.gov/Archives/edgar/data/889609/000088960909000010/exh3-1.htm" TargetMode="External"/><Relationship Id="rId66" Type="http://schemas.openxmlformats.org/officeDocument/2006/relationships/hyperlink" Target="http://www.sec.gov/Archives/edgar/data/889609/000088960910000073/cpssex313.htm" TargetMode="External"/><Relationship Id="rId67" Type="http://schemas.openxmlformats.org/officeDocument/2006/relationships/hyperlink" Target="http://www.sec.gov/Archives/edgar/data/889609/000088960909000032/cpssexhibit33.htm" TargetMode="External"/><Relationship Id="rId68" Type="http://schemas.openxmlformats.org/officeDocument/2006/relationships/hyperlink" Target="http://www.sec.gov/Archives/edgar/data/889609/000101968705000040/cps_s2ex4-1.txt" TargetMode="External"/><Relationship Id="rId70" Type="http://schemas.openxmlformats.org/officeDocument/2006/relationships/hyperlink" Target="http://www.sec.gov/Archives/edgar/data/889609/000101968705000040/cps_s2ex4-2.txt" TargetMode="External"/><Relationship Id="rId71" Type="http://schemas.openxmlformats.org/officeDocument/2006/relationships/hyperlink" Target="http://www.sec.gov/Archives/edgar/data/889609/000088960910000033/cpssexh41.htm" TargetMode="External"/><Relationship Id="rId73" Type="http://schemas.openxmlformats.org/officeDocument/2006/relationships/hyperlink" Target="http://www.sec.gov/Archives/edgar/data/889609/000088960910000033/cpss42.htm" TargetMode="External"/><Relationship Id="rId74" Type="http://schemas.openxmlformats.org/officeDocument/2006/relationships/hyperlink" Target="http://www.sec.gov/Archives/edgar/data/889609/000088960910000059/cpssex43_dtd121207.htm" TargetMode="External"/><Relationship Id="rId76" Type="http://schemas.openxmlformats.org/officeDocument/2006/relationships/hyperlink" Target="http://www.sec.gov/Archives/edgar/data/889609/000101968714000228/cps_s1a1-ex0404.htm" TargetMode="External"/><Relationship Id="rId77" Type="http://schemas.openxmlformats.org/officeDocument/2006/relationships/hyperlink" Target="http://www.sec.gov/Archives/edgar/data/889609/000101968705001015/cps_s2a1ex10-20.txt" TargetMode="External"/><Relationship Id="rId79" Type="http://schemas.openxmlformats.org/officeDocument/2006/relationships/hyperlink" Target="http://www.sec.gov/Archives/edgar/data/889609/000101968706000537/cps_10kex10-0201.txt" TargetMode="External"/><Relationship Id="rId80" Type="http://schemas.openxmlformats.org/officeDocument/2006/relationships/hyperlink" Target="http://www.sec.gov/Archives/edgar/data/889609/000101968715001620/cps_def14a.htm" TargetMode="External"/><Relationship Id="rId82" Type="http://schemas.openxmlformats.org/officeDocument/2006/relationships/hyperlink" Target="http://www.sec.gov/Archives/edgar/data/889609/000101968707000676/cps_10kex14-1.txt" TargetMode="External"/><Relationship Id="rId83" Type="http://schemas.openxmlformats.org/officeDocument/2006/relationships/hyperlink" Target="http://www.sec.gov/Archives/edgar/data/889609/000088960909000053/cpsslongterm2006.htm" TargetMode="External"/><Relationship Id="rId85" Type="http://schemas.openxmlformats.org/officeDocument/2006/relationships/hyperlink" Target="http://www.sec.gov/Archives/edgar/data/889609/000088960909000053/cpsslongterm2006non.htm" TargetMode="External"/><Relationship Id="rId86" Type="http://schemas.openxmlformats.org/officeDocument/2006/relationships/hyperlink" Target="http://www.sec.gov/Archives/edgar/data/889609/000101968708003496/cps_ex10-23.txt" TargetMode="External"/><Relationship Id="rId88" Type="http://schemas.openxmlformats.org/officeDocument/2006/relationships/hyperlink" Target="http://www.sec.gov/Archives/edgar/data/889609/000088960915000017/cpss8kexh1061_dtd150423.htm" TargetMode="External"/><Relationship Id="rId89" Type="http://schemas.openxmlformats.org/officeDocument/2006/relationships/hyperlink" Target="http://www.sec.gov/Archives/edgar/data/889609/000088960915000017/cpss8kexh1062_dtd150423.htm" TargetMode="External"/><Relationship Id="rId91" Type="http://schemas.openxmlformats.org/officeDocument/2006/relationships/hyperlink" Target="http://www.sec.gov/Archives/edgar/data/889609/000101968706000537/cps_10kex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2019-12-28T23:49:24Z</dcterms:created>
  <dcterms:modified xsi:type="dcterms:W3CDTF">2019-12-28T23:49:24Z</dcterms:modified>
</cp:coreProperties>
</file>