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cps_8k.htm"/>
      <w:bookmarkStart w:id="1" w:name="kscps_8k"/>
      <w:bookmarkEnd w:id="0"/>
      <w:bookmarkEnd w:id="1"/>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FORM </w:t>
      </w:r>
      <w:bookmarkStart w:id="2" w:name="xdx_904_edei--DocumentType_c20260709__20"/>
      <w:bookmarkEnd w:id="2"/>
      <w:r>
        <w:rPr>
          <w:rFonts w:ascii="Times New Roman;Times;Serif" w:hAnsi="Times New Roman;Times;Serif"/>
          <w:b w:val="false"/>
          <w:i w:val="false"/>
          <w:caps w:val="false"/>
          <w:smallCaps w:val="false"/>
          <w:sz w:val="20"/>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13 OR 15(d) OF THE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B_edei--DocumentPeriodEndDate_c202"/>
      <w:bookmarkEnd w:id="3"/>
      <w:r>
        <w:rPr>
          <w:rFonts w:ascii="Times New Roman;Times;Serif" w:hAnsi="Times New Roman;Times;Serif"/>
          <w:b w:val="false"/>
          <w:i w:val="false"/>
          <w:caps w:val="false"/>
          <w:smallCaps w:val="false"/>
          <w:sz w:val="20"/>
        </w:rPr>
        <w:t>July 9, 2026</w:t>
      </w:r>
    </w:p>
    <w:p>
      <w:pPr>
        <w:pStyle w:val="TextBody"/>
        <w:bidi w:val="0"/>
        <w:spacing w:before="0" w:after="0"/>
        <w:ind w:left="0" w:right="0" w:hanging="0"/>
        <w:jc w:val="left"/>
        <w:rPr>
          <w:caps w:val="false"/>
          <w:smallCaps w:val="false"/>
        </w:rPr>
      </w:pPr>
      <w:r>
        <w:rPr>
          <w:caps w:val="false"/>
          <w:smallCaps w:val="false"/>
        </w:rPr>
        <w:t> </w:t>
      </w:r>
    </w:p>
    <w:tbl>
      <w:tblPr>
        <w:tblW w:w="5015" w:type="dxa"/>
        <w:jc w:val="left"/>
        <w:tblInd w:w="0" w:type="dxa"/>
        <w:tblLayout w:type="fixed"/>
        <w:tblCellMar>
          <w:top w:w="0" w:type="dxa"/>
          <w:left w:w="0" w:type="dxa"/>
          <w:bottom w:w="0" w:type="dxa"/>
          <w:right w:w="0" w:type="dxa"/>
        </w:tblCellMar>
      </w:tblPr>
      <w:tblGrid>
        <w:gridCol w:w="75"/>
        <w:gridCol w:w="4865"/>
        <w:gridCol w:w="75"/>
      </w:tblGrid>
      <w:tr>
        <w:trPr/>
        <w:tc>
          <w:tcPr>
            <w:tcW w:w="75" w:type="dxa"/>
            <w:tcBorders/>
            <w:vAlign w:val="center"/>
          </w:tcPr>
          <w:p>
            <w:pPr>
              <w:pStyle w:val="TableContents"/>
              <w:bidi w:val="0"/>
              <w:spacing w:before="0" w:after="283"/>
              <w:jc w:val="left"/>
              <w:rPr/>
            </w:pPr>
            <w:r>
              <w:rPr/>
              <w:t> </w:t>
            </w:r>
          </w:p>
        </w:tc>
        <w:tc>
          <w:tcPr>
            <w:tcW w:w="4865" w:type="dxa"/>
            <w:tcBorders>
              <w:bottom w:val="single" w:sz="8" w:space="0" w:color="000000"/>
            </w:tcBorders>
            <w:tcMar>
              <w:bottom w:w="28" w:type="dxa"/>
            </w:tcMar>
            <w:vAlign w:val="center"/>
          </w:tcPr>
          <w:p>
            <w:pPr>
              <w:pStyle w:val="TableContents"/>
              <w:bidi w:val="0"/>
              <w:spacing w:before="0" w:after="283"/>
              <w:jc w:val="center"/>
              <w:rPr>
                <w:b/>
                <w:sz w:val="24"/>
              </w:rPr>
            </w:pPr>
            <w:bookmarkStart w:id="4" w:name="xdx_901_edei--EntityRegistrantName_c2026"/>
            <w:bookmarkEnd w:id="4"/>
            <w:r>
              <w:rPr>
                <w:b/>
                <w:sz w:val="24"/>
              </w:rPr>
              <w:t>CONSUMER PORTFOLIO SERVICES, INC.</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65" w:type="dxa"/>
            <w:tcBorders/>
            <w:vAlign w:val="center"/>
          </w:tcPr>
          <w:p>
            <w:pPr>
              <w:pStyle w:val="TableContents"/>
              <w:bidi w:val="0"/>
              <w:spacing w:before="0" w:after="283"/>
              <w:jc w:val="center"/>
              <w:rPr>
                <w:sz w:val="20"/>
              </w:rPr>
            </w:pPr>
            <w:r>
              <w:rPr>
                <w:sz w:val="20"/>
              </w:rPr>
              <w:t>(Exact Name of Registrant as Specified in Charter)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4965" w:type="dxa"/>
        <w:jc w:val="left"/>
        <w:tblInd w:w="0" w:type="dxa"/>
        <w:tblLayout w:type="fixed"/>
        <w:tblCellMar>
          <w:top w:w="0" w:type="dxa"/>
          <w:left w:w="0" w:type="dxa"/>
          <w:bottom w:w="0" w:type="dxa"/>
          <w:right w:w="0" w:type="dxa"/>
        </w:tblCellMar>
      </w:tblPr>
      <w:tblGrid>
        <w:gridCol w:w="2210"/>
        <w:gridCol w:w="60"/>
        <w:gridCol w:w="1100"/>
        <w:gridCol w:w="60"/>
        <w:gridCol w:w="1535"/>
      </w:tblGrid>
      <w:tr>
        <w:trPr/>
        <w:tc>
          <w:tcPr>
            <w:tcW w:w="2210" w:type="dxa"/>
            <w:tcBorders/>
            <w:vAlign w:val="center"/>
          </w:tcPr>
          <w:p>
            <w:pPr>
              <w:pStyle w:val="TableContents"/>
              <w:bidi w:val="0"/>
              <w:spacing w:before="0" w:after="283"/>
              <w:jc w:val="center"/>
              <w:rPr>
                <w:caps/>
                <w:sz w:val="20"/>
                <w:u w:val="single"/>
              </w:rPr>
            </w:pPr>
            <w:bookmarkStart w:id="5" w:name="xdx_909_edei--EntityIncorporationStateCo"/>
            <w:bookmarkEnd w:id="5"/>
            <w:r>
              <w:rPr>
                <w:caps/>
                <w:sz w:val="20"/>
                <w:u w:val="single"/>
              </w:rPr>
              <w:t>california</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sz w:val="20"/>
                <w:u w:val="single"/>
              </w:rPr>
            </w:pPr>
            <w:bookmarkStart w:id="6" w:name="xdx_902_edei--EntityFileNumber_c20260709"/>
            <w:bookmarkEnd w:id="6"/>
            <w:r>
              <w:rPr>
                <w:sz w:val="20"/>
                <w:u w:val="single"/>
              </w:rPr>
              <w:t>1-11416</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sz w:val="20"/>
                <w:u w:val="single"/>
              </w:rPr>
            </w:pPr>
            <w:bookmarkStart w:id="7" w:name="xdx_902_edei--EntityTaxIdentificationNum"/>
            <w:bookmarkEnd w:id="7"/>
            <w:r>
              <w:rPr>
                <w:sz w:val="20"/>
                <w:u w:val="single"/>
              </w:rPr>
              <w:t>33-0459135</w:t>
            </w:r>
          </w:p>
        </w:tc>
      </w:tr>
      <w:tr>
        <w:trPr/>
        <w:tc>
          <w:tcPr>
            <w:tcW w:w="221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5240" w:type="dxa"/>
        <w:jc w:val="left"/>
        <w:tblInd w:w="0" w:type="dxa"/>
        <w:tblLayout w:type="fixed"/>
        <w:tblCellMar>
          <w:top w:w="0" w:type="dxa"/>
          <w:left w:w="0" w:type="dxa"/>
          <w:bottom w:w="0" w:type="dxa"/>
          <w:right w:w="0" w:type="dxa"/>
        </w:tblCellMar>
      </w:tblPr>
      <w:tblGrid>
        <w:gridCol w:w="75"/>
        <w:gridCol w:w="5090"/>
        <w:gridCol w:w="75"/>
      </w:tblGrid>
      <w:tr>
        <w:trPr/>
        <w:tc>
          <w:tcPr>
            <w:tcW w:w="75" w:type="dxa"/>
            <w:tcBorders/>
            <w:vAlign w:val="center"/>
          </w:tcPr>
          <w:p>
            <w:pPr>
              <w:pStyle w:val="TableContents"/>
              <w:bidi w:val="0"/>
              <w:spacing w:before="0" w:after="283"/>
              <w:jc w:val="left"/>
              <w:rPr/>
            </w:pPr>
            <w:r>
              <w:rPr/>
              <w:t> </w:t>
            </w:r>
          </w:p>
        </w:tc>
        <w:tc>
          <w:tcPr>
            <w:tcW w:w="5090" w:type="dxa"/>
            <w:tcBorders>
              <w:bottom w:val="single" w:sz="8" w:space="0" w:color="000000"/>
            </w:tcBorders>
            <w:tcMar>
              <w:bottom w:w="28" w:type="dxa"/>
            </w:tcMar>
            <w:vAlign w:val="center"/>
          </w:tcPr>
          <w:p>
            <w:pPr>
              <w:pStyle w:val="TableContents"/>
              <w:bidi w:val="0"/>
              <w:spacing w:before="0" w:after="283"/>
              <w:jc w:val="center"/>
              <w:rPr>
                <w:sz w:val="20"/>
              </w:rPr>
            </w:pPr>
            <w:bookmarkStart w:id="8" w:name="xdx_90E_edei--EntityAddressAddressLine1_"/>
            <w:bookmarkEnd w:id="8"/>
            <w:r>
              <w:rPr>
                <w:sz w:val="20"/>
              </w:rPr>
              <w:t xml:space="preserve">3800 Howard Hughes Pkwy, </w:t>
            </w:r>
            <w:bookmarkStart w:id="9" w:name="xdx_907_edei--EntityAddressAddressLine2_"/>
            <w:bookmarkEnd w:id="9"/>
            <w:r>
              <w:rPr>
                <w:sz w:val="20"/>
              </w:rPr>
              <w:t xml:space="preserve">Suite 1400, </w:t>
            </w:r>
            <w:bookmarkStart w:id="10" w:name="xdx_90E_edei--EntityAddressCityOrTown_c2"/>
            <w:bookmarkEnd w:id="10"/>
            <w:r>
              <w:rPr>
                <w:sz w:val="20"/>
              </w:rPr>
              <w:t xml:space="preserve">Las Vegas, </w:t>
            </w:r>
            <w:bookmarkStart w:id="11" w:name="xdx_907_edei--EntityAddressStateOrProvin"/>
            <w:bookmarkEnd w:id="11"/>
            <w:r>
              <w:rPr>
                <w:sz w:val="20"/>
              </w:rPr>
              <w:t xml:space="preserve">NV </w:t>
            </w:r>
            <w:bookmarkStart w:id="12" w:name="xdx_909_edei--EntityAddressPostalZipCode"/>
            <w:bookmarkEnd w:id="12"/>
            <w:r>
              <w:rPr>
                <w:sz w:val="20"/>
              </w:rPr>
              <w:t>89169</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090" w:type="dxa"/>
            <w:tcBorders/>
            <w:vAlign w:val="center"/>
          </w:tcPr>
          <w:p>
            <w:pPr>
              <w:pStyle w:val="TableContents"/>
              <w:bidi w:val="0"/>
              <w:spacing w:before="0" w:after="283"/>
              <w:jc w:val="center"/>
              <w:rPr>
                <w:sz w:val="20"/>
              </w:rPr>
            </w:pPr>
            <w:r>
              <w:rPr>
                <w:sz w:val="20"/>
              </w:rPr>
              <w:t>(Address of Principal Executive Offices) (Zip Code)</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 (</w:t>
      </w:r>
      <w:bookmarkStart w:id="13" w:name="xdx_90E_edei--CityAreaCode_c20260709__20"/>
      <w:bookmarkEnd w:id="13"/>
      <w:r>
        <w:rPr>
          <w:rFonts w:ascii="Times New Roman;Times;Serif" w:hAnsi="Times New Roman;Times;Serif"/>
          <w:b w:val="false"/>
          <w:i w:val="false"/>
          <w:caps w:val="false"/>
          <w:smallCaps w:val="false"/>
          <w:sz w:val="20"/>
        </w:rPr>
        <w:t xml:space="preserve">949) </w:t>
      </w:r>
      <w:bookmarkStart w:id="14" w:name="xdx_907_edei--LocalPhoneNumber_c20260709"/>
      <w:bookmarkEnd w:id="14"/>
      <w:r>
        <w:rPr>
          <w:rFonts w:ascii="Times New Roman;Times;Serif" w:hAnsi="Times New Roman;Times;Serif"/>
          <w:b w:val="false"/>
          <w:i w:val="false"/>
          <w:caps w:val="false"/>
          <w:smallCaps w:val="false"/>
          <w:sz w:val="20"/>
        </w:rPr>
        <w:t>753-6800</w:t>
      </w:r>
    </w:p>
    <w:p>
      <w:pPr>
        <w:pStyle w:val="TextBody"/>
        <w:bidi w:val="0"/>
        <w:spacing w:before="0" w:after="0"/>
        <w:ind w:left="0" w:right="0" w:hanging="0"/>
        <w:jc w:val="left"/>
        <w:rPr>
          <w:caps w:val="false"/>
          <w:smallCaps w:val="false"/>
        </w:rPr>
      </w:pPr>
      <w:r>
        <w:rPr>
          <w:caps w:val="false"/>
          <w:smallCaps w:val="false"/>
        </w:rPr>
        <w:t> </w:t>
      </w:r>
    </w:p>
    <w:tbl>
      <w:tblPr>
        <w:tblW w:w="5030" w:type="dxa"/>
        <w:jc w:val="left"/>
        <w:tblInd w:w="0" w:type="dxa"/>
        <w:tblLayout w:type="fixed"/>
        <w:tblCellMar>
          <w:top w:w="0" w:type="dxa"/>
          <w:left w:w="0" w:type="dxa"/>
          <w:bottom w:w="0" w:type="dxa"/>
          <w:right w:w="0" w:type="dxa"/>
        </w:tblCellMar>
      </w:tblPr>
      <w:tblGrid>
        <w:gridCol w:w="75"/>
        <w:gridCol w:w="4880"/>
        <w:gridCol w:w="75"/>
      </w:tblGrid>
      <w:tr>
        <w:trPr/>
        <w:tc>
          <w:tcPr>
            <w:tcW w:w="75" w:type="dxa"/>
            <w:tcBorders/>
            <w:vAlign w:val="center"/>
          </w:tcPr>
          <w:p>
            <w:pPr>
              <w:pStyle w:val="TableContents"/>
              <w:bidi w:val="0"/>
              <w:spacing w:before="0" w:after="283"/>
              <w:jc w:val="left"/>
              <w:rPr/>
            </w:pPr>
            <w:r>
              <w:rPr/>
              <w:t> </w:t>
            </w:r>
          </w:p>
        </w:tc>
        <w:tc>
          <w:tcPr>
            <w:tcW w:w="4880" w:type="dxa"/>
            <w:tcBorders>
              <w:bottom w:val="single" w:sz="8" w:space="0" w:color="000000"/>
            </w:tcBorders>
            <w:tcMar>
              <w:bottom w:w="28" w:type="dxa"/>
            </w:tcMar>
            <w:vAlign w:val="center"/>
          </w:tcPr>
          <w:p>
            <w:pPr>
              <w:pStyle w:val="TableContents"/>
              <w:bidi w:val="0"/>
              <w:spacing w:before="0" w:after="283"/>
              <w:jc w:val="center"/>
              <w:rPr>
                <w:sz w:val="20"/>
              </w:rPr>
            </w:pPr>
            <w:bookmarkStart w:id="15" w:name="xdx_901_edei--EntityInformationFormerLeg"/>
            <w:bookmarkEnd w:id="15"/>
            <w:r>
              <w:rPr>
                <w:sz w:val="20"/>
              </w:rPr>
              <w:t>Not Applicable</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80" w:type="dxa"/>
            <w:tcBorders/>
            <w:vAlign w:val="center"/>
          </w:tcPr>
          <w:p>
            <w:pPr>
              <w:pStyle w:val="TableContents"/>
              <w:bidi w:val="0"/>
              <w:spacing w:before="0" w:after="283"/>
              <w:jc w:val="center"/>
              <w:rPr>
                <w:sz w:val="20"/>
              </w:rPr>
            </w:pPr>
            <w:r>
              <w:rPr>
                <w:sz w:val="20"/>
              </w:rPr>
              <w:t>(Former name or former address, if changed since last report)</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6" w:name="xdx_902_edei--WrittenCommunications_c202"/>
      <w:bookmarkEnd w:id="16"/>
      <w:r>
        <w:rPr>
          <w:caps w:val="false"/>
          <w:smallCaps w:val="false"/>
        </w:rPr>
        <w:t xml:space="preserve">☐ </w:t>
      </w:r>
      <w:r>
        <w:rPr>
          <w:rFonts w:ascii="Times New Roman;Times;Serif" w:hAnsi="Times New Roman;Times;Serif"/>
          <w:b w:val="false"/>
          <w:i w:val="false"/>
          <w:caps w:val="false"/>
          <w:smallCaps w:val="false"/>
          <w:sz w:val="20"/>
        </w:rPr>
        <w:t>Written communications pursuant to Rule 425 under the Securities Act (17 CFR 230.425)</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7" w:name="xdx_901_edei--SolicitingMaterial_c202607"/>
      <w:bookmarkEnd w:id="17"/>
      <w:r>
        <w:rPr>
          <w:caps w:val="false"/>
          <w:smallCaps w:val="false"/>
        </w:rPr>
        <w:t xml:space="preserve">☐ </w:t>
      </w:r>
      <w:r>
        <w:rPr>
          <w:rFonts w:ascii="Times New Roman;Times;Serif" w:hAnsi="Times New Roman;Times;Serif"/>
          <w:b w:val="false"/>
          <w:i w:val="false"/>
          <w:caps w:val="false"/>
          <w:smallCaps w:val="false"/>
          <w:sz w:val="20"/>
        </w:rPr>
        <w:t>Soliciting material pursuant to Rule 14a-12 under the Exchange Act (17 CFR 240.14a-12)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8" w:name="xdx_902_edei--PreCommencementTenderOffer"/>
      <w:bookmarkEnd w:id="18"/>
      <w:r>
        <w:rPr>
          <w:caps w:val="false"/>
          <w:smallCaps w:val="false"/>
        </w:rPr>
        <w:t xml:space="preserve">☐ </w:t>
      </w:r>
      <w:r>
        <w:rPr>
          <w:rFonts w:ascii="Times New Roman;Times;Serif" w:hAnsi="Times New Roman;Times;Serif"/>
          <w:b w:val="false"/>
          <w:i w:val="false"/>
          <w:caps w:val="false"/>
          <w:smallCaps w:val="false"/>
          <w:sz w:val="20"/>
        </w:rPr>
        <w:t>Pre-commencement communications pursuant to Rule 14d-2(b) under the Exchange Act (17 CFR 240.14d-2(b))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9" w:name="xdx_903_edei--PreCommencementIssuerTende"/>
      <w:bookmarkEnd w:id="19"/>
      <w:r>
        <w:rPr>
          <w:caps w:val="false"/>
          <w:smallCaps w:val="false"/>
        </w:rPr>
        <w:t xml:space="preserve">☐ </w:t>
      </w:r>
      <w:r>
        <w:rPr>
          <w:rFonts w:ascii="Times New Roman;Times;Serif" w:hAnsi="Times New Roman;Times;Serif"/>
          <w:b w:val="false"/>
          <w:i w:val="false"/>
          <w:caps w:val="false"/>
          <w:smallCaps w:val="false"/>
          <w:sz w:val="20"/>
        </w:rPr>
        <w:t>Pre-commencement communications pursuant to Rule 13e-4(c) under the Exchange Act (17 CFR 240.13e-4(c))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830" w:type="dxa"/>
        <w:jc w:val="left"/>
        <w:tblInd w:w="0" w:type="dxa"/>
        <w:tblLayout w:type="fixed"/>
        <w:tblCellMar>
          <w:top w:w="0" w:type="dxa"/>
          <w:left w:w="0" w:type="dxa"/>
          <w:bottom w:w="28" w:type="dxa"/>
          <w:right w:w="0" w:type="dxa"/>
        </w:tblCellMar>
      </w:tblPr>
      <w:tblGrid>
        <w:gridCol w:w="2390"/>
        <w:gridCol w:w="1535"/>
        <w:gridCol w:w="3905"/>
      </w:tblGrid>
      <w:tr>
        <w:trPr/>
        <w:tc>
          <w:tcPr>
            <w:tcW w:w="2390" w:type="dxa"/>
            <w:tcBorders>
              <w:bottom w:val="single" w:sz="8" w:space="0" w:color="000000"/>
            </w:tcBorders>
            <w:vAlign w:val="center"/>
          </w:tcPr>
          <w:p>
            <w:pPr>
              <w:pStyle w:val="TableContents"/>
              <w:bidi w:val="0"/>
              <w:spacing w:before="0" w:after="283"/>
              <w:jc w:val="center"/>
              <w:rPr>
                <w:sz w:val="20"/>
              </w:rPr>
            </w:pPr>
            <w:r>
              <w:rPr>
                <w:sz w:val="20"/>
              </w:rPr>
              <w:t>Title of each class</w:t>
            </w:r>
          </w:p>
        </w:tc>
        <w:tc>
          <w:tcPr>
            <w:tcW w:w="1535" w:type="dxa"/>
            <w:tcBorders>
              <w:bottom w:val="single" w:sz="8" w:space="0" w:color="000000"/>
            </w:tcBorders>
            <w:vAlign w:val="center"/>
          </w:tcPr>
          <w:p>
            <w:pPr>
              <w:pStyle w:val="TableContents"/>
              <w:bidi w:val="0"/>
              <w:spacing w:before="0" w:after="283"/>
              <w:jc w:val="center"/>
              <w:rPr>
                <w:sz w:val="20"/>
              </w:rPr>
            </w:pPr>
            <w:r>
              <w:rPr>
                <w:sz w:val="20"/>
              </w:rPr>
              <w:t>Trading Symbol(s)</w:t>
            </w:r>
          </w:p>
        </w:tc>
        <w:tc>
          <w:tcPr>
            <w:tcW w:w="3905" w:type="dxa"/>
            <w:tcBorders>
              <w:bottom w:val="single" w:sz="8" w:space="0" w:color="000000"/>
            </w:tcBorders>
            <w:vAlign w:val="center"/>
          </w:tcPr>
          <w:p>
            <w:pPr>
              <w:pStyle w:val="TableContents"/>
              <w:bidi w:val="0"/>
              <w:spacing w:before="0" w:after="283"/>
              <w:jc w:val="center"/>
              <w:rPr>
                <w:sz w:val="20"/>
              </w:rPr>
            </w:pPr>
            <w:r>
              <w:rPr>
                <w:sz w:val="20"/>
              </w:rPr>
              <w:t>Name of each exchange on which registered</w:t>
            </w:r>
          </w:p>
        </w:tc>
      </w:tr>
      <w:tr>
        <w:trPr/>
        <w:tc>
          <w:tcPr>
            <w:tcW w:w="2390" w:type="dxa"/>
            <w:tcBorders/>
            <w:tcMar>
              <w:bottom w:w="0" w:type="dxa"/>
            </w:tcMar>
            <w:vAlign w:val="center"/>
          </w:tcPr>
          <w:p>
            <w:pPr>
              <w:pStyle w:val="TableContents"/>
              <w:bidi w:val="0"/>
              <w:spacing w:before="0" w:after="283"/>
              <w:jc w:val="center"/>
              <w:rPr>
                <w:sz w:val="20"/>
              </w:rPr>
            </w:pPr>
            <w:bookmarkStart w:id="20" w:name="xdx_90B_edei--Security12bTitle_c20260709"/>
            <w:bookmarkEnd w:id="20"/>
            <w:r>
              <w:rPr>
                <w:sz w:val="20"/>
              </w:rPr>
              <w:t>Common Stock, no par value</w:t>
            </w:r>
          </w:p>
        </w:tc>
        <w:tc>
          <w:tcPr>
            <w:tcW w:w="1535" w:type="dxa"/>
            <w:tcBorders/>
            <w:tcMar>
              <w:bottom w:w="0" w:type="dxa"/>
            </w:tcMar>
            <w:vAlign w:val="center"/>
          </w:tcPr>
          <w:p>
            <w:pPr>
              <w:pStyle w:val="TableContents"/>
              <w:bidi w:val="0"/>
              <w:spacing w:before="0" w:after="283"/>
              <w:jc w:val="center"/>
              <w:rPr>
                <w:sz w:val="20"/>
              </w:rPr>
            </w:pPr>
            <w:bookmarkStart w:id="21" w:name="xdx_90D_edei--TradingSymbol_c20260709__2"/>
            <w:bookmarkEnd w:id="21"/>
            <w:r>
              <w:rPr>
                <w:sz w:val="20"/>
              </w:rPr>
              <w:t>CPSS</w:t>
            </w:r>
          </w:p>
        </w:tc>
        <w:tc>
          <w:tcPr>
            <w:tcW w:w="3905" w:type="dxa"/>
            <w:tcBorders/>
            <w:tcMar>
              <w:bottom w:w="0" w:type="dxa"/>
            </w:tcMar>
            <w:vAlign w:val="center"/>
          </w:tcPr>
          <w:p>
            <w:pPr>
              <w:pStyle w:val="TableContents"/>
              <w:bidi w:val="0"/>
              <w:spacing w:before="0" w:after="283"/>
              <w:jc w:val="center"/>
              <w:rPr>
                <w:sz w:val="20"/>
              </w:rPr>
            </w:pPr>
            <w:r>
              <w:rPr>
                <w:sz w:val="20"/>
              </w:rPr>
              <w:t xml:space="preserve">The </w:t>
            </w:r>
            <w:bookmarkStart w:id="22" w:name="xdx_908_edei--SecurityExchangeName_c2026"/>
            <w:bookmarkEnd w:id="22"/>
            <w:r>
              <w:rPr>
                <w:sz w:val="20"/>
              </w:rPr>
              <w:t>Nasdaq Stock Market LLC (Global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3" w:name="xdx_906_edei--EntityEmergingGrowthCompan"/>
      <w:bookmarkEnd w:id="23"/>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Item 2.03 of this report is hereby incorporated by reference into this Item 1.01. The registrant disclaims any implication that the agreements relating to the transactions described in this report are other than agreements entered into in the ordinary course of its business.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Warehouse Credit Facility Amended and Renewed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9, 2026, Consumer Portfolio Services, Inc. ("CPS" or the "Company") and its wholly-owned subsidiary Page Eight Funding LLC (the “Borrower”) amended and renewed a revolving credit agreement (the "Credit Agreement") and related agreements, all of which have been in place since May 2012, and most recently renewed on July 11, 2024. The agent to act on behalf of the several lenders (“Lenders”) under the Credit Agreement is Citibank, N.A.. Loans under the amended Credit Agreement are to be secured by automobile receivables that CPS now holds or may purchase from dealers or originate in the future, which receivables CPS would then sell or contribute to the Borrower.</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Credit Agreement, and subject to its terms and conditions, the Lenders have increased the capacity from $335 million and agreed to lend from time to time prior to the funding termination date up to a maximum of $508 million to be outstanding at any time. The amount that may be advanced under the Credit Agreement will be up to 96% of the principal amount of eligible pledged receivables. The advance percentage is dependent on characteristics of the pledged receivables, the terms of future term securitizations executed by CPS, and on performance of receivables purchased by CPS within the preceding three years, as to which there can be no assurance. The funding termination date is July 17, 2028 or earlier upon the occurrence of defined funding termination events. The amounts outstanding could become due at an earlier date, if any of certain defined events of default were to occur.</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Loans under the Credit Agreement bear interest at a floating rate set as a margin above the secured overnight financing rate.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Affiliates of Citibank, N.A. have also performed investment banking and advisory services for CPS from time to time, for which they have received customary fees and expenses.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2.03. Creation of a Direct Financial Obligation or an Obligation under an Off-Balance Sheet Arrangement of a Registrant.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provided in response to item 1.01 is incorporated herein by reference.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Warehouse Credit Facility</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CPS first incurred indebtedness under the revolving credit agreement in May 14, 2012. CPS intends to incur indebtedness from time to time as it originates or purchases motor vehicle receivables from dealers. CPS does not undertake to provide updates regarding the amount of indebtedness outstanding from time to time, and no inference should be drawn that such indebtedness has not changed.</w:t>
      </w:r>
    </w:p>
    <w:p>
      <w:pPr>
        <w:pStyle w:val="TextBody"/>
        <w:bidi w:val="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shd w:fill="FFFFFF" w:val="clear"/>
        <w:bidi w:val="0"/>
        <w:spacing w:before="0" w:after="0"/>
        <w:ind w:left="0" w:right="0" w:firstLine="72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financial statements nor </w:t>
      </w:r>
      <w:r>
        <w:rPr>
          <w:rFonts w:ascii="Times New Roman;Times;Serif" w:hAnsi="Times New Roman;Times;Serif"/>
          <w:b w:val="false"/>
          <w:i/>
          <w:caps w:val="false"/>
          <w:smallCaps w:val="false"/>
          <w:sz w:val="20"/>
        </w:rPr>
        <w:t>pro forma</w:t>
      </w:r>
      <w:r>
        <w:rPr>
          <w:rFonts w:ascii="Times New Roman;Times;Serif" w:hAnsi="Times New Roman;Times;Serif"/>
          <w:b w:val="false"/>
          <w:i w:val="false"/>
          <w:caps w:val="false"/>
          <w:smallCaps w:val="false"/>
          <w:sz w:val="20"/>
        </w:rPr>
        <w:t> financial information are filed with this report.</w:t>
      </w:r>
    </w:p>
    <w:p>
      <w:pPr>
        <w:pStyle w:val="TextBody"/>
        <w:shd w:fill="FFFFFF" w:val="clear"/>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exhibit is included with this report:</w:t>
      </w:r>
    </w:p>
    <w:p>
      <w:pPr>
        <w:pStyle w:val="TextBody"/>
        <w:bidi w:val="0"/>
        <w:jc w:val="left"/>
        <w:rPr>
          <w:caps w:val="false"/>
          <w:smallCaps w:val="false"/>
        </w:rPr>
      </w:pPr>
      <w:r>
        <w:rPr>
          <w:caps w:val="false"/>
          <w:smallCaps w:val="false"/>
        </w:rPr>
        <w:t> </w:t>
      </w:r>
    </w:p>
    <w:tbl>
      <w:tblPr>
        <w:tblW w:w="6925" w:type="dxa"/>
        <w:jc w:val="left"/>
        <w:tblInd w:w="0" w:type="dxa"/>
        <w:shd w:fill="FFFFFF" w:val="clear"/>
        <w:tblLayout w:type="fixed"/>
        <w:tblCellMar>
          <w:top w:w="0" w:type="dxa"/>
          <w:left w:w="0" w:type="dxa"/>
          <w:bottom w:w="0" w:type="dxa"/>
          <w:right w:w="0" w:type="dxa"/>
        </w:tblCellMar>
      </w:tblPr>
      <w:tblGrid>
        <w:gridCol w:w="395"/>
        <w:gridCol w:w="6530"/>
      </w:tblGrid>
      <w:tr>
        <w:trPr/>
        <w:tc>
          <w:tcPr>
            <w:tcW w:w="395" w:type="dxa"/>
            <w:tcBorders/>
            <w:shd w:fill="FFFFFF" w:val="clear"/>
            <w:vAlign w:val="center"/>
          </w:tcPr>
          <w:p>
            <w:pPr>
              <w:pStyle w:val="TableContents"/>
              <w:bidi w:val="0"/>
              <w:spacing w:before="0" w:after="283"/>
              <w:jc w:val="left"/>
              <w:rPr>
                <w:sz w:val="20"/>
              </w:rPr>
            </w:pPr>
            <w:r>
              <w:rPr>
                <w:sz w:val="20"/>
              </w:rPr>
              <w:t>99.1</w:t>
            </w:r>
          </w:p>
        </w:tc>
        <w:tc>
          <w:tcPr>
            <w:tcW w:w="6530" w:type="dxa"/>
            <w:tcBorders/>
            <w:shd w:fill="FFFFFF" w:val="clear"/>
            <w:vAlign w:val="center"/>
          </w:tcPr>
          <w:p>
            <w:pPr>
              <w:pStyle w:val="TableContents"/>
              <w:bidi w:val="0"/>
              <w:spacing w:before="0" w:after="283"/>
              <w:jc w:val="left"/>
              <w:rPr/>
            </w:pPr>
            <w:hyperlink w:anchor="cps_ex9901.htm">
              <w:r>
                <w:rPr>
                  <w:rStyle w:val="InternetLink"/>
                  <w:sz w:val="20"/>
                </w:rPr>
                <w:t>News release re renewal of credit facility.</w:t>
              </w:r>
            </w:hyperlink>
          </w:p>
        </w:tc>
      </w:tr>
      <w:tr>
        <w:trPr/>
        <w:tc>
          <w:tcPr>
            <w:tcW w:w="395" w:type="dxa"/>
            <w:tcBorders/>
            <w:shd w:fill="FFFFFF" w:val="clear"/>
            <w:vAlign w:val="center"/>
          </w:tcPr>
          <w:p>
            <w:pPr>
              <w:pStyle w:val="TableContents"/>
              <w:bidi w:val="0"/>
              <w:spacing w:before="0" w:after="283"/>
              <w:jc w:val="left"/>
              <w:rPr>
                <w:sz w:val="20"/>
              </w:rPr>
            </w:pPr>
            <w:r>
              <w:rPr>
                <w:sz w:val="20"/>
              </w:rPr>
              <w:t>104</w:t>
            </w:r>
          </w:p>
        </w:tc>
        <w:tc>
          <w:tcPr>
            <w:tcW w:w="6530" w:type="dxa"/>
            <w:tcBorders/>
            <w:shd w:fill="FFFFFF" w:val="clear"/>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shd w:fill="FFFFFF" w:val="clear"/>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thereunto duly authorized.</w:t>
      </w:r>
    </w:p>
    <w:p>
      <w:pPr>
        <w:pStyle w:val="TextBody"/>
        <w:bidi w:val="0"/>
        <w:jc w:val="left"/>
        <w:rPr>
          <w:caps w:val="false"/>
          <w:smallCaps w:val="false"/>
        </w:rPr>
      </w:pPr>
      <w:r>
        <w:rPr>
          <w:caps w:val="false"/>
          <w:smallCaps w:val="false"/>
        </w:rPr>
        <w:t> </w:t>
      </w:r>
    </w:p>
    <w:tbl>
      <w:tblPr>
        <w:tblW w:w="6055" w:type="dxa"/>
        <w:jc w:val="left"/>
        <w:tblInd w:w="0" w:type="dxa"/>
        <w:tblLayout w:type="fixed"/>
        <w:tblCellMar>
          <w:top w:w="0" w:type="dxa"/>
          <w:left w:w="0" w:type="dxa"/>
          <w:bottom w:w="0" w:type="dxa"/>
          <w:right w:w="0" w:type="dxa"/>
        </w:tblCellMar>
      </w:tblPr>
      <w:tblGrid>
        <w:gridCol w:w="1730"/>
        <w:gridCol w:w="4325"/>
      </w:tblGrid>
      <w:tr>
        <w:trPr/>
        <w:tc>
          <w:tcPr>
            <w:tcW w:w="1730" w:type="dxa"/>
            <w:tcBorders/>
            <w:vAlign w:val="center"/>
          </w:tcPr>
          <w:p>
            <w:pPr>
              <w:pStyle w:val="TableContents"/>
              <w:bidi w:val="0"/>
              <w:spacing w:before="0" w:after="283"/>
              <w:jc w:val="left"/>
              <w:rPr/>
            </w:pPr>
            <w:r>
              <w:rPr/>
              <w:t> </w:t>
            </w:r>
          </w:p>
        </w:tc>
        <w:tc>
          <w:tcPr>
            <w:tcW w:w="4325" w:type="dxa"/>
            <w:tcBorders/>
            <w:vAlign w:val="center"/>
          </w:tcPr>
          <w:p>
            <w:pPr>
              <w:pStyle w:val="TableContents"/>
              <w:bidi w:val="0"/>
              <w:spacing w:before="0" w:after="283"/>
              <w:jc w:val="left"/>
              <w:rPr>
                <w:b/>
                <w:sz w:val="20"/>
              </w:rPr>
            </w:pPr>
            <w:r>
              <w:rPr>
                <w:b/>
                <w:sz w:val="20"/>
              </w:rPr>
              <w:t>CONSUMER PORTFOLIO SERVICES, INC.</w:t>
            </w:r>
          </w:p>
        </w:tc>
      </w:tr>
      <w:tr>
        <w:trPr/>
        <w:tc>
          <w:tcPr>
            <w:tcW w:w="1730" w:type="dxa"/>
            <w:tcBorders/>
            <w:vAlign w:val="center"/>
          </w:tcPr>
          <w:p>
            <w:pPr>
              <w:pStyle w:val="TableContents"/>
              <w:bidi w:val="0"/>
              <w:spacing w:before="0" w:after="283"/>
              <w:jc w:val="left"/>
              <w:rPr/>
            </w:pPr>
            <w:r>
              <w:rPr/>
              <w:t> </w:t>
            </w:r>
          </w:p>
        </w:tc>
        <w:tc>
          <w:tcPr>
            <w:tcW w:w="4325" w:type="dxa"/>
            <w:tcBorders/>
            <w:vAlign w:val="center"/>
          </w:tcPr>
          <w:p>
            <w:pPr>
              <w:pStyle w:val="TableContents"/>
              <w:bidi w:val="0"/>
              <w:spacing w:before="0" w:after="283"/>
              <w:jc w:val="left"/>
              <w:rPr/>
            </w:pPr>
            <w:r>
              <w:rPr/>
              <w:t> </w:t>
            </w:r>
          </w:p>
        </w:tc>
      </w:tr>
      <w:tr>
        <w:trPr/>
        <w:tc>
          <w:tcPr>
            <w:tcW w:w="1730" w:type="dxa"/>
            <w:tcBorders/>
            <w:vAlign w:val="center"/>
          </w:tcPr>
          <w:p>
            <w:pPr>
              <w:pStyle w:val="TableContents"/>
              <w:bidi w:val="0"/>
              <w:spacing w:before="0" w:after="283"/>
              <w:jc w:val="left"/>
              <w:rPr/>
            </w:pPr>
            <w:r>
              <w:rPr/>
              <w:t> </w:t>
            </w:r>
          </w:p>
        </w:tc>
        <w:tc>
          <w:tcPr>
            <w:tcW w:w="4325" w:type="dxa"/>
            <w:tcBorders/>
            <w:vAlign w:val="center"/>
          </w:tcPr>
          <w:p>
            <w:pPr>
              <w:pStyle w:val="TableContents"/>
              <w:bidi w:val="0"/>
              <w:spacing w:before="0" w:after="283"/>
              <w:jc w:val="left"/>
              <w:rPr/>
            </w:pPr>
            <w:r>
              <w:rPr/>
              <w:t> </w:t>
            </w:r>
          </w:p>
        </w:tc>
      </w:tr>
      <w:tr>
        <w:trPr/>
        <w:tc>
          <w:tcPr>
            <w:tcW w:w="1730" w:type="dxa"/>
            <w:tcBorders/>
            <w:vAlign w:val="center"/>
          </w:tcPr>
          <w:p>
            <w:pPr>
              <w:pStyle w:val="TableContents"/>
              <w:bidi w:val="0"/>
              <w:spacing w:before="0" w:after="283"/>
              <w:jc w:val="left"/>
              <w:rPr>
                <w:sz w:val="20"/>
              </w:rPr>
            </w:pPr>
            <w:r>
              <w:rPr>
                <w:sz w:val="20"/>
              </w:rPr>
              <w:t>Dated: July 14, 2026</w:t>
            </w:r>
          </w:p>
        </w:tc>
        <w:tc>
          <w:tcPr>
            <w:tcW w:w="4325" w:type="dxa"/>
            <w:tcBorders/>
            <w:vAlign w:val="center"/>
          </w:tcPr>
          <w:p>
            <w:pPr>
              <w:pStyle w:val="TableContents"/>
              <w:bidi w:val="0"/>
              <w:spacing w:before="0" w:after="283"/>
              <w:jc w:val="left"/>
              <w:rPr>
                <w:sz w:val="20"/>
              </w:rPr>
            </w:pPr>
            <w:r>
              <w:rPr>
                <w:sz w:val="20"/>
              </w:rPr>
              <w:t xml:space="preserve">By: </w:t>
            </w:r>
            <w:r>
              <w:rPr>
                <w:sz w:val="20"/>
                <w:u w:val="single"/>
              </w:rPr>
              <w:t>/s/ Denesh Bharwani                             </w:t>
            </w:r>
          </w:p>
        </w:tc>
      </w:tr>
      <w:tr>
        <w:trPr/>
        <w:tc>
          <w:tcPr>
            <w:tcW w:w="1730" w:type="dxa"/>
            <w:tcBorders/>
            <w:vAlign w:val="center"/>
          </w:tcPr>
          <w:p>
            <w:pPr>
              <w:pStyle w:val="TableContents"/>
              <w:bidi w:val="0"/>
              <w:spacing w:before="0" w:after="283"/>
              <w:jc w:val="left"/>
              <w:rPr/>
            </w:pPr>
            <w:r>
              <w:rPr/>
              <w:t> </w:t>
            </w:r>
          </w:p>
        </w:tc>
        <w:tc>
          <w:tcPr>
            <w:tcW w:w="4325" w:type="dxa"/>
            <w:tcBorders/>
            <w:vAlign w:val="center"/>
          </w:tcPr>
          <w:p>
            <w:pPr>
              <w:pStyle w:val="TableContents"/>
              <w:bidi w:val="0"/>
              <w:spacing w:before="0" w:after="0"/>
              <w:ind w:left="4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Denesh Bharwani</w:t>
            </w:r>
          </w:p>
          <w:p>
            <w:pPr>
              <w:pStyle w:val="TableContents"/>
              <w:bidi w:val="0"/>
              <w:spacing w:before="0" w:after="0"/>
              <w:ind w:left="4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Vice President and Chief Financial Officer</w:t>
            </w:r>
          </w:p>
          <w:p>
            <w:pPr>
              <w:pStyle w:val="TableContents"/>
              <w:bidi w:val="0"/>
              <w:spacing w:before="0" w:after="0"/>
              <w:ind w:left="4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Signing on behalf of the registrant</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ind w:left="0" w:right="0" w:hanging="0"/>
        <w:jc w:val="right"/>
        <w:rPr>
          <w:b/>
        </w:rPr>
      </w:pPr>
      <w:bookmarkStart w:id="24" w:name="cps_ex9901.htm"/>
      <w:bookmarkStart w:id="25" w:name="kscps_ex9901"/>
      <w:bookmarkEnd w:id="24"/>
      <w:bookmarkEnd w:id="25"/>
      <w:r>
        <w:rPr>
          <w:b/>
        </w:rPr>
        <w:t>Exhibit 99.1</w:t>
      </w:r>
      <w:r>
        <w:br w:type="page"/>
      </w:r>
    </w:p>
    <w:p>
      <w:pPr>
        <w:pStyle w:val="TextBody"/>
        <w:bidi w:val="0"/>
        <w:spacing w:before="0" w:after="283"/>
        <w:jc w:val="left"/>
        <w:rPr/>
      </w:pPr>
      <w:r>
        <w:rPr/>
        <w:t> </w:t>
      </w:r>
    </w:p>
    <w:tbl>
      <w:tblPr>
        <w:tblW w:w="5735" w:type="dxa"/>
        <w:jc w:val="left"/>
        <w:tblInd w:w="0" w:type="dxa"/>
        <w:tblLayout w:type="fixed"/>
        <w:tblCellMar>
          <w:top w:w="0" w:type="dxa"/>
          <w:left w:w="0" w:type="dxa"/>
          <w:bottom w:w="28" w:type="dxa"/>
          <w:right w:w="0" w:type="dxa"/>
        </w:tblCellMar>
      </w:tblPr>
      <w:tblGrid>
        <w:gridCol w:w="2430"/>
        <w:gridCol w:w="3305"/>
      </w:tblGrid>
      <w:tr>
        <w:trPr/>
        <w:tc>
          <w:tcPr>
            <w:tcW w:w="2430" w:type="dxa"/>
            <w:tcBorders>
              <w:bottom w:val="single" w:sz="8" w:space="0" w:color="000000"/>
            </w:tcBorders>
            <w:vAlign w:val="center"/>
          </w:tcPr>
          <w:p>
            <w:pPr>
              <w:pStyle w:val="TableContents"/>
              <w:bidi w:val="0"/>
              <w:spacing w:before="0" w:after="283"/>
              <w:jc w:val="left"/>
              <w:rPr/>
            </w:pPr>
            <w:r>
              <w:rPr/>
              <w:drawing>
                <wp:inline distT="0" distB="0" distL="0" distR="0">
                  <wp:extent cx="1533525" cy="571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33525" cy="571500"/>
                          </a:xfrm>
                          <a:prstGeom prst="rect">
                            <a:avLst/>
                          </a:prstGeom>
                        </pic:spPr>
                      </pic:pic>
                    </a:graphicData>
                  </a:graphic>
                </wp:inline>
              </w:drawing>
            </w:r>
          </w:p>
        </w:tc>
        <w:tc>
          <w:tcPr>
            <w:tcW w:w="3305" w:type="dxa"/>
            <w:tcBorders>
              <w:bottom w:val="single" w:sz="8" w:space="0" w:color="000000"/>
            </w:tcBorders>
            <w:vAlign w:val="center"/>
          </w:tcPr>
          <w:p>
            <w:pPr>
              <w:pStyle w:val="TableContents"/>
              <w:bidi w:val="0"/>
              <w:spacing w:before="0" w:after="283"/>
              <w:jc w:val="right"/>
              <w:rPr>
                <w:b/>
                <w:i/>
                <w:sz w:val="44"/>
              </w:rPr>
            </w:pPr>
            <w:r>
              <w:rPr>
                <w:b/>
                <w:i/>
                <w:sz w:val="44"/>
              </w:rPr>
              <w:t>NEWS RELEASE</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CPS ANNOUNCES RENEWAL AND CAPACITY INCREASE OF CREDIT FACILITY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LAS VEGAS, Nevada, July 9, 2026 (GlobeNewswire) </w:t>
      </w:r>
      <w:r>
        <w:rPr>
          <w:rFonts w:ascii="Times New Roman;Times;Serif" w:hAnsi="Times New Roman;Times;Serif"/>
          <w:b w:val="false"/>
          <w:i w:val="false"/>
          <w:caps w:val="false"/>
          <w:smallCaps w:val="false"/>
          <w:sz w:val="20"/>
        </w:rPr>
        <w:t xml:space="preserve">-- Consumer Portfolio Services, Inc. (Nasdaq: CPSS) (“CPS” or the “Company”) today announced that on July 9, 2026, it renewed its two-year revolving credit agreement with Citibank, N.A. while simultaneously increasing the capacity of the facility. The renewal and increase apply to both Citibank, N.A. and the subordinate lender, and increases the capacity of the facility from $335 million to $508 million.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Loans under the renewed credit agreement will be secured by automobile receivables that CPS now holds or will originate in the future. CPS may borrow on a revolving basis through July 17, 2028, after which CPS will have the option to repay the outstanding loans in full or to allow them to amortize for a one-year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About Consumer Portfolio Services,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Consumer Portfolio Services, Inc. is an independent specialty finance company that provides indirect automobile financing to individuals with past credit problems or limited credit histories. We purchase retail installment sales contracts primarily from franchised automobile dealerships secured by late model used vehicles and, to a lesser extent, new vehicles. We fund these contract purchases on a long-term basis through the securitization markets and service the contracts over their lives.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Forward-looking statements in this news release include the Company's expectation that the revolving period will extend for two years, and that an amortization period may follow. The revolving credit agreement renewed on July 9, 2026, provides for both a revolving period and an amortization period to follow, but it is possible that the Company may suffer certain defaults or events of default that would terminate the revolving period or result in acceleration of maturity of the credit extended. In general, such defaults or events of default would result from losses that the Company might incur in the future. In turn, such losses might result from poor performance of receivables acquired or to be acquired by the Company, from increases in the rate of consumer bankruptcy filings, which could adversely affect the Company’s rights to collect payments from its portfolio; from changes in government regulations affecting consumer credit; or from adverse economic conditions, either generally or in geographic areas in which the Company's business is concentrated.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Investor Relations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Danny Bharwani, EVP/ Chief Financial Officer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949-753-6811</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1271</Words>
  <Characters>6937</Characters>
  <CharactersWithSpaces>8254</CharactersWithSpaces>
  <Paragraphs>171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