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both"/>
        <w:rPr/>
      </w:pPr>
      <w:hyperlink w:anchor="q3_001">
        <w:bookmarkStart w:id="0" w:name="cps_i10q-093023.htm"/>
        <w:bookmarkStart w:id="1" w:name="kscps_i10q093023"/>
        <w:bookmarkEnd w:id="0"/>
        <w:bookmarkEnd w:id="1"/>
        <w:r>
          <w:rPr>
            <w:rStyle w:val="InternetLink"/>
            <w:rFonts w:ascii="Times New Roman;Times;Serif" w:hAnsi="Times New Roman;Times;Serif"/>
            <w:b w:val="false"/>
            <w:i w:val="false"/>
            <w:caps w:val="false"/>
            <w:smallCaps w:val="false"/>
            <w:sz w:val="14"/>
          </w:rPr>
          <w:t>Table of Contents</w:t>
        </w:r>
      </w:hyperlink>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6_edei--DocumentType_c20230101__20"/>
      <w:bookmarkEnd w:id="2"/>
      <w:r>
        <w:rPr>
          <w:rFonts w:ascii="Times New Roman;Times;Serif" w:hAnsi="Times New Roman;Times;Serif"/>
          <w:b/>
          <w:i w:val="false"/>
          <w:caps w:val="false"/>
          <w:smallCaps w:val="false"/>
          <w:sz w:val="36"/>
        </w:rPr>
        <w:t>10-Q</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3" w:name="xdx_90E_edei--DocumentQuarterlyReport_c2"/>
            <w:bookmarkEnd w:id="3"/>
            <w:r>
              <w:rPr/>
              <w:t>☒</w:t>
            </w:r>
          </w:p>
        </w:tc>
        <w:tc>
          <w:tcPr>
            <w:tcW w:w="9937" w:type="dxa"/>
            <w:tcBorders/>
            <w:vAlign w:val="center"/>
          </w:tcPr>
          <w:p>
            <w:pPr>
              <w:pStyle w:val="TableContents"/>
              <w:bidi w:val="0"/>
              <w:spacing w:before="0" w:after="283"/>
              <w:jc w:val="left"/>
              <w:rPr/>
            </w:pPr>
            <w:r>
              <w:rPr/>
              <w:t>QUARTERLY REPORT PURSUANT TO SECTION 13 OR 15(d) OF THE SECURITIES EXCHANGE ACT OF 1934</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7_edei--DocumentPeriodEndDate_c202"/>
      <w:bookmarkEnd w:id="4"/>
      <w:r>
        <w:rPr>
          <w:rFonts w:ascii="Times New Roman;Times;Serif" w:hAnsi="Times New Roman;Times;Serif"/>
          <w:b/>
          <w:i w:val="false"/>
          <w:caps w:val="false"/>
          <w:smallCaps w:val="false"/>
          <w:sz w:val="20"/>
        </w:rPr>
        <w:t>September 30, 2023</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23"/>
        <w:gridCol w:w="9937"/>
      </w:tblGrid>
      <w:tr>
        <w:trPr/>
        <w:tc>
          <w:tcPr>
            <w:tcW w:w="245" w:type="dxa"/>
            <w:tcBorders/>
            <w:vAlign w:val="center"/>
          </w:tcPr>
          <w:p>
            <w:pPr>
              <w:pStyle w:val="TableContents"/>
              <w:bidi w:val="0"/>
              <w:spacing w:before="0" w:after="283"/>
              <w:jc w:val="left"/>
              <w:rPr/>
            </w:pPr>
            <w:bookmarkStart w:id="5" w:name="xdx_908_edei--DocumentTransitionReport_c"/>
            <w:bookmarkEnd w:id="5"/>
            <w:r>
              <w:rPr/>
              <w:t>☐</w:t>
            </w:r>
          </w:p>
        </w:tc>
        <w:tc>
          <w:tcPr>
            <w:tcW w:w="23" w:type="dxa"/>
            <w:tcBorders/>
            <w:vAlign w:val="center"/>
          </w:tcPr>
          <w:p>
            <w:pPr>
              <w:pStyle w:val="TableContents"/>
              <w:bidi w:val="0"/>
              <w:spacing w:before="0" w:after="283"/>
              <w:jc w:val="left"/>
              <w:rPr>
                <w:sz w:val="4"/>
                <w:szCs w:val="4"/>
              </w:rPr>
            </w:pPr>
            <w:r>
              <w:rPr>
                <w:sz w:val="4"/>
                <w:szCs w:val="4"/>
              </w:rPr>
            </w:r>
          </w:p>
        </w:tc>
        <w:tc>
          <w:tcPr>
            <w:tcW w:w="9937" w:type="dxa"/>
            <w:tcBorders/>
            <w:vAlign w:val="center"/>
          </w:tcPr>
          <w:p>
            <w:pPr>
              <w:pStyle w:val="TableContents"/>
              <w:bidi w:val="0"/>
              <w:spacing w:before="0" w:after="283"/>
              <w:jc w:val="both"/>
              <w:rPr>
                <w:b/>
              </w:rPr>
            </w:pPr>
            <w:r>
              <w:rPr>
                <w:b/>
              </w:rPr>
              <w:t>TRANSITION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6" w:name="xdx_905_edei--EntityFileNumber_c20230101"/>
      <w:bookmarkEnd w:id="6"/>
      <w:r>
        <w:rPr>
          <w:rFonts w:ascii="Times New Roman;Times;Serif" w:hAnsi="Times New Roman;Times;Serif"/>
          <w:b/>
          <w:i w:val="false"/>
          <w:caps w:val="false"/>
          <w:smallCaps w:val="false"/>
          <w:sz w:val="20"/>
        </w:rPr>
        <w:t>1-11416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7" w:name="xdx_903_edei--EntityRegistrantName_c2023"/>
      <w:bookmarkEnd w:id="7"/>
      <w:r>
        <w:rPr>
          <w:rFonts w:ascii="Times New Roman;Times;Serif" w:hAnsi="Times New Roman;Times;Serif"/>
          <w:b/>
          <w:i w:val="false"/>
          <w:caps w:val="false"/>
          <w:smallCaps w:val="false"/>
          <w:sz w:val="36"/>
        </w:rPr>
        <w:t>CONSUMER PORTFOLIO SERVICES,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4880"/>
        <w:gridCol w:w="2780"/>
      </w:tblGrid>
      <w:tr>
        <w:trPr/>
        <w:tc>
          <w:tcPr>
            <w:tcW w:w="4880" w:type="dxa"/>
            <w:tcBorders/>
            <w:vAlign w:val="center"/>
          </w:tcPr>
          <w:p>
            <w:pPr>
              <w:pStyle w:val="TableContents"/>
              <w:bidi w:val="0"/>
              <w:spacing w:before="0" w:after="283"/>
              <w:jc w:val="center"/>
              <w:rPr>
                <w:sz w:val="20"/>
              </w:rPr>
            </w:pPr>
            <w:bookmarkStart w:id="8" w:name="xdx_907_edei--EntityIncorporationStateCo"/>
            <w:bookmarkEnd w:id="8"/>
            <w:r>
              <w:rPr>
                <w:sz w:val="20"/>
              </w:rPr>
              <w:t>California</w:t>
            </w:r>
          </w:p>
        </w:tc>
        <w:tc>
          <w:tcPr>
            <w:tcW w:w="2780" w:type="dxa"/>
            <w:tcBorders/>
            <w:vAlign w:val="center"/>
          </w:tcPr>
          <w:p>
            <w:pPr>
              <w:pStyle w:val="TableContents"/>
              <w:bidi w:val="0"/>
              <w:spacing w:before="0" w:after="283"/>
              <w:jc w:val="center"/>
              <w:rPr>
                <w:sz w:val="20"/>
              </w:rPr>
            </w:pPr>
            <w:bookmarkStart w:id="9" w:name="xdx_904_edei--EntityTaxIdentificationNum"/>
            <w:bookmarkEnd w:id="9"/>
            <w:r>
              <w:rPr>
                <w:sz w:val="20"/>
              </w:rPr>
              <w:t>33-0459135</w:t>
            </w:r>
          </w:p>
        </w:tc>
      </w:tr>
      <w:tr>
        <w:trPr/>
        <w:tc>
          <w:tcPr>
            <w:tcW w:w="4880" w:type="dxa"/>
            <w:tcBorders/>
            <w:vAlign w:val="center"/>
          </w:tcPr>
          <w:p>
            <w:pPr>
              <w:pStyle w:val="TableContents"/>
              <w:bidi w:val="0"/>
              <w:spacing w:before="0" w:after="283"/>
              <w:jc w:val="center"/>
              <w:rPr>
                <w:sz w:val="20"/>
              </w:rPr>
            </w:pPr>
            <w:r>
              <w:rPr>
                <w:sz w:val="20"/>
              </w:rPr>
              <w:t>(State or other jurisdiction of incorporation or organization)</w:t>
            </w:r>
          </w:p>
        </w:tc>
        <w:tc>
          <w:tcPr>
            <w:tcW w:w="2780" w:type="dxa"/>
            <w:tcBorders/>
            <w:vAlign w:val="center"/>
          </w:tcPr>
          <w:p>
            <w:pPr>
              <w:pStyle w:val="TableContents"/>
              <w:bidi w:val="0"/>
              <w:spacing w:before="0" w:after="283"/>
              <w:jc w:val="center"/>
              <w:rPr>
                <w:sz w:val="20"/>
              </w:rPr>
            </w:pPr>
            <w:r>
              <w:rPr>
                <w:sz w:val="20"/>
              </w:rPr>
              <w:t>(IRS Employer Identification No.)</w:t>
            </w:r>
          </w:p>
        </w:tc>
      </w:tr>
      <w:tr>
        <w:trPr/>
        <w:tc>
          <w:tcPr>
            <w:tcW w:w="488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283"/>
              <w:jc w:val="center"/>
              <w:rPr/>
            </w:pPr>
            <w:r>
              <w:rPr/>
              <w:t> </w:t>
            </w:r>
          </w:p>
        </w:tc>
      </w:tr>
      <w:tr>
        <w:trPr/>
        <w:tc>
          <w:tcPr>
            <w:tcW w:w="488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10" w:name="xdx_906_edei--EntityAddressAddressLine1_"/>
            <w:bookmarkEnd w:id="10"/>
            <w:r>
              <w:rPr>
                <w:rFonts w:ascii="Times New Roman;Times;Serif" w:hAnsi="Times New Roman;Times;Serif"/>
                <w:b w:val="false"/>
                <w:i w:val="false"/>
                <w:caps w:val="false"/>
                <w:smallCaps w:val="false"/>
                <w:sz w:val="20"/>
              </w:rPr>
              <w:t xml:space="preserve">3800 Howard Hughes Parkway, </w:t>
            </w:r>
            <w:bookmarkStart w:id="11" w:name="xdx_90C_edei--EntityAddressAddressLine2_"/>
            <w:bookmarkEnd w:id="11"/>
            <w:r>
              <w:rPr>
                <w:rFonts w:ascii="Times New Roman;Times;Serif" w:hAnsi="Times New Roman;Times;Serif"/>
                <w:b w:val="false"/>
                <w:i w:val="false"/>
                <w:caps w:val="false"/>
                <w:smallCaps w:val="false"/>
                <w:sz w:val="20"/>
              </w:rPr>
              <w:t>Suite 1400,</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12" w:name="xdx_90A_edei--EntityAddressCityOrTown_c2"/>
            <w:bookmarkEnd w:id="12"/>
            <w:r>
              <w:rPr>
                <w:rFonts w:ascii="Times New Roman;Times;Serif" w:hAnsi="Times New Roman;Times;Serif"/>
                <w:b w:val="false"/>
                <w:i w:val="false"/>
                <w:caps w:val="false"/>
                <w:smallCaps w:val="false"/>
                <w:sz w:val="20"/>
              </w:rPr>
              <w:t xml:space="preserve">Las Vegas, </w:t>
            </w:r>
            <w:bookmarkStart w:id="13" w:name="xdx_90F_edei--EntityAddressStateOrProvin"/>
            <w:bookmarkEnd w:id="13"/>
            <w:r>
              <w:rPr>
                <w:rFonts w:ascii="Times New Roman;Times;Serif" w:hAnsi="Times New Roman;Times;Serif"/>
                <w:b w:val="false"/>
                <w:i w:val="false"/>
                <w:caps w:val="false"/>
                <w:smallCaps w:val="false"/>
                <w:sz w:val="20"/>
              </w:rPr>
              <w:t>Nevada</w:t>
            </w:r>
          </w:p>
        </w:tc>
        <w:tc>
          <w:tcPr>
            <w:tcW w:w="2780" w:type="dxa"/>
            <w:tcBorders/>
            <w:vAlign w:val="center"/>
          </w:tcPr>
          <w:p>
            <w:pPr>
              <w:pStyle w:val="TableContents"/>
              <w:bidi w:val="0"/>
              <w:spacing w:before="0" w:after="283"/>
              <w:jc w:val="center"/>
              <w:rPr>
                <w:sz w:val="20"/>
              </w:rPr>
            </w:pPr>
            <w:bookmarkStart w:id="14" w:name="xdx_902_edei--EntityAddressPostalZipCode"/>
            <w:bookmarkEnd w:id="14"/>
            <w:r>
              <w:rPr>
                <w:sz w:val="20"/>
              </w:rPr>
              <w:t>89169</w:t>
            </w:r>
          </w:p>
        </w:tc>
      </w:tr>
      <w:tr>
        <w:trPr/>
        <w:tc>
          <w:tcPr>
            <w:tcW w:w="4880" w:type="dxa"/>
            <w:tcBorders/>
            <w:vAlign w:val="center"/>
          </w:tcPr>
          <w:p>
            <w:pPr>
              <w:pStyle w:val="TableContents"/>
              <w:bidi w:val="0"/>
              <w:spacing w:before="0" w:after="283"/>
              <w:jc w:val="center"/>
              <w:rPr>
                <w:sz w:val="20"/>
              </w:rPr>
            </w:pPr>
            <w:r>
              <w:rPr>
                <w:sz w:val="20"/>
              </w:rPr>
              <w:t>(Address of principal executive offices)</w:t>
            </w:r>
          </w:p>
        </w:tc>
        <w:tc>
          <w:tcPr>
            <w:tcW w:w="278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5" w:name="xdx_902_edei--CityAreaCode_c20230101__20"/>
      <w:bookmarkEnd w:id="15"/>
      <w:r>
        <w:rPr>
          <w:rFonts w:ascii="Times New Roman;Times;Serif" w:hAnsi="Times New Roman;Times;Serif"/>
          <w:b/>
          <w:i w:val="false"/>
          <w:caps w:val="false"/>
          <w:smallCaps w:val="false"/>
          <w:sz w:val="20"/>
        </w:rPr>
        <w:t xml:space="preserve">(949) </w:t>
      </w:r>
      <w:bookmarkStart w:id="16" w:name="xdx_90D_edei--LocalPhoneNumber_c20230101"/>
      <w:bookmarkEnd w:id="16"/>
      <w:r>
        <w:rPr>
          <w:rFonts w:ascii="Times New Roman;Times;Serif" w:hAnsi="Times New Roman;Times;Serif"/>
          <w:b/>
          <w:i w:val="false"/>
          <w:caps w:val="false"/>
          <w:smallCaps w:val="false"/>
          <w:sz w:val="20"/>
        </w:rPr>
        <w:t>753-6800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 N/A</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822" w:type="dxa"/>
        <w:jc w:val="left"/>
        <w:tblInd w:w="0" w:type="dxa"/>
        <w:shd w:fill="FFFFFF" w:val="clear"/>
        <w:tblLayout w:type="fixed"/>
        <w:tblCellMar>
          <w:top w:w="0" w:type="dxa"/>
          <w:left w:w="0" w:type="dxa"/>
          <w:bottom w:w="0" w:type="dxa"/>
          <w:right w:w="0" w:type="dxa"/>
        </w:tblCellMar>
      </w:tblPr>
      <w:tblGrid>
        <w:gridCol w:w="2397"/>
        <w:gridCol w:w="1340"/>
        <w:gridCol w:w="4085"/>
      </w:tblGrid>
      <w:tr>
        <w:trPr/>
        <w:tc>
          <w:tcPr>
            <w:tcW w:w="2397" w:type="dxa"/>
            <w:tcBorders/>
            <w:shd w:fill="FFFFFF" w:val="clear"/>
            <w:vAlign w:val="center"/>
          </w:tcPr>
          <w:p>
            <w:pPr>
              <w:pStyle w:val="TableContents"/>
              <w:bidi w:val="0"/>
              <w:spacing w:before="0" w:after="283"/>
              <w:ind w:left="0" w:right="0" w:firstLine="7"/>
              <w:jc w:val="center"/>
              <w:rPr>
                <w:sz w:val="20"/>
                <w:u w:val="single"/>
              </w:rPr>
            </w:pPr>
            <w:r>
              <w:rPr>
                <w:sz w:val="20"/>
                <w:u w:val="single"/>
              </w:rPr>
              <w:t>Title of Each Class</w:t>
            </w:r>
          </w:p>
        </w:tc>
        <w:tc>
          <w:tcPr>
            <w:tcW w:w="1340" w:type="dxa"/>
            <w:tcBorders/>
            <w:shd w:fill="FFFFFF" w:val="clear"/>
            <w:vAlign w:val="center"/>
          </w:tcPr>
          <w:p>
            <w:pPr>
              <w:pStyle w:val="TableContents"/>
              <w:bidi w:val="0"/>
              <w:spacing w:before="0" w:after="283"/>
              <w:jc w:val="center"/>
              <w:rPr>
                <w:sz w:val="20"/>
                <w:u w:val="single"/>
              </w:rPr>
            </w:pPr>
            <w:r>
              <w:rPr>
                <w:sz w:val="20"/>
                <w:u w:val="single"/>
              </w:rPr>
              <w:t>Trading Symbol</w:t>
            </w:r>
          </w:p>
        </w:tc>
        <w:tc>
          <w:tcPr>
            <w:tcW w:w="4085" w:type="dxa"/>
            <w:tcBorders/>
            <w:shd w:fill="FFFFFF" w:val="clear"/>
            <w:vAlign w:val="center"/>
          </w:tcPr>
          <w:p>
            <w:pPr>
              <w:pStyle w:val="TableContents"/>
              <w:bidi w:val="0"/>
              <w:spacing w:before="0" w:after="283"/>
              <w:jc w:val="center"/>
              <w:rPr>
                <w:sz w:val="20"/>
                <w:u w:val="single"/>
              </w:rPr>
            </w:pPr>
            <w:r>
              <w:rPr>
                <w:sz w:val="20"/>
                <w:u w:val="single"/>
              </w:rPr>
              <w:t>Name of Each Exchange on Which Registered</w:t>
            </w:r>
          </w:p>
        </w:tc>
      </w:tr>
      <w:tr>
        <w:trPr/>
        <w:tc>
          <w:tcPr>
            <w:tcW w:w="2397" w:type="dxa"/>
            <w:tcBorders/>
            <w:shd w:fill="FFFFFF" w:val="clear"/>
            <w:vAlign w:val="center"/>
          </w:tcPr>
          <w:p>
            <w:pPr>
              <w:pStyle w:val="TableContents"/>
              <w:bidi w:val="0"/>
              <w:spacing w:before="0" w:after="283"/>
              <w:ind w:left="0" w:right="0" w:firstLine="7"/>
              <w:jc w:val="center"/>
              <w:rPr>
                <w:sz w:val="20"/>
              </w:rPr>
            </w:pPr>
            <w:bookmarkStart w:id="17" w:name="xdx_906_edei--Security12bTitle_c20230101"/>
            <w:bookmarkEnd w:id="17"/>
            <w:r>
              <w:rPr>
                <w:sz w:val="20"/>
              </w:rPr>
              <w:t>Common Stock, no par value</w:t>
            </w:r>
          </w:p>
        </w:tc>
        <w:tc>
          <w:tcPr>
            <w:tcW w:w="1340" w:type="dxa"/>
            <w:tcBorders/>
            <w:shd w:fill="FFFFFF" w:val="clear"/>
            <w:vAlign w:val="center"/>
          </w:tcPr>
          <w:p>
            <w:pPr>
              <w:pStyle w:val="TableContents"/>
              <w:bidi w:val="0"/>
              <w:spacing w:before="0" w:after="283"/>
              <w:jc w:val="center"/>
              <w:rPr>
                <w:sz w:val="20"/>
              </w:rPr>
            </w:pPr>
            <w:bookmarkStart w:id="18" w:name="xdx_908_edei--TradingSymbol_c20230101__2"/>
            <w:bookmarkEnd w:id="18"/>
            <w:r>
              <w:rPr>
                <w:sz w:val="20"/>
              </w:rPr>
              <w:t>CPSS</w:t>
            </w:r>
          </w:p>
        </w:tc>
        <w:tc>
          <w:tcPr>
            <w:tcW w:w="4085" w:type="dxa"/>
            <w:tcBorders/>
            <w:shd w:fill="FFFFFF" w:val="clear"/>
            <w:vAlign w:val="center"/>
          </w:tcPr>
          <w:p>
            <w:pPr>
              <w:pStyle w:val="TableContents"/>
              <w:bidi w:val="0"/>
              <w:spacing w:before="0" w:after="283"/>
              <w:jc w:val="center"/>
              <w:rPr>
                <w:sz w:val="20"/>
              </w:rPr>
            </w:pPr>
            <w:r>
              <w:rPr>
                <w:sz w:val="20"/>
              </w:rPr>
              <w:t xml:space="preserve">The </w:t>
            </w:r>
            <w:bookmarkStart w:id="19" w:name="xdx_904_edei--SecurityExchangeName_c2023"/>
            <w:bookmarkEnd w:id="19"/>
            <w:r>
              <w:rPr>
                <w:sz w:val="20"/>
              </w:rPr>
              <w:t>NASDAQ Stock Market LLC (Global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0" w:name="xdx_90A_edei--EntityCurrentReportingStat"/>
      <w:bookmarkEnd w:id="20"/>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w:t>
      </w:r>
      <w:bookmarkStart w:id="21" w:name="xdx_901_edei--EntityInteractiveDataCurre"/>
      <w:bookmarkEnd w:id="21"/>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     </w:t>
      </w:r>
      <w:bookmarkStart w:id="22" w:name="xdx_900_edei--EntityFilerCategory_c20230"/>
      <w:bookmarkEnd w:id="22"/>
      <w:r>
        <w:rPr>
          <w:rFonts w:ascii="Times New Roman;Times;Serif" w:hAnsi="Times New Roman;Times;Serif"/>
          <w:b w:val="false"/>
          <w:i w:val="false"/>
          <w:caps w:val="false"/>
          <w:smallCaps w:val="false"/>
          <w:sz w:val="20"/>
        </w:rPr>
        <w:t>Accelerated Filer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Non-Accelerated Filer ☐     Smaller Reporting Company </w:t>
      </w:r>
      <w:bookmarkStart w:id="23" w:name="xdx_907_edei--EntitySmallBusiness_c20230"/>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C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w:t>
      </w:r>
      <w:bookmarkStart w:id="25" w:name="xdx_90A_edei--EntityShellCompany_c202301"/>
      <w:bookmarkEnd w:id="25"/>
      <w:r>
        <w:rPr>
          <w:rFonts w:ascii="Times New Roman;Times;Serif" w:hAnsi="Times New Roman;Times;Serif"/>
          <w:b w:val="false"/>
          <w:i w:val="false"/>
          <w:caps w:val="false"/>
          <w:smallCaps w:val="false"/>
          <w:sz w:val="20"/>
        </w:rPr>
        <w:t>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November 3, 2023 the registrant had </w:t>
      </w:r>
      <w:bookmarkStart w:id="26" w:name="xdx_90F_edei--EntityCommonStockSharesOut"/>
      <w:bookmarkEnd w:id="26"/>
      <w:r>
        <w:rPr>
          <w:rFonts w:ascii="Times New Roman;Times;Serif" w:hAnsi="Times New Roman;Times;Serif"/>
          <w:b w:val="false"/>
          <w:i w:val="false"/>
          <w:caps w:val="false"/>
          <w:smallCaps w:val="false"/>
          <w:sz w:val="20"/>
        </w:rPr>
        <w:t>21,120,270 common shares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CONSUMER PORTFOLIO SERVICES,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27" w:name="q3_001"/>
      <w:bookmarkEnd w:id="27"/>
      <w:r>
        <w:rPr>
          <w:rFonts w:ascii="Times New Roman;Times;Serif" w:hAnsi="Times New Roman;Times;Serif"/>
          <w:b w:val="false"/>
          <w:i w:val="false"/>
          <w:caps w:val="false"/>
          <w:smallCaps w:val="false"/>
          <w:sz w:val="20"/>
        </w:rPr>
        <w:t>INDEX TO FORM 10-Q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Quarterly Period Ended September 30, 2023</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22"/>
        <w:gridCol w:w="9127"/>
        <w:gridCol w:w="456"/>
      </w:tblGrid>
      <w:tr>
        <w:trPr/>
        <w:tc>
          <w:tcPr>
            <w:tcW w:w="622" w:type="dxa"/>
            <w:tcBorders/>
            <w:vAlign w:val="center"/>
          </w:tcPr>
          <w:p>
            <w:pPr>
              <w:pStyle w:val="TableContents"/>
              <w:bidi w:val="0"/>
              <w:spacing w:before="0" w:after="283"/>
              <w:jc w:val="both"/>
              <w:rPr/>
            </w:pPr>
            <w:r>
              <w:rPr/>
              <w:t> </w:t>
            </w:r>
          </w:p>
        </w:tc>
        <w:tc>
          <w:tcPr>
            <w:tcW w:w="9127" w:type="dxa"/>
            <w:tcBorders/>
            <w:vAlign w:val="center"/>
          </w:tcPr>
          <w:p>
            <w:pPr>
              <w:pStyle w:val="TableContents"/>
              <w:bidi w:val="0"/>
              <w:spacing w:before="0" w:after="283"/>
              <w:jc w:val="both"/>
              <w:rPr/>
            </w:pPr>
            <w:r>
              <w:rPr/>
              <w:t> </w:t>
            </w:r>
          </w:p>
        </w:tc>
        <w:tc>
          <w:tcPr>
            <w:tcW w:w="456" w:type="dxa"/>
            <w:tcBorders/>
            <w:vAlign w:val="center"/>
          </w:tcPr>
          <w:p>
            <w:pPr>
              <w:pStyle w:val="TableContents"/>
              <w:bidi w:val="0"/>
              <w:spacing w:before="0" w:after="283"/>
              <w:jc w:val="center"/>
              <w:rPr>
                <w:b/>
                <w:sz w:val="20"/>
                <w:u w:val="single"/>
              </w:rPr>
            </w:pPr>
            <w:r>
              <w:rPr>
                <w:b/>
                <w:sz w:val="20"/>
                <w:u w:val="single"/>
              </w:rPr>
              <w:t>Page</w:t>
            </w:r>
          </w:p>
        </w:tc>
      </w:tr>
      <w:tr>
        <w:trPr/>
        <w:tc>
          <w:tcPr>
            <w:tcW w:w="622" w:type="dxa"/>
            <w:tcBorders/>
            <w:vAlign w:val="center"/>
          </w:tcPr>
          <w:p>
            <w:pPr>
              <w:pStyle w:val="TableContents"/>
              <w:bidi w:val="0"/>
              <w:spacing w:before="0" w:after="283"/>
              <w:jc w:val="both"/>
              <w:rPr/>
            </w:pPr>
            <w:r>
              <w:rPr/>
              <w:t> </w:t>
            </w:r>
          </w:p>
        </w:tc>
        <w:tc>
          <w:tcPr>
            <w:tcW w:w="9127" w:type="dxa"/>
            <w:tcBorders/>
            <w:vAlign w:val="center"/>
          </w:tcPr>
          <w:p>
            <w:pPr>
              <w:pStyle w:val="TableContents"/>
              <w:bidi w:val="0"/>
              <w:spacing w:before="0" w:after="283"/>
              <w:jc w:val="both"/>
              <w:rPr/>
            </w:pPr>
            <w:r>
              <w:rPr/>
              <w:t> </w:t>
            </w:r>
          </w:p>
        </w:tc>
        <w:tc>
          <w:tcPr>
            <w:tcW w:w="456" w:type="dxa"/>
            <w:tcBorders/>
            <w:vAlign w:val="center"/>
          </w:tcPr>
          <w:p>
            <w:pPr>
              <w:pStyle w:val="TableContents"/>
              <w:bidi w:val="0"/>
              <w:spacing w:before="0" w:after="283"/>
              <w:jc w:val="center"/>
              <w:rPr/>
            </w:pPr>
            <w:r>
              <w:rPr/>
              <w:t> </w:t>
            </w:r>
          </w:p>
        </w:tc>
      </w:tr>
      <w:tr>
        <w:trPr/>
        <w:tc>
          <w:tcPr>
            <w:tcW w:w="10205" w:type="dxa"/>
            <w:gridSpan w:val="3"/>
            <w:tcBorders/>
            <w:shd w:fill="EEEEEE" w:val="clear"/>
            <w:vAlign w:val="center"/>
          </w:tcPr>
          <w:p>
            <w:pPr>
              <w:pStyle w:val="TableContents"/>
              <w:bidi w:val="0"/>
              <w:spacing w:before="0" w:after="283"/>
              <w:jc w:val="center"/>
              <w:rPr/>
            </w:pPr>
            <w:hyperlink w:anchor="q3_002">
              <w:r>
                <w:rPr>
                  <w:rStyle w:val="InternetLink"/>
                  <w:b/>
                </w:rPr>
                <w:t>PART I. FINANCIAL INFORMATION</w:t>
              </w:r>
            </w:hyperlink>
          </w:p>
        </w:tc>
      </w:tr>
      <w:tr>
        <w:trPr/>
        <w:tc>
          <w:tcPr>
            <w:tcW w:w="622" w:type="dxa"/>
            <w:tcBorders/>
            <w:shd w:fill="FFFFFF" w:val="clear"/>
            <w:vAlign w:val="center"/>
          </w:tcPr>
          <w:p>
            <w:pPr>
              <w:pStyle w:val="TableContents"/>
              <w:bidi w:val="0"/>
              <w:spacing w:before="0" w:after="283"/>
              <w:jc w:val="both"/>
              <w:rPr/>
            </w:pPr>
            <w:r>
              <w:rPr/>
              <w:t> </w:t>
            </w:r>
          </w:p>
        </w:tc>
        <w:tc>
          <w:tcPr>
            <w:tcW w:w="9127" w:type="dxa"/>
            <w:tcBorders/>
            <w:shd w:fill="FFFFFF" w:val="clear"/>
            <w:vAlign w:val="center"/>
          </w:tcPr>
          <w:p>
            <w:pPr>
              <w:pStyle w:val="TableContents"/>
              <w:bidi w:val="0"/>
              <w:spacing w:before="0" w:after="283"/>
              <w:jc w:val="both"/>
              <w:rPr/>
            </w:pPr>
            <w:r>
              <w:rPr/>
              <w:t> </w:t>
            </w:r>
          </w:p>
        </w:tc>
        <w:tc>
          <w:tcPr>
            <w:tcW w:w="456" w:type="dxa"/>
            <w:tcBorders/>
            <w:shd w:fill="FFFFFF" w:val="clear"/>
            <w:vAlign w:val="center"/>
          </w:tcPr>
          <w:p>
            <w:pPr>
              <w:pStyle w:val="TableContents"/>
              <w:bidi w:val="0"/>
              <w:spacing w:before="0" w:after="283"/>
              <w:jc w:val="center"/>
              <w:rPr/>
            </w:pPr>
            <w:r>
              <w:rPr/>
              <w:t> </w:t>
            </w:r>
          </w:p>
        </w:tc>
      </w:tr>
      <w:tr>
        <w:trPr/>
        <w:tc>
          <w:tcPr>
            <w:tcW w:w="622" w:type="dxa"/>
            <w:tcBorders/>
            <w:shd w:fill="EEEEEE" w:val="clear"/>
            <w:vAlign w:val="center"/>
          </w:tcPr>
          <w:p>
            <w:pPr>
              <w:pStyle w:val="TableContents"/>
              <w:bidi w:val="0"/>
              <w:spacing w:before="0" w:after="283"/>
              <w:jc w:val="left"/>
              <w:rPr>
                <w:sz w:val="20"/>
              </w:rPr>
            </w:pPr>
            <w:r>
              <w:rPr>
                <w:sz w:val="20"/>
              </w:rPr>
              <w:t>Item 1.</w:t>
            </w:r>
          </w:p>
        </w:tc>
        <w:tc>
          <w:tcPr>
            <w:tcW w:w="9127" w:type="dxa"/>
            <w:tcBorders/>
            <w:shd w:fill="EEEEEE" w:val="clear"/>
            <w:vAlign w:val="center"/>
          </w:tcPr>
          <w:p>
            <w:pPr>
              <w:pStyle w:val="TableContents"/>
              <w:bidi w:val="0"/>
              <w:spacing w:before="0" w:after="283"/>
              <w:jc w:val="left"/>
              <w:rPr/>
            </w:pPr>
            <w:hyperlink w:anchor="q3_003">
              <w:r>
                <w:rPr>
                  <w:rStyle w:val="InternetLink"/>
                  <w:sz w:val="20"/>
                </w:rPr>
                <w:t>Financial Statements</w:t>
              </w:r>
            </w:hyperlink>
          </w:p>
        </w:tc>
        <w:tc>
          <w:tcPr>
            <w:tcW w:w="456" w:type="dxa"/>
            <w:tcBorders/>
            <w:shd w:fill="EEEEEE" w:val="clear"/>
            <w:vAlign w:val="center"/>
          </w:tcPr>
          <w:p>
            <w:pPr>
              <w:pStyle w:val="TableContents"/>
              <w:bidi w:val="0"/>
              <w:spacing w:before="0" w:after="283"/>
              <w:jc w:val="left"/>
              <w:rPr/>
            </w:pPr>
            <w:r>
              <w:rPr/>
              <w:t> </w:t>
            </w:r>
          </w:p>
        </w:tc>
      </w:tr>
      <w:tr>
        <w:trPr/>
        <w:tc>
          <w:tcPr>
            <w:tcW w:w="622" w:type="dxa"/>
            <w:tcBorders/>
            <w:shd w:fill="FFFFFF" w:val="clear"/>
            <w:vAlign w:val="center"/>
          </w:tcPr>
          <w:p>
            <w:pPr>
              <w:pStyle w:val="TableContents"/>
              <w:bidi w:val="0"/>
              <w:spacing w:before="0" w:after="283"/>
              <w:jc w:val="left"/>
              <w:rPr/>
            </w:pPr>
            <w:r>
              <w:rPr/>
              <w:t> </w:t>
            </w:r>
          </w:p>
        </w:tc>
        <w:tc>
          <w:tcPr>
            <w:tcW w:w="9127"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left"/>
              <w:rPr/>
            </w:pPr>
            <w:r>
              <w:rPr/>
              <w:t> </w:t>
            </w:r>
          </w:p>
        </w:tc>
      </w:tr>
      <w:tr>
        <w:trPr/>
        <w:tc>
          <w:tcPr>
            <w:tcW w:w="622" w:type="dxa"/>
            <w:tcBorders/>
            <w:shd w:fill="EEEEEE" w:val="clear"/>
            <w:vAlign w:val="center"/>
          </w:tcPr>
          <w:p>
            <w:pPr>
              <w:pStyle w:val="TableContents"/>
              <w:bidi w:val="0"/>
              <w:spacing w:before="0" w:after="283"/>
              <w:ind w:left="0" w:right="0" w:hanging="200"/>
              <w:jc w:val="left"/>
              <w:rPr/>
            </w:pPr>
            <w:r>
              <w:rPr/>
              <w:t> </w:t>
            </w:r>
          </w:p>
        </w:tc>
        <w:tc>
          <w:tcPr>
            <w:tcW w:w="9127" w:type="dxa"/>
            <w:tcBorders/>
            <w:shd w:fill="EEEEEE" w:val="clear"/>
            <w:vAlign w:val="center"/>
          </w:tcPr>
          <w:p>
            <w:pPr>
              <w:pStyle w:val="TableContents"/>
              <w:bidi w:val="0"/>
              <w:spacing w:before="0" w:after="283"/>
              <w:jc w:val="left"/>
              <w:rPr/>
            </w:pPr>
            <w:hyperlink w:anchor="q3_004">
              <w:r>
                <w:rPr>
                  <w:rStyle w:val="InternetLink"/>
                  <w:sz w:val="20"/>
                </w:rPr>
                <w:t>Unaudited Condensed Consolidated Balance Sheets as of September 30, 2023 and December 31, 2022</w:t>
              </w:r>
            </w:hyperlink>
          </w:p>
        </w:tc>
        <w:tc>
          <w:tcPr>
            <w:tcW w:w="456" w:type="dxa"/>
            <w:tcBorders/>
            <w:shd w:fill="EEEEEE" w:val="clear"/>
            <w:vAlign w:val="center"/>
          </w:tcPr>
          <w:p>
            <w:pPr>
              <w:pStyle w:val="TableContents"/>
              <w:bidi w:val="0"/>
              <w:spacing w:before="0" w:after="283"/>
              <w:jc w:val="center"/>
              <w:rPr>
                <w:sz w:val="20"/>
              </w:rPr>
            </w:pPr>
            <w:r>
              <w:rPr>
                <w:sz w:val="20"/>
              </w:rPr>
              <w:t>3</w:t>
            </w:r>
          </w:p>
        </w:tc>
      </w:tr>
      <w:tr>
        <w:trPr/>
        <w:tc>
          <w:tcPr>
            <w:tcW w:w="622" w:type="dxa"/>
            <w:tcBorders/>
            <w:shd w:fill="FFFFFF" w:val="clear"/>
            <w:vAlign w:val="center"/>
          </w:tcPr>
          <w:p>
            <w:pPr>
              <w:pStyle w:val="TableContents"/>
              <w:bidi w:val="0"/>
              <w:spacing w:before="0" w:after="283"/>
              <w:jc w:val="left"/>
              <w:rPr/>
            </w:pPr>
            <w:r>
              <w:rPr/>
              <w:t> </w:t>
            </w:r>
          </w:p>
        </w:tc>
        <w:tc>
          <w:tcPr>
            <w:tcW w:w="9127"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center"/>
              <w:rPr/>
            </w:pPr>
            <w:r>
              <w:rPr/>
              <w:t> </w:t>
            </w:r>
          </w:p>
        </w:tc>
      </w:tr>
      <w:tr>
        <w:trPr/>
        <w:tc>
          <w:tcPr>
            <w:tcW w:w="622" w:type="dxa"/>
            <w:tcBorders/>
            <w:shd w:fill="EEEEEE" w:val="clear"/>
            <w:vAlign w:val="center"/>
          </w:tcPr>
          <w:p>
            <w:pPr>
              <w:pStyle w:val="TableContents"/>
              <w:bidi w:val="0"/>
              <w:spacing w:before="0" w:after="283"/>
              <w:ind w:left="0" w:right="0" w:hanging="200"/>
              <w:jc w:val="left"/>
              <w:rPr/>
            </w:pPr>
            <w:r>
              <w:rPr/>
              <w:t> </w:t>
            </w:r>
          </w:p>
        </w:tc>
        <w:tc>
          <w:tcPr>
            <w:tcW w:w="9127" w:type="dxa"/>
            <w:tcBorders/>
            <w:shd w:fill="EEEEEE" w:val="clear"/>
            <w:vAlign w:val="center"/>
          </w:tcPr>
          <w:p>
            <w:pPr>
              <w:pStyle w:val="TableContents"/>
              <w:bidi w:val="0"/>
              <w:spacing w:before="0" w:after="283"/>
              <w:jc w:val="left"/>
              <w:rPr/>
            </w:pPr>
            <w:hyperlink w:anchor="q3_005">
              <w:r>
                <w:rPr>
                  <w:rStyle w:val="InternetLink"/>
                  <w:sz w:val="20"/>
                </w:rPr>
                <w:t>Unaudited Condensed Consolidated Statements of Operations for the three-month and nine-month periods ended September 30, 2023 and 2022</w:t>
              </w:r>
            </w:hyperlink>
          </w:p>
        </w:tc>
        <w:tc>
          <w:tcPr>
            <w:tcW w:w="456" w:type="dxa"/>
            <w:tcBorders/>
            <w:shd w:fill="EEEEEE" w:val="clear"/>
            <w:vAlign w:val="center"/>
          </w:tcPr>
          <w:p>
            <w:pPr>
              <w:pStyle w:val="TableContents"/>
              <w:bidi w:val="0"/>
              <w:spacing w:before="0" w:after="283"/>
              <w:jc w:val="center"/>
              <w:rPr>
                <w:sz w:val="20"/>
              </w:rPr>
            </w:pPr>
            <w:r>
              <w:rPr>
                <w:sz w:val="20"/>
              </w:rPr>
              <w:t>4</w:t>
            </w:r>
          </w:p>
        </w:tc>
      </w:tr>
      <w:tr>
        <w:trPr/>
        <w:tc>
          <w:tcPr>
            <w:tcW w:w="622" w:type="dxa"/>
            <w:tcBorders/>
            <w:shd w:fill="FFFFFF" w:val="clear"/>
            <w:vAlign w:val="center"/>
          </w:tcPr>
          <w:p>
            <w:pPr>
              <w:pStyle w:val="TableContents"/>
              <w:bidi w:val="0"/>
              <w:spacing w:before="0" w:after="283"/>
              <w:jc w:val="left"/>
              <w:rPr/>
            </w:pPr>
            <w:r>
              <w:rPr/>
              <w:t> </w:t>
            </w:r>
          </w:p>
        </w:tc>
        <w:tc>
          <w:tcPr>
            <w:tcW w:w="9127"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center"/>
              <w:rPr/>
            </w:pPr>
            <w:r>
              <w:rPr/>
              <w:t> </w:t>
            </w:r>
          </w:p>
        </w:tc>
      </w:tr>
      <w:tr>
        <w:trPr/>
        <w:tc>
          <w:tcPr>
            <w:tcW w:w="622" w:type="dxa"/>
            <w:tcBorders/>
            <w:shd w:fill="EEEEEE" w:val="clear"/>
            <w:vAlign w:val="center"/>
          </w:tcPr>
          <w:p>
            <w:pPr>
              <w:pStyle w:val="TableContents"/>
              <w:bidi w:val="0"/>
              <w:spacing w:before="0" w:after="283"/>
              <w:ind w:left="0" w:right="0" w:hanging="200"/>
              <w:jc w:val="left"/>
              <w:rPr/>
            </w:pPr>
            <w:r>
              <w:rPr/>
              <w:t> </w:t>
            </w:r>
          </w:p>
        </w:tc>
        <w:tc>
          <w:tcPr>
            <w:tcW w:w="9127" w:type="dxa"/>
            <w:tcBorders/>
            <w:shd w:fill="EEEEEE" w:val="clear"/>
            <w:vAlign w:val="center"/>
          </w:tcPr>
          <w:p>
            <w:pPr>
              <w:pStyle w:val="TableContents"/>
              <w:bidi w:val="0"/>
              <w:spacing w:before="0" w:after="283"/>
              <w:jc w:val="left"/>
              <w:rPr/>
            </w:pPr>
            <w:hyperlink w:anchor="q3_006">
              <w:r>
                <w:rPr>
                  <w:rStyle w:val="InternetLink"/>
                  <w:sz w:val="20"/>
                </w:rPr>
                <w:t>Unaudited Condensed Consolidated Statements of Comprehensive Income for the three-month and nine-month periods ended September 30, 2023 and 2022</w:t>
              </w:r>
            </w:hyperlink>
          </w:p>
        </w:tc>
        <w:tc>
          <w:tcPr>
            <w:tcW w:w="456" w:type="dxa"/>
            <w:tcBorders/>
            <w:shd w:fill="EEEEEE" w:val="clear"/>
            <w:vAlign w:val="center"/>
          </w:tcPr>
          <w:p>
            <w:pPr>
              <w:pStyle w:val="TableContents"/>
              <w:bidi w:val="0"/>
              <w:spacing w:before="0" w:after="283"/>
              <w:jc w:val="center"/>
              <w:rPr>
                <w:sz w:val="20"/>
              </w:rPr>
            </w:pPr>
            <w:r>
              <w:rPr>
                <w:sz w:val="20"/>
              </w:rPr>
              <w:t>5</w:t>
            </w:r>
          </w:p>
        </w:tc>
      </w:tr>
      <w:tr>
        <w:trPr/>
        <w:tc>
          <w:tcPr>
            <w:tcW w:w="622" w:type="dxa"/>
            <w:tcBorders/>
            <w:shd w:fill="FFFFFF" w:val="clear"/>
            <w:vAlign w:val="center"/>
          </w:tcPr>
          <w:p>
            <w:pPr>
              <w:pStyle w:val="TableContents"/>
              <w:bidi w:val="0"/>
              <w:spacing w:before="0" w:after="283"/>
              <w:jc w:val="left"/>
              <w:rPr/>
            </w:pPr>
            <w:r>
              <w:rPr/>
              <w:t> </w:t>
            </w:r>
          </w:p>
        </w:tc>
        <w:tc>
          <w:tcPr>
            <w:tcW w:w="9127"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center"/>
              <w:rPr/>
            </w:pPr>
            <w:r>
              <w:rPr/>
              <w:t> </w:t>
            </w:r>
          </w:p>
        </w:tc>
      </w:tr>
      <w:tr>
        <w:trPr/>
        <w:tc>
          <w:tcPr>
            <w:tcW w:w="622" w:type="dxa"/>
            <w:tcBorders/>
            <w:shd w:fill="EEEEEE" w:val="clear"/>
            <w:vAlign w:val="center"/>
          </w:tcPr>
          <w:p>
            <w:pPr>
              <w:pStyle w:val="TableContents"/>
              <w:bidi w:val="0"/>
              <w:spacing w:before="0" w:after="283"/>
              <w:ind w:left="0" w:right="0" w:hanging="200"/>
              <w:jc w:val="left"/>
              <w:rPr/>
            </w:pPr>
            <w:r>
              <w:rPr/>
              <w:t> </w:t>
            </w:r>
          </w:p>
        </w:tc>
        <w:tc>
          <w:tcPr>
            <w:tcW w:w="9127" w:type="dxa"/>
            <w:tcBorders/>
            <w:shd w:fill="EEEEEE" w:val="clear"/>
            <w:vAlign w:val="center"/>
          </w:tcPr>
          <w:p>
            <w:pPr>
              <w:pStyle w:val="TableContents"/>
              <w:bidi w:val="0"/>
              <w:spacing w:before="0" w:after="283"/>
              <w:jc w:val="left"/>
              <w:rPr/>
            </w:pPr>
            <w:hyperlink w:anchor="q3_007">
              <w:r>
                <w:rPr>
                  <w:rStyle w:val="InternetLink"/>
                  <w:sz w:val="20"/>
                </w:rPr>
                <w:t>Unaudited Condensed Consolidated Statements of Cash Flows for the nine-month periods ended September 30, 2023 and 2022</w:t>
              </w:r>
            </w:hyperlink>
          </w:p>
        </w:tc>
        <w:tc>
          <w:tcPr>
            <w:tcW w:w="456" w:type="dxa"/>
            <w:tcBorders/>
            <w:shd w:fill="EEEEEE" w:val="clear"/>
            <w:vAlign w:val="center"/>
          </w:tcPr>
          <w:p>
            <w:pPr>
              <w:pStyle w:val="TableContents"/>
              <w:bidi w:val="0"/>
              <w:spacing w:before="0" w:after="283"/>
              <w:jc w:val="center"/>
              <w:rPr>
                <w:sz w:val="20"/>
              </w:rPr>
            </w:pPr>
            <w:r>
              <w:rPr>
                <w:sz w:val="20"/>
              </w:rPr>
              <w:t>6</w:t>
            </w:r>
          </w:p>
        </w:tc>
      </w:tr>
      <w:tr>
        <w:trPr/>
        <w:tc>
          <w:tcPr>
            <w:tcW w:w="622" w:type="dxa"/>
            <w:tcBorders/>
            <w:shd w:fill="FFFFFF" w:val="clear"/>
            <w:vAlign w:val="center"/>
          </w:tcPr>
          <w:p>
            <w:pPr>
              <w:pStyle w:val="TableContents"/>
              <w:bidi w:val="0"/>
              <w:spacing w:before="0" w:after="283"/>
              <w:jc w:val="left"/>
              <w:rPr/>
            </w:pPr>
            <w:r>
              <w:rPr/>
              <w:t> </w:t>
            </w:r>
          </w:p>
        </w:tc>
        <w:tc>
          <w:tcPr>
            <w:tcW w:w="9127"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center"/>
              <w:rPr/>
            </w:pPr>
            <w:r>
              <w:rPr/>
              <w:t> </w:t>
            </w:r>
          </w:p>
        </w:tc>
      </w:tr>
      <w:tr>
        <w:trPr/>
        <w:tc>
          <w:tcPr>
            <w:tcW w:w="622" w:type="dxa"/>
            <w:tcBorders/>
            <w:shd w:fill="EEEEEE" w:val="clear"/>
            <w:vAlign w:val="center"/>
          </w:tcPr>
          <w:p>
            <w:pPr>
              <w:pStyle w:val="TableContents"/>
              <w:bidi w:val="0"/>
              <w:spacing w:before="0" w:after="283"/>
              <w:ind w:left="0" w:right="0" w:hanging="200"/>
              <w:jc w:val="left"/>
              <w:rPr/>
            </w:pPr>
            <w:r>
              <w:rPr/>
              <w:t> </w:t>
            </w:r>
          </w:p>
        </w:tc>
        <w:tc>
          <w:tcPr>
            <w:tcW w:w="9127" w:type="dxa"/>
            <w:tcBorders/>
            <w:shd w:fill="EEEEEE" w:val="clear"/>
            <w:vAlign w:val="center"/>
          </w:tcPr>
          <w:p>
            <w:pPr>
              <w:pStyle w:val="TableContents"/>
              <w:bidi w:val="0"/>
              <w:spacing w:before="0" w:after="283"/>
              <w:jc w:val="left"/>
              <w:rPr/>
            </w:pPr>
            <w:hyperlink w:anchor="q3_008">
              <w:r>
                <w:rPr>
                  <w:rStyle w:val="InternetLink"/>
                  <w:sz w:val="20"/>
                </w:rPr>
                <w:t>Unaudited Condensed Consolidated Statements of Shareholders’ Equity for the three-month and nine-month periods ended September 30, 2023 and 2022</w:t>
              </w:r>
            </w:hyperlink>
          </w:p>
        </w:tc>
        <w:tc>
          <w:tcPr>
            <w:tcW w:w="456" w:type="dxa"/>
            <w:tcBorders/>
            <w:shd w:fill="EEEEEE" w:val="clear"/>
            <w:vAlign w:val="center"/>
          </w:tcPr>
          <w:p>
            <w:pPr>
              <w:pStyle w:val="TableContents"/>
              <w:bidi w:val="0"/>
              <w:spacing w:before="0" w:after="283"/>
              <w:jc w:val="center"/>
              <w:rPr>
                <w:sz w:val="20"/>
              </w:rPr>
            </w:pPr>
            <w:r>
              <w:rPr>
                <w:sz w:val="20"/>
              </w:rPr>
              <w:t>7</w:t>
            </w:r>
          </w:p>
        </w:tc>
      </w:tr>
      <w:tr>
        <w:trPr/>
        <w:tc>
          <w:tcPr>
            <w:tcW w:w="622" w:type="dxa"/>
            <w:tcBorders/>
            <w:shd w:fill="FFFFFF" w:val="clear"/>
            <w:vAlign w:val="center"/>
          </w:tcPr>
          <w:p>
            <w:pPr>
              <w:pStyle w:val="TableContents"/>
              <w:bidi w:val="0"/>
              <w:spacing w:before="0" w:after="283"/>
              <w:jc w:val="left"/>
              <w:rPr/>
            </w:pPr>
            <w:r>
              <w:rPr/>
              <w:t> </w:t>
            </w:r>
          </w:p>
        </w:tc>
        <w:tc>
          <w:tcPr>
            <w:tcW w:w="9127"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center"/>
              <w:rPr/>
            </w:pPr>
            <w:r>
              <w:rPr/>
              <w:t> </w:t>
            </w:r>
          </w:p>
        </w:tc>
      </w:tr>
      <w:tr>
        <w:trPr/>
        <w:tc>
          <w:tcPr>
            <w:tcW w:w="622" w:type="dxa"/>
            <w:tcBorders/>
            <w:shd w:fill="EEEEEE" w:val="clear"/>
            <w:vAlign w:val="center"/>
          </w:tcPr>
          <w:p>
            <w:pPr>
              <w:pStyle w:val="TableContents"/>
              <w:bidi w:val="0"/>
              <w:spacing w:before="0" w:after="283"/>
              <w:ind w:left="0" w:right="0" w:hanging="200"/>
              <w:jc w:val="left"/>
              <w:rPr/>
            </w:pPr>
            <w:r>
              <w:rPr/>
              <w:t> </w:t>
            </w:r>
          </w:p>
        </w:tc>
        <w:tc>
          <w:tcPr>
            <w:tcW w:w="9127" w:type="dxa"/>
            <w:tcBorders/>
            <w:shd w:fill="EEEEEE" w:val="clear"/>
            <w:vAlign w:val="center"/>
          </w:tcPr>
          <w:p>
            <w:pPr>
              <w:pStyle w:val="TableContents"/>
              <w:bidi w:val="0"/>
              <w:spacing w:before="0" w:after="283"/>
              <w:jc w:val="left"/>
              <w:rPr/>
            </w:pPr>
            <w:hyperlink w:anchor="q3_009">
              <w:r>
                <w:rPr>
                  <w:rStyle w:val="InternetLink"/>
                  <w:sz w:val="20"/>
                </w:rPr>
                <w:t>Notes to Unaudited Condensed Consolidated Financial Statements</w:t>
              </w:r>
            </w:hyperlink>
          </w:p>
        </w:tc>
        <w:tc>
          <w:tcPr>
            <w:tcW w:w="456" w:type="dxa"/>
            <w:tcBorders/>
            <w:shd w:fill="EEEEEE" w:val="clear"/>
            <w:vAlign w:val="center"/>
          </w:tcPr>
          <w:p>
            <w:pPr>
              <w:pStyle w:val="TableContents"/>
              <w:bidi w:val="0"/>
              <w:spacing w:before="0" w:after="283"/>
              <w:jc w:val="center"/>
              <w:rPr>
                <w:sz w:val="20"/>
              </w:rPr>
            </w:pPr>
            <w:r>
              <w:rPr>
                <w:sz w:val="20"/>
              </w:rPr>
              <w:t>8</w:t>
            </w:r>
          </w:p>
        </w:tc>
      </w:tr>
      <w:tr>
        <w:trPr/>
        <w:tc>
          <w:tcPr>
            <w:tcW w:w="622" w:type="dxa"/>
            <w:tcBorders/>
            <w:shd w:fill="FFFFFF" w:val="clear"/>
            <w:vAlign w:val="center"/>
          </w:tcPr>
          <w:p>
            <w:pPr>
              <w:pStyle w:val="TableContents"/>
              <w:bidi w:val="0"/>
              <w:spacing w:before="0" w:after="283"/>
              <w:jc w:val="left"/>
              <w:rPr/>
            </w:pPr>
            <w:r>
              <w:rPr/>
              <w:t> </w:t>
            </w:r>
          </w:p>
        </w:tc>
        <w:tc>
          <w:tcPr>
            <w:tcW w:w="9127"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center"/>
              <w:rPr/>
            </w:pPr>
            <w:r>
              <w:rPr/>
              <w:t> </w:t>
            </w:r>
          </w:p>
        </w:tc>
      </w:tr>
      <w:tr>
        <w:trPr/>
        <w:tc>
          <w:tcPr>
            <w:tcW w:w="622" w:type="dxa"/>
            <w:tcBorders/>
            <w:shd w:fill="EEEEEE" w:val="clear"/>
            <w:vAlign w:val="center"/>
          </w:tcPr>
          <w:p>
            <w:pPr>
              <w:pStyle w:val="TableContents"/>
              <w:bidi w:val="0"/>
              <w:spacing w:before="0" w:after="283"/>
              <w:ind w:left="0" w:right="0" w:hanging="200"/>
              <w:jc w:val="left"/>
              <w:rPr>
                <w:sz w:val="20"/>
              </w:rPr>
            </w:pPr>
            <w:r>
              <w:rPr>
                <w:sz w:val="20"/>
              </w:rPr>
              <w:t>Item 2.</w:t>
            </w:r>
          </w:p>
        </w:tc>
        <w:tc>
          <w:tcPr>
            <w:tcW w:w="9127" w:type="dxa"/>
            <w:tcBorders/>
            <w:shd w:fill="EEEEEE" w:val="clear"/>
            <w:vAlign w:val="center"/>
          </w:tcPr>
          <w:p>
            <w:pPr>
              <w:pStyle w:val="TableContents"/>
              <w:bidi w:val="0"/>
              <w:spacing w:before="0" w:after="283"/>
              <w:jc w:val="left"/>
              <w:rPr/>
            </w:pPr>
            <w:hyperlink w:anchor="q3_010">
              <w:r>
                <w:rPr>
                  <w:rStyle w:val="InternetLink"/>
                  <w:sz w:val="20"/>
                </w:rPr>
                <w:t>Management’s Discussion and Analysis of Financial Condition and Results of Operations</w:t>
              </w:r>
            </w:hyperlink>
          </w:p>
        </w:tc>
        <w:tc>
          <w:tcPr>
            <w:tcW w:w="456" w:type="dxa"/>
            <w:tcBorders/>
            <w:shd w:fill="EEEEEE" w:val="clear"/>
            <w:vAlign w:val="center"/>
          </w:tcPr>
          <w:p>
            <w:pPr>
              <w:pStyle w:val="TableContents"/>
              <w:bidi w:val="0"/>
              <w:spacing w:before="0" w:after="283"/>
              <w:jc w:val="center"/>
              <w:rPr>
                <w:sz w:val="20"/>
              </w:rPr>
            </w:pPr>
            <w:r>
              <w:rPr>
                <w:sz w:val="20"/>
              </w:rPr>
              <w:t>25</w:t>
            </w:r>
          </w:p>
        </w:tc>
      </w:tr>
      <w:tr>
        <w:trPr/>
        <w:tc>
          <w:tcPr>
            <w:tcW w:w="622" w:type="dxa"/>
            <w:tcBorders/>
            <w:shd w:fill="FFFFFF" w:val="clear"/>
            <w:vAlign w:val="center"/>
          </w:tcPr>
          <w:p>
            <w:pPr>
              <w:pStyle w:val="TableContents"/>
              <w:bidi w:val="0"/>
              <w:spacing w:before="0" w:after="283"/>
              <w:jc w:val="left"/>
              <w:rPr/>
            </w:pPr>
            <w:r>
              <w:rPr/>
              <w:t> </w:t>
            </w:r>
          </w:p>
        </w:tc>
        <w:tc>
          <w:tcPr>
            <w:tcW w:w="9127"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center"/>
              <w:rPr/>
            </w:pPr>
            <w:r>
              <w:rPr/>
              <w:t> </w:t>
            </w:r>
          </w:p>
        </w:tc>
      </w:tr>
      <w:tr>
        <w:trPr/>
        <w:tc>
          <w:tcPr>
            <w:tcW w:w="622" w:type="dxa"/>
            <w:tcBorders/>
            <w:shd w:fill="EEEEEE" w:val="clear"/>
            <w:vAlign w:val="center"/>
          </w:tcPr>
          <w:p>
            <w:pPr>
              <w:pStyle w:val="TableContents"/>
              <w:bidi w:val="0"/>
              <w:spacing w:before="0" w:after="283"/>
              <w:jc w:val="left"/>
              <w:rPr>
                <w:sz w:val="20"/>
              </w:rPr>
            </w:pPr>
            <w:r>
              <w:rPr>
                <w:sz w:val="20"/>
              </w:rPr>
              <w:t>Item 4.</w:t>
            </w:r>
          </w:p>
        </w:tc>
        <w:tc>
          <w:tcPr>
            <w:tcW w:w="9127" w:type="dxa"/>
            <w:tcBorders/>
            <w:shd w:fill="EEEEEE" w:val="clear"/>
            <w:vAlign w:val="center"/>
          </w:tcPr>
          <w:p>
            <w:pPr>
              <w:pStyle w:val="TableContents"/>
              <w:bidi w:val="0"/>
              <w:spacing w:before="0" w:after="283"/>
              <w:jc w:val="left"/>
              <w:rPr/>
            </w:pPr>
            <w:hyperlink w:anchor="q3_011">
              <w:r>
                <w:rPr>
                  <w:rStyle w:val="InternetLink"/>
                  <w:sz w:val="20"/>
                </w:rPr>
                <w:t>Controls and Procedures</w:t>
              </w:r>
            </w:hyperlink>
          </w:p>
        </w:tc>
        <w:tc>
          <w:tcPr>
            <w:tcW w:w="456" w:type="dxa"/>
            <w:tcBorders/>
            <w:shd w:fill="EEEEEE" w:val="clear"/>
            <w:vAlign w:val="center"/>
          </w:tcPr>
          <w:p>
            <w:pPr>
              <w:pStyle w:val="TableContents"/>
              <w:bidi w:val="0"/>
              <w:spacing w:before="0" w:after="283"/>
              <w:jc w:val="center"/>
              <w:rPr>
                <w:sz w:val="20"/>
              </w:rPr>
            </w:pPr>
            <w:r>
              <w:rPr>
                <w:sz w:val="20"/>
              </w:rPr>
              <w:t>42</w:t>
            </w:r>
          </w:p>
        </w:tc>
      </w:tr>
      <w:tr>
        <w:trPr/>
        <w:tc>
          <w:tcPr>
            <w:tcW w:w="10205" w:type="dxa"/>
            <w:gridSpan w:val="3"/>
            <w:tcBorders/>
            <w:shd w:fill="FFFFFF" w:val="clear"/>
            <w:vAlign w:val="center"/>
          </w:tcPr>
          <w:p>
            <w:pPr>
              <w:pStyle w:val="TableContents"/>
              <w:bidi w:val="0"/>
              <w:spacing w:before="0" w:after="283"/>
              <w:jc w:val="both"/>
              <w:rPr/>
            </w:pPr>
            <w:r>
              <w:rPr/>
              <w:t> </w:t>
            </w:r>
          </w:p>
        </w:tc>
      </w:tr>
      <w:tr>
        <w:trPr/>
        <w:tc>
          <w:tcPr>
            <w:tcW w:w="10205" w:type="dxa"/>
            <w:gridSpan w:val="3"/>
            <w:tcBorders/>
            <w:shd w:fill="EEEEEE" w:val="clear"/>
            <w:vAlign w:val="center"/>
          </w:tcPr>
          <w:p>
            <w:pPr>
              <w:pStyle w:val="TableContents"/>
              <w:bidi w:val="0"/>
              <w:spacing w:before="0" w:after="283"/>
              <w:jc w:val="center"/>
              <w:rPr/>
            </w:pPr>
            <w:hyperlink w:anchor="q3_012">
              <w:r>
                <w:rPr>
                  <w:rStyle w:val="InternetLink"/>
                  <w:b/>
                </w:rPr>
                <w:t>PART II. OTHER INFORMATION</w:t>
              </w:r>
            </w:hyperlink>
          </w:p>
        </w:tc>
      </w:tr>
      <w:tr>
        <w:trPr/>
        <w:tc>
          <w:tcPr>
            <w:tcW w:w="622" w:type="dxa"/>
            <w:tcBorders/>
            <w:shd w:fill="FFFFFF" w:val="clear"/>
            <w:vAlign w:val="center"/>
          </w:tcPr>
          <w:p>
            <w:pPr>
              <w:pStyle w:val="TableContents"/>
              <w:bidi w:val="0"/>
              <w:spacing w:before="0" w:after="283"/>
              <w:jc w:val="both"/>
              <w:rPr/>
            </w:pPr>
            <w:r>
              <w:rPr/>
              <w:t> </w:t>
            </w:r>
          </w:p>
        </w:tc>
        <w:tc>
          <w:tcPr>
            <w:tcW w:w="9127" w:type="dxa"/>
            <w:tcBorders/>
            <w:shd w:fill="FFFFFF" w:val="clear"/>
            <w:vAlign w:val="center"/>
          </w:tcPr>
          <w:p>
            <w:pPr>
              <w:pStyle w:val="TableContents"/>
              <w:bidi w:val="0"/>
              <w:spacing w:before="0" w:after="283"/>
              <w:jc w:val="both"/>
              <w:rPr/>
            </w:pPr>
            <w:r>
              <w:rPr/>
              <w:t> </w:t>
            </w:r>
          </w:p>
        </w:tc>
        <w:tc>
          <w:tcPr>
            <w:tcW w:w="456" w:type="dxa"/>
            <w:tcBorders/>
            <w:shd w:fill="FFFFFF" w:val="clear"/>
            <w:vAlign w:val="center"/>
          </w:tcPr>
          <w:p>
            <w:pPr>
              <w:pStyle w:val="TableContents"/>
              <w:bidi w:val="0"/>
              <w:spacing w:before="0" w:after="283"/>
              <w:jc w:val="center"/>
              <w:rPr/>
            </w:pPr>
            <w:r>
              <w:rPr/>
              <w:t> </w:t>
            </w:r>
          </w:p>
        </w:tc>
      </w:tr>
      <w:tr>
        <w:trPr/>
        <w:tc>
          <w:tcPr>
            <w:tcW w:w="622" w:type="dxa"/>
            <w:tcBorders/>
            <w:shd w:fill="EEEEEE" w:val="clear"/>
            <w:vAlign w:val="center"/>
          </w:tcPr>
          <w:p>
            <w:pPr>
              <w:pStyle w:val="TableContents"/>
              <w:bidi w:val="0"/>
              <w:spacing w:before="0" w:after="283"/>
              <w:jc w:val="left"/>
              <w:rPr>
                <w:sz w:val="20"/>
              </w:rPr>
            </w:pPr>
            <w:r>
              <w:rPr>
                <w:sz w:val="20"/>
              </w:rPr>
              <w:t>Item 1.</w:t>
            </w:r>
          </w:p>
        </w:tc>
        <w:tc>
          <w:tcPr>
            <w:tcW w:w="9127" w:type="dxa"/>
            <w:tcBorders/>
            <w:shd w:fill="EEEEEE" w:val="clear"/>
            <w:vAlign w:val="center"/>
          </w:tcPr>
          <w:p>
            <w:pPr>
              <w:pStyle w:val="TableContents"/>
              <w:bidi w:val="0"/>
              <w:spacing w:before="0" w:after="283"/>
              <w:jc w:val="left"/>
              <w:rPr/>
            </w:pPr>
            <w:hyperlink w:anchor="q3_013">
              <w:r>
                <w:rPr>
                  <w:rStyle w:val="InternetLink"/>
                  <w:sz w:val="20"/>
                </w:rPr>
                <w:t>Legal Proceedings</w:t>
              </w:r>
            </w:hyperlink>
          </w:p>
        </w:tc>
        <w:tc>
          <w:tcPr>
            <w:tcW w:w="456" w:type="dxa"/>
            <w:tcBorders/>
            <w:shd w:fill="EEEEEE" w:val="clear"/>
            <w:vAlign w:val="center"/>
          </w:tcPr>
          <w:p>
            <w:pPr>
              <w:pStyle w:val="TableContents"/>
              <w:bidi w:val="0"/>
              <w:spacing w:before="0" w:after="283"/>
              <w:jc w:val="center"/>
              <w:rPr>
                <w:sz w:val="20"/>
              </w:rPr>
            </w:pPr>
            <w:r>
              <w:rPr>
                <w:sz w:val="20"/>
              </w:rPr>
              <w:t>43</w:t>
            </w:r>
          </w:p>
        </w:tc>
      </w:tr>
      <w:tr>
        <w:trPr/>
        <w:tc>
          <w:tcPr>
            <w:tcW w:w="622" w:type="dxa"/>
            <w:tcBorders/>
            <w:shd w:fill="FFFFFF" w:val="clear"/>
            <w:vAlign w:val="center"/>
          </w:tcPr>
          <w:p>
            <w:pPr>
              <w:pStyle w:val="TableContents"/>
              <w:bidi w:val="0"/>
              <w:spacing w:before="0" w:after="283"/>
              <w:jc w:val="left"/>
              <w:rPr/>
            </w:pPr>
            <w:r>
              <w:rPr/>
              <w:t> </w:t>
            </w:r>
          </w:p>
        </w:tc>
        <w:tc>
          <w:tcPr>
            <w:tcW w:w="9127"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center"/>
              <w:rPr/>
            </w:pPr>
            <w:r>
              <w:rPr/>
              <w:t> </w:t>
            </w:r>
          </w:p>
        </w:tc>
      </w:tr>
      <w:tr>
        <w:trPr/>
        <w:tc>
          <w:tcPr>
            <w:tcW w:w="622" w:type="dxa"/>
            <w:tcBorders/>
            <w:shd w:fill="EEEEEE" w:val="clear"/>
            <w:vAlign w:val="center"/>
          </w:tcPr>
          <w:p>
            <w:pPr>
              <w:pStyle w:val="TableContents"/>
              <w:bidi w:val="0"/>
              <w:spacing w:before="0" w:after="283"/>
              <w:jc w:val="left"/>
              <w:rPr>
                <w:sz w:val="20"/>
              </w:rPr>
            </w:pPr>
            <w:r>
              <w:rPr>
                <w:sz w:val="20"/>
              </w:rPr>
              <w:t>Item 1A.</w:t>
            </w:r>
          </w:p>
        </w:tc>
        <w:tc>
          <w:tcPr>
            <w:tcW w:w="9127" w:type="dxa"/>
            <w:tcBorders/>
            <w:shd w:fill="EEEEEE" w:val="clear"/>
            <w:vAlign w:val="center"/>
          </w:tcPr>
          <w:p>
            <w:pPr>
              <w:pStyle w:val="TableContents"/>
              <w:bidi w:val="0"/>
              <w:spacing w:before="0" w:after="283"/>
              <w:jc w:val="left"/>
              <w:rPr/>
            </w:pPr>
            <w:hyperlink w:anchor="q3_014">
              <w:r>
                <w:rPr>
                  <w:rStyle w:val="InternetLink"/>
                  <w:sz w:val="20"/>
                </w:rPr>
                <w:t>Risk Factors</w:t>
              </w:r>
            </w:hyperlink>
          </w:p>
        </w:tc>
        <w:tc>
          <w:tcPr>
            <w:tcW w:w="456" w:type="dxa"/>
            <w:tcBorders/>
            <w:shd w:fill="EEEEEE" w:val="clear"/>
            <w:vAlign w:val="center"/>
          </w:tcPr>
          <w:p>
            <w:pPr>
              <w:pStyle w:val="TableContents"/>
              <w:bidi w:val="0"/>
              <w:spacing w:before="0" w:after="283"/>
              <w:jc w:val="center"/>
              <w:rPr>
                <w:sz w:val="20"/>
              </w:rPr>
            </w:pPr>
            <w:r>
              <w:rPr>
                <w:sz w:val="20"/>
              </w:rPr>
              <w:t>43</w:t>
            </w:r>
          </w:p>
        </w:tc>
      </w:tr>
      <w:tr>
        <w:trPr/>
        <w:tc>
          <w:tcPr>
            <w:tcW w:w="622" w:type="dxa"/>
            <w:tcBorders/>
            <w:shd w:fill="FFFFFF" w:val="clear"/>
            <w:vAlign w:val="center"/>
          </w:tcPr>
          <w:p>
            <w:pPr>
              <w:pStyle w:val="TableContents"/>
              <w:bidi w:val="0"/>
              <w:spacing w:before="0" w:after="283"/>
              <w:jc w:val="left"/>
              <w:rPr/>
            </w:pPr>
            <w:r>
              <w:rPr/>
              <w:t> </w:t>
            </w:r>
          </w:p>
        </w:tc>
        <w:tc>
          <w:tcPr>
            <w:tcW w:w="9127"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center"/>
              <w:rPr/>
            </w:pPr>
            <w:r>
              <w:rPr/>
              <w:t> </w:t>
            </w:r>
          </w:p>
        </w:tc>
      </w:tr>
      <w:tr>
        <w:trPr/>
        <w:tc>
          <w:tcPr>
            <w:tcW w:w="622" w:type="dxa"/>
            <w:tcBorders/>
            <w:shd w:fill="EEEEEE" w:val="clear"/>
            <w:vAlign w:val="center"/>
          </w:tcPr>
          <w:p>
            <w:pPr>
              <w:pStyle w:val="TableContents"/>
              <w:bidi w:val="0"/>
              <w:spacing w:before="0" w:after="283"/>
              <w:ind w:left="0" w:right="0" w:hanging="200"/>
              <w:jc w:val="left"/>
              <w:rPr>
                <w:sz w:val="20"/>
              </w:rPr>
            </w:pPr>
            <w:r>
              <w:rPr>
                <w:sz w:val="20"/>
              </w:rPr>
              <w:t>Item 2.</w:t>
            </w:r>
          </w:p>
        </w:tc>
        <w:tc>
          <w:tcPr>
            <w:tcW w:w="9127" w:type="dxa"/>
            <w:tcBorders/>
            <w:shd w:fill="EEEEEE" w:val="clear"/>
            <w:vAlign w:val="center"/>
          </w:tcPr>
          <w:p>
            <w:pPr>
              <w:pStyle w:val="TableContents"/>
              <w:bidi w:val="0"/>
              <w:spacing w:before="0" w:after="283"/>
              <w:jc w:val="left"/>
              <w:rPr/>
            </w:pPr>
            <w:hyperlink w:anchor="q3_015">
              <w:r>
                <w:rPr>
                  <w:rStyle w:val="InternetLink"/>
                  <w:sz w:val="20"/>
                </w:rPr>
                <w:t>Unregistered Sales of Equity Securities and Use of Proceeds</w:t>
              </w:r>
            </w:hyperlink>
          </w:p>
        </w:tc>
        <w:tc>
          <w:tcPr>
            <w:tcW w:w="456" w:type="dxa"/>
            <w:tcBorders/>
            <w:shd w:fill="EEEEEE" w:val="clear"/>
            <w:vAlign w:val="center"/>
          </w:tcPr>
          <w:p>
            <w:pPr>
              <w:pStyle w:val="TableContents"/>
              <w:bidi w:val="0"/>
              <w:spacing w:before="0" w:after="283"/>
              <w:jc w:val="center"/>
              <w:rPr>
                <w:sz w:val="20"/>
              </w:rPr>
            </w:pPr>
            <w:r>
              <w:rPr>
                <w:sz w:val="20"/>
              </w:rPr>
              <w:t>45</w:t>
            </w:r>
          </w:p>
        </w:tc>
      </w:tr>
      <w:tr>
        <w:trPr/>
        <w:tc>
          <w:tcPr>
            <w:tcW w:w="622" w:type="dxa"/>
            <w:tcBorders/>
            <w:shd w:fill="FFFFFF" w:val="clear"/>
            <w:vAlign w:val="center"/>
          </w:tcPr>
          <w:p>
            <w:pPr>
              <w:pStyle w:val="TableContents"/>
              <w:bidi w:val="0"/>
              <w:spacing w:before="0" w:after="283"/>
              <w:jc w:val="left"/>
              <w:rPr/>
            </w:pPr>
            <w:r>
              <w:rPr/>
              <w:t> </w:t>
            </w:r>
          </w:p>
        </w:tc>
        <w:tc>
          <w:tcPr>
            <w:tcW w:w="9127"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center"/>
              <w:rPr/>
            </w:pPr>
            <w:r>
              <w:rPr/>
              <w:t> </w:t>
            </w:r>
          </w:p>
        </w:tc>
      </w:tr>
      <w:tr>
        <w:trPr/>
        <w:tc>
          <w:tcPr>
            <w:tcW w:w="622" w:type="dxa"/>
            <w:tcBorders/>
            <w:shd w:fill="EEEEEE" w:val="clear"/>
            <w:vAlign w:val="center"/>
          </w:tcPr>
          <w:p>
            <w:pPr>
              <w:pStyle w:val="TableContents"/>
              <w:bidi w:val="0"/>
              <w:spacing w:before="0" w:after="283"/>
              <w:jc w:val="left"/>
              <w:rPr>
                <w:sz w:val="20"/>
              </w:rPr>
            </w:pPr>
            <w:r>
              <w:rPr>
                <w:sz w:val="20"/>
              </w:rPr>
              <w:t>Item 6.</w:t>
            </w:r>
          </w:p>
        </w:tc>
        <w:tc>
          <w:tcPr>
            <w:tcW w:w="9127" w:type="dxa"/>
            <w:tcBorders/>
            <w:shd w:fill="EEEEEE" w:val="clear"/>
            <w:vAlign w:val="center"/>
          </w:tcPr>
          <w:p>
            <w:pPr>
              <w:pStyle w:val="TableContents"/>
              <w:bidi w:val="0"/>
              <w:spacing w:before="0" w:after="283"/>
              <w:jc w:val="left"/>
              <w:rPr/>
            </w:pPr>
            <w:hyperlink w:anchor="q3_016">
              <w:r>
                <w:rPr>
                  <w:rStyle w:val="InternetLink"/>
                  <w:sz w:val="20"/>
                </w:rPr>
                <w:t>Exhibits</w:t>
              </w:r>
            </w:hyperlink>
          </w:p>
        </w:tc>
        <w:tc>
          <w:tcPr>
            <w:tcW w:w="456" w:type="dxa"/>
            <w:tcBorders/>
            <w:shd w:fill="EEEEEE" w:val="clear"/>
            <w:vAlign w:val="center"/>
          </w:tcPr>
          <w:p>
            <w:pPr>
              <w:pStyle w:val="TableContents"/>
              <w:bidi w:val="0"/>
              <w:spacing w:before="0" w:after="283"/>
              <w:jc w:val="center"/>
              <w:rPr>
                <w:sz w:val="20"/>
              </w:rPr>
            </w:pPr>
            <w:r>
              <w:rPr>
                <w:sz w:val="20"/>
              </w:rPr>
              <w:t>46</w:t>
            </w:r>
          </w:p>
        </w:tc>
      </w:tr>
      <w:tr>
        <w:trPr/>
        <w:tc>
          <w:tcPr>
            <w:tcW w:w="622" w:type="dxa"/>
            <w:tcBorders/>
            <w:shd w:fill="FFFFFF" w:val="clear"/>
            <w:vAlign w:val="center"/>
          </w:tcPr>
          <w:p>
            <w:pPr>
              <w:pStyle w:val="TableContents"/>
              <w:bidi w:val="0"/>
              <w:spacing w:before="0" w:after="283"/>
              <w:jc w:val="left"/>
              <w:rPr/>
            </w:pPr>
            <w:r>
              <w:rPr/>
              <w:t> </w:t>
            </w:r>
          </w:p>
        </w:tc>
        <w:tc>
          <w:tcPr>
            <w:tcW w:w="9127"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center"/>
              <w:rPr/>
            </w:pPr>
            <w:r>
              <w:rPr/>
              <w:t> </w:t>
            </w:r>
          </w:p>
        </w:tc>
      </w:tr>
      <w:tr>
        <w:trPr/>
        <w:tc>
          <w:tcPr>
            <w:tcW w:w="622" w:type="dxa"/>
            <w:tcBorders/>
            <w:shd w:fill="EEEEEE" w:val="clear"/>
            <w:vAlign w:val="center"/>
          </w:tcPr>
          <w:p>
            <w:pPr>
              <w:pStyle w:val="TableContents"/>
              <w:bidi w:val="0"/>
              <w:spacing w:before="0" w:after="283"/>
              <w:jc w:val="left"/>
              <w:rPr/>
            </w:pPr>
            <w:r>
              <w:rPr/>
              <w:t> </w:t>
            </w:r>
          </w:p>
        </w:tc>
        <w:tc>
          <w:tcPr>
            <w:tcW w:w="9127" w:type="dxa"/>
            <w:tcBorders/>
            <w:shd w:fill="EEEEEE" w:val="clear"/>
            <w:vAlign w:val="center"/>
          </w:tcPr>
          <w:p>
            <w:pPr>
              <w:pStyle w:val="TableContents"/>
              <w:bidi w:val="0"/>
              <w:spacing w:before="0" w:after="283"/>
              <w:jc w:val="left"/>
              <w:rPr/>
            </w:pPr>
            <w:hyperlink w:anchor="q3_017">
              <w:r>
                <w:rPr>
                  <w:rStyle w:val="InternetLink"/>
                  <w:sz w:val="20"/>
                </w:rPr>
                <w:t>Signatures</w:t>
              </w:r>
            </w:hyperlink>
          </w:p>
        </w:tc>
        <w:tc>
          <w:tcPr>
            <w:tcW w:w="456" w:type="dxa"/>
            <w:tcBorders/>
            <w:shd w:fill="EEEEEE"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8" w:name="q3_002"/>
      <w:bookmarkEnd w:id="28"/>
      <w:r>
        <w:rPr>
          <w:rFonts w:ascii="Times New Roman;Times;Serif" w:hAnsi="Times New Roman;Times;Serif"/>
          <w:b/>
          <w:i w:val="false"/>
          <w:caps w:val="false"/>
          <w:smallCaps w:val="false"/>
          <w:sz w:val="20"/>
        </w:rPr>
        <w:t>PART I —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9" w:name="q3_003"/>
      <w:bookmarkEnd w:id="29"/>
      <w:r>
        <w:rPr>
          <w:rFonts w:ascii="Times New Roman;Times;Serif" w:hAnsi="Times New Roman;Times;Serif"/>
          <w:b/>
          <w:i w:val="false"/>
          <w:caps w:val="false"/>
          <w:smallCaps w:val="false"/>
          <w:sz w:val="20"/>
        </w:rPr>
        <w:t xml:space="preserve">Item 1. </w:t>
      </w:r>
      <w:r>
        <w:rPr>
          <w:rFonts w:ascii="Times New Roman;Times;Serif" w:hAnsi="Times New Roman;Times;Serif"/>
          <w:b/>
          <w:i/>
          <w:caps w:val="false"/>
          <w:smallCaps w:val="false"/>
          <w:sz w:val="20"/>
        </w:rPr>
        <w:t>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CONSUMER PORTFOLIO SERVICES,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q3_004"/>
      <w:bookmarkEnd w:id="30"/>
      <w:r>
        <w:rPr>
          <w:rFonts w:ascii="Times New Roman;Times;Serif" w:hAnsi="Times New Roman;Times;Serif"/>
          <w:b/>
          <w:i w:val="false"/>
          <w:caps w:val="false"/>
          <w:smallCaps w:val="false"/>
          <w:sz w:val="20"/>
        </w:rPr>
        <w:t>UNAUDITED 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31" w:name="xdx_306_111_pn3n3_zwh8o70rETT4"/>
      <w:bookmarkStart w:id="32" w:name="xdx_306_111_pn3n3_zwh8o70rETT4"/>
      <w:bookmarkEnd w:id="32"/>
    </w:p>
    <w:tbl>
      <w:tblPr>
        <w:tblW w:w="10205" w:type="dxa"/>
        <w:jc w:val="left"/>
        <w:tblInd w:w="0" w:type="dxa"/>
        <w:tblLayout w:type="fixed"/>
        <w:tblCellMar>
          <w:top w:w="0" w:type="dxa"/>
          <w:left w:w="0" w:type="dxa"/>
          <w:bottom w:w="0" w:type="dxa"/>
          <w:right w:w="0" w:type="dxa"/>
        </w:tblCellMar>
      </w:tblPr>
      <w:tblGrid>
        <w:gridCol w:w="7410"/>
        <w:gridCol w:w="60"/>
        <w:gridCol w:w="155"/>
        <w:gridCol w:w="1089"/>
        <w:gridCol w:w="95"/>
        <w:gridCol w:w="60"/>
        <w:gridCol w:w="152"/>
        <w:gridCol w:w="1071"/>
        <w:gridCol w:w="113"/>
      </w:tblGrid>
      <w:tr>
        <w:trPr/>
        <w:tc>
          <w:tcPr>
            <w:tcW w:w="7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bookmarkStart w:id="33" w:name="xdx_493_20230930_z7NQgvTab4ge"/>
            <w:bookmarkEnd w:id="33"/>
          </w:p>
        </w:tc>
        <w:tc>
          <w:tcPr>
            <w:tcW w:w="1089"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bookmarkStart w:id="34" w:name="xdx_496_20221231"/>
            <w:bookmarkEnd w:id="34"/>
          </w:p>
        </w:tc>
        <w:tc>
          <w:tcPr>
            <w:tcW w:w="1071" w:type="dxa"/>
            <w:tcBorders/>
            <w:shd w:fill="FFFFFF" w:val="clear"/>
            <w:vAlign w:val="center"/>
          </w:tcPr>
          <w:p>
            <w:pPr>
              <w:pStyle w:val="TableContents"/>
              <w:bidi w:val="0"/>
              <w:spacing w:before="0" w:after="283"/>
              <w:jc w:val="center"/>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4" w:type="dxa"/>
            <w:gridSpan w:val="2"/>
            <w:tcBorders/>
            <w:vAlign w:val="center"/>
          </w:tcPr>
          <w:p>
            <w:pPr>
              <w:pStyle w:val="TableContents"/>
              <w:bidi w:val="0"/>
              <w:spacing w:before="0" w:after="283"/>
              <w:jc w:val="center"/>
              <w:rPr>
                <w:b/>
              </w:rPr>
            </w:pPr>
            <w:r>
              <w:rPr>
                <w:b/>
              </w:rP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3" w:type="dxa"/>
            <w:gridSpan w:val="2"/>
            <w:tcBorders/>
            <w:vAlign w:val="center"/>
          </w:tcPr>
          <w:p>
            <w:pPr>
              <w:pStyle w:val="TableContents"/>
              <w:bidi w:val="0"/>
              <w:spacing w:before="0" w:after="283"/>
              <w:jc w:val="center"/>
              <w:rPr>
                <w:b/>
              </w:rPr>
            </w:pPr>
            <w:r>
              <w:rPr>
                <w:b/>
              </w:rPr>
              <w:t>December 31,</w:t>
            </w:r>
          </w:p>
        </w:tc>
        <w:tc>
          <w:tcPr>
            <w:tcW w:w="113" w:type="dxa"/>
            <w:tcBorders/>
            <w:vAlign w:val="center"/>
          </w:tcPr>
          <w:p>
            <w:pPr>
              <w:pStyle w:val="TableContents"/>
              <w:bidi w:val="0"/>
              <w:spacing w:before="0" w:after="283"/>
              <w:jc w:val="left"/>
              <w:rPr/>
            </w:pPr>
            <w:r>
              <w:rPr/>
              <w:t> </w:t>
            </w:r>
          </w:p>
        </w:tc>
      </w:tr>
      <w:tr>
        <w:trPr/>
        <w:tc>
          <w:tcPr>
            <w:tcW w:w="7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13" w:type="dxa"/>
            <w:tcBorders/>
            <w:vAlign w:val="center"/>
          </w:tcPr>
          <w:p>
            <w:pPr>
              <w:pStyle w:val="TableContents"/>
              <w:bidi w:val="0"/>
              <w:spacing w:before="0" w:after="283"/>
              <w:jc w:val="left"/>
              <w:rPr/>
            </w:pPr>
            <w:r>
              <w:rPr/>
              <w:t> </w:t>
            </w:r>
            <w:bookmarkStart w:id="35" w:name="xdx_400_eus-gaap--AssetsAbstract_iB_zDm9"/>
            <w:bookmarkEnd w:id="35"/>
          </w:p>
        </w:tc>
      </w:tr>
      <w:tr>
        <w:trPr/>
        <w:tc>
          <w:tcPr>
            <w:tcW w:w="7410" w:type="dxa"/>
            <w:tcBorders/>
            <w:shd w:fill="EEEEEE" w:val="clear"/>
            <w:vAlign w:val="center"/>
          </w:tcPr>
          <w:p>
            <w:pPr>
              <w:pStyle w:val="TableContents"/>
              <w:bidi w:val="0"/>
              <w:spacing w:before="0" w:after="283"/>
              <w:jc w:val="left"/>
              <w:rPr>
                <w:b/>
              </w:rPr>
            </w:pPr>
            <w:r>
              <w:rPr>
                <w:b/>
              </w:rPr>
              <w:t>ASSETS</w:t>
            </w:r>
          </w:p>
        </w:tc>
        <w:tc>
          <w:tcPr>
            <w:tcW w:w="60" w:type="dxa"/>
            <w:tcBorders/>
            <w:shd w:fill="EEEEEE" w:val="clear"/>
            <w:vAlign w:val="center"/>
          </w:tcPr>
          <w:p>
            <w:pPr>
              <w:pStyle w:val="TableContents"/>
              <w:bidi w:val="0"/>
              <w:spacing w:before="0" w:after="283"/>
              <w:jc w:val="left"/>
              <w:rPr/>
            </w:pPr>
            <w:r>
              <w:rPr/>
              <w:t> </w:t>
            </w:r>
          </w:p>
        </w:tc>
        <w:tc>
          <w:tcPr>
            <w:tcW w:w="155" w:type="dxa"/>
            <w:tcBorders/>
            <w:shd w:fill="EEEEEE" w:val="clear"/>
            <w:vAlign w:val="center"/>
          </w:tcPr>
          <w:p>
            <w:pPr>
              <w:pStyle w:val="TableContents"/>
              <w:bidi w:val="0"/>
              <w:spacing w:before="0" w:after="283"/>
              <w:jc w:val="left"/>
              <w:rPr/>
            </w:pPr>
            <w:r>
              <w:rPr/>
              <w:t> </w:t>
            </w:r>
          </w:p>
        </w:tc>
        <w:tc>
          <w:tcPr>
            <w:tcW w:w="1089"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2" w:type="dxa"/>
            <w:tcBorders/>
            <w:shd w:fill="EEEEEE" w:val="clear"/>
            <w:vAlign w:val="center"/>
          </w:tcPr>
          <w:p>
            <w:pPr>
              <w:pStyle w:val="TableContents"/>
              <w:bidi w:val="0"/>
              <w:spacing w:before="0" w:after="283"/>
              <w:jc w:val="left"/>
              <w:rPr/>
            </w:pPr>
            <w:r>
              <w:rPr/>
              <w:t> </w:t>
            </w:r>
          </w:p>
        </w:tc>
        <w:tc>
          <w:tcPr>
            <w:tcW w:w="1071" w:type="dxa"/>
            <w:tcBorders/>
            <w:shd w:fill="EEEEEE" w:val="clear"/>
            <w:vAlign w:val="center"/>
          </w:tcPr>
          <w:p>
            <w:pPr>
              <w:pStyle w:val="TableContents"/>
              <w:bidi w:val="0"/>
              <w:spacing w:before="0" w:after="283"/>
              <w:jc w:val="right"/>
              <w:rPr/>
            </w:pPr>
            <w:r>
              <w:rPr/>
              <w:t> </w:t>
            </w:r>
          </w:p>
        </w:tc>
        <w:tc>
          <w:tcPr>
            <w:tcW w:w="113" w:type="dxa"/>
            <w:tcBorders/>
            <w:shd w:fill="EEEEEE" w:val="clear"/>
            <w:vAlign w:val="center"/>
          </w:tcPr>
          <w:p>
            <w:pPr>
              <w:pStyle w:val="TableContents"/>
              <w:bidi w:val="0"/>
              <w:spacing w:before="0" w:after="283"/>
              <w:jc w:val="left"/>
              <w:rPr/>
            </w:pPr>
            <w:r>
              <w:rPr/>
              <w:t> </w:t>
            </w:r>
            <w:bookmarkStart w:id="36" w:name="xdx_40B_eus-gaap--CashAndCashEquivalents"/>
            <w:bookmarkEnd w:id="36"/>
          </w:p>
        </w:tc>
      </w:tr>
      <w:tr>
        <w:trPr/>
        <w:tc>
          <w:tcPr>
            <w:tcW w:w="7410"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w:t>
            </w:r>
          </w:p>
        </w:tc>
        <w:tc>
          <w:tcPr>
            <w:tcW w:w="1089" w:type="dxa"/>
            <w:tcBorders/>
            <w:shd w:fill="FFFFFF" w:val="clear"/>
            <w:vAlign w:val="center"/>
          </w:tcPr>
          <w:p>
            <w:pPr>
              <w:pStyle w:val="TableContents"/>
              <w:bidi w:val="0"/>
              <w:spacing w:before="0" w:after="283"/>
              <w:jc w:val="right"/>
              <w:rPr/>
            </w:pPr>
            <w:r>
              <w:rPr/>
              <w:t>8,306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w:t>
            </w:r>
          </w:p>
        </w:tc>
        <w:tc>
          <w:tcPr>
            <w:tcW w:w="1071" w:type="dxa"/>
            <w:tcBorders/>
            <w:shd w:fill="FFFFFF" w:val="clear"/>
            <w:vAlign w:val="center"/>
          </w:tcPr>
          <w:p>
            <w:pPr>
              <w:pStyle w:val="TableContents"/>
              <w:bidi w:val="0"/>
              <w:spacing w:before="0" w:after="283"/>
              <w:jc w:val="right"/>
              <w:rPr/>
            </w:pPr>
            <w:r>
              <w:rPr/>
              <w:t>13,490</w:t>
            </w:r>
          </w:p>
        </w:tc>
        <w:tc>
          <w:tcPr>
            <w:tcW w:w="113" w:type="dxa"/>
            <w:tcBorders/>
            <w:shd w:fill="FFFFFF" w:val="clear"/>
            <w:vAlign w:val="center"/>
          </w:tcPr>
          <w:p>
            <w:pPr>
              <w:pStyle w:val="TableContents"/>
              <w:bidi w:val="0"/>
              <w:spacing w:before="0" w:after="283"/>
              <w:jc w:val="left"/>
              <w:rPr/>
            </w:pPr>
            <w:r>
              <w:rPr/>
              <w:t> </w:t>
            </w:r>
            <w:bookmarkStart w:id="37" w:name="xdx_40F_eus-gaap--RestrictedCashAndCashE"/>
            <w:bookmarkEnd w:id="37"/>
          </w:p>
        </w:tc>
      </w:tr>
      <w:tr>
        <w:trPr/>
        <w:tc>
          <w:tcPr>
            <w:tcW w:w="7410" w:type="dxa"/>
            <w:tcBorders/>
            <w:shd w:fill="EEEEEE" w:val="clear"/>
            <w:vAlign w:val="center"/>
          </w:tcPr>
          <w:p>
            <w:pPr>
              <w:pStyle w:val="TableContents"/>
              <w:bidi w:val="0"/>
              <w:spacing w:before="0" w:after="283"/>
              <w:jc w:val="left"/>
              <w:rPr/>
            </w:pPr>
            <w:r>
              <w:rPr/>
              <w:t>Restricted cash and equivalents</w:t>
            </w:r>
          </w:p>
        </w:tc>
        <w:tc>
          <w:tcPr>
            <w:tcW w:w="60" w:type="dxa"/>
            <w:tcBorders/>
            <w:shd w:fill="EEEEEE" w:val="clear"/>
            <w:vAlign w:val="center"/>
          </w:tcPr>
          <w:p>
            <w:pPr>
              <w:pStyle w:val="TableContents"/>
              <w:bidi w:val="0"/>
              <w:spacing w:before="0" w:after="283"/>
              <w:jc w:val="left"/>
              <w:rPr/>
            </w:pPr>
            <w:r>
              <w:rPr/>
              <w:t> </w:t>
            </w:r>
          </w:p>
        </w:tc>
        <w:tc>
          <w:tcPr>
            <w:tcW w:w="155" w:type="dxa"/>
            <w:tcBorders/>
            <w:shd w:fill="EEEEEE" w:val="clear"/>
            <w:vAlign w:val="center"/>
          </w:tcPr>
          <w:p>
            <w:pPr>
              <w:pStyle w:val="TableContents"/>
              <w:bidi w:val="0"/>
              <w:spacing w:before="0" w:after="283"/>
              <w:jc w:val="left"/>
              <w:rPr/>
            </w:pPr>
            <w:r>
              <w:rPr/>
              <w:t> </w:t>
            </w:r>
          </w:p>
        </w:tc>
        <w:tc>
          <w:tcPr>
            <w:tcW w:w="1089" w:type="dxa"/>
            <w:tcBorders/>
            <w:shd w:fill="EEEEEE" w:val="clear"/>
            <w:vAlign w:val="center"/>
          </w:tcPr>
          <w:p>
            <w:pPr>
              <w:pStyle w:val="TableContents"/>
              <w:bidi w:val="0"/>
              <w:spacing w:before="0" w:after="283"/>
              <w:jc w:val="right"/>
              <w:rPr/>
            </w:pPr>
            <w:r>
              <w:rPr/>
              <w:t>133,787</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2" w:type="dxa"/>
            <w:tcBorders/>
            <w:shd w:fill="EEEEEE" w:val="clear"/>
            <w:vAlign w:val="center"/>
          </w:tcPr>
          <w:p>
            <w:pPr>
              <w:pStyle w:val="TableContents"/>
              <w:bidi w:val="0"/>
              <w:spacing w:before="0" w:after="283"/>
              <w:jc w:val="left"/>
              <w:rPr/>
            </w:pPr>
            <w:r>
              <w:rPr/>
              <w:t> </w:t>
            </w:r>
          </w:p>
        </w:tc>
        <w:tc>
          <w:tcPr>
            <w:tcW w:w="1071" w:type="dxa"/>
            <w:tcBorders/>
            <w:shd w:fill="EEEEEE" w:val="clear"/>
            <w:vAlign w:val="center"/>
          </w:tcPr>
          <w:p>
            <w:pPr>
              <w:pStyle w:val="TableContents"/>
              <w:bidi w:val="0"/>
              <w:spacing w:before="0" w:after="283"/>
              <w:jc w:val="right"/>
              <w:rPr/>
            </w:pPr>
            <w:r>
              <w:rPr/>
              <w:t>149,299</w:t>
            </w:r>
          </w:p>
        </w:tc>
        <w:tc>
          <w:tcPr>
            <w:tcW w:w="113" w:type="dxa"/>
            <w:tcBorders/>
            <w:shd w:fill="EEEEEE" w:val="clear"/>
            <w:vAlign w:val="center"/>
          </w:tcPr>
          <w:p>
            <w:pPr>
              <w:pStyle w:val="TableContents"/>
              <w:bidi w:val="0"/>
              <w:spacing w:before="0" w:after="283"/>
              <w:jc w:val="left"/>
              <w:rPr/>
            </w:pPr>
            <w:r>
              <w:rPr/>
              <w:t> </w:t>
            </w:r>
            <w:bookmarkStart w:id="38" w:name="xdx_405_eus-gaap--LoansReceivableFairVal"/>
            <w:bookmarkEnd w:id="38"/>
          </w:p>
        </w:tc>
      </w:tr>
      <w:tr>
        <w:trPr/>
        <w:tc>
          <w:tcPr>
            <w:tcW w:w="7410" w:type="dxa"/>
            <w:tcBorders/>
            <w:shd w:fill="FFFFFF" w:val="clear"/>
            <w:vAlign w:val="center"/>
          </w:tcPr>
          <w:p>
            <w:pPr>
              <w:pStyle w:val="TableContents"/>
              <w:bidi w:val="0"/>
              <w:spacing w:before="0" w:after="283"/>
              <w:jc w:val="left"/>
              <w:rPr/>
            </w:pPr>
            <w:r>
              <w:rPr/>
              <w:t>Finance receivables measured at fair value</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2,671,540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2,476,617</w:t>
            </w:r>
          </w:p>
        </w:tc>
        <w:tc>
          <w:tcPr>
            <w:tcW w:w="113" w:type="dxa"/>
            <w:tcBorders/>
            <w:shd w:fill="FFFFFF" w:val="clear"/>
            <w:vAlign w:val="center"/>
          </w:tcPr>
          <w:p>
            <w:pPr>
              <w:pStyle w:val="TableContents"/>
              <w:bidi w:val="0"/>
              <w:spacing w:before="0" w:after="283"/>
              <w:jc w:val="left"/>
              <w:rPr/>
            </w:pPr>
            <w:r>
              <w:rPr/>
              <w:t> </w:t>
            </w:r>
          </w:p>
        </w:tc>
      </w:tr>
      <w:tr>
        <w:trPr/>
        <w:tc>
          <w:tcPr>
            <w:tcW w:w="741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5" w:type="dxa"/>
            <w:tcBorders/>
            <w:shd w:fill="EEEEEE" w:val="clear"/>
            <w:vAlign w:val="center"/>
          </w:tcPr>
          <w:p>
            <w:pPr>
              <w:pStyle w:val="TableContents"/>
              <w:bidi w:val="0"/>
              <w:spacing w:before="0" w:after="283"/>
              <w:jc w:val="left"/>
              <w:rPr/>
            </w:pPr>
            <w:r>
              <w:rPr/>
              <w:t> </w:t>
            </w:r>
          </w:p>
        </w:tc>
        <w:tc>
          <w:tcPr>
            <w:tcW w:w="1089"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2" w:type="dxa"/>
            <w:tcBorders/>
            <w:shd w:fill="EEEEEE" w:val="clear"/>
            <w:vAlign w:val="center"/>
          </w:tcPr>
          <w:p>
            <w:pPr>
              <w:pStyle w:val="TableContents"/>
              <w:bidi w:val="0"/>
              <w:spacing w:before="0" w:after="283"/>
              <w:jc w:val="left"/>
              <w:rPr/>
            </w:pPr>
            <w:r>
              <w:rPr/>
              <w:t> </w:t>
            </w:r>
          </w:p>
        </w:tc>
        <w:tc>
          <w:tcPr>
            <w:tcW w:w="1071" w:type="dxa"/>
            <w:tcBorders/>
            <w:shd w:fill="EEEEEE" w:val="clear"/>
            <w:vAlign w:val="center"/>
          </w:tcPr>
          <w:p>
            <w:pPr>
              <w:pStyle w:val="TableContents"/>
              <w:bidi w:val="0"/>
              <w:spacing w:before="0" w:after="283"/>
              <w:jc w:val="right"/>
              <w:rPr/>
            </w:pPr>
            <w:r>
              <w:rPr/>
              <w:t> </w:t>
            </w:r>
          </w:p>
        </w:tc>
        <w:tc>
          <w:tcPr>
            <w:tcW w:w="113" w:type="dxa"/>
            <w:tcBorders/>
            <w:shd w:fill="EEEEEE" w:val="clear"/>
            <w:vAlign w:val="center"/>
          </w:tcPr>
          <w:p>
            <w:pPr>
              <w:pStyle w:val="TableContents"/>
              <w:bidi w:val="0"/>
              <w:spacing w:before="0" w:after="283"/>
              <w:jc w:val="left"/>
              <w:rPr/>
            </w:pPr>
            <w:r>
              <w:rPr/>
              <w:t> </w:t>
            </w:r>
            <w:bookmarkStart w:id="39" w:name="xdx_404_eus-gaap--NotesAndLoansReceivabl"/>
            <w:bookmarkEnd w:id="39"/>
          </w:p>
        </w:tc>
      </w:tr>
      <w:tr>
        <w:trPr/>
        <w:tc>
          <w:tcPr>
            <w:tcW w:w="7410" w:type="dxa"/>
            <w:tcBorders/>
            <w:shd w:fill="FFFFFF" w:val="clear"/>
            <w:vAlign w:val="center"/>
          </w:tcPr>
          <w:p>
            <w:pPr>
              <w:pStyle w:val="TableContents"/>
              <w:bidi w:val="0"/>
              <w:spacing w:before="0" w:after="283"/>
              <w:jc w:val="left"/>
              <w:rPr/>
            </w:pPr>
            <w:r>
              <w:rPr/>
              <w:t>Finance receivables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38,493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92,304</w:t>
            </w:r>
          </w:p>
        </w:tc>
        <w:tc>
          <w:tcPr>
            <w:tcW w:w="113" w:type="dxa"/>
            <w:tcBorders/>
            <w:shd w:fill="FFFFFF" w:val="clear"/>
            <w:vAlign w:val="center"/>
          </w:tcPr>
          <w:p>
            <w:pPr>
              <w:pStyle w:val="TableContents"/>
              <w:bidi w:val="0"/>
              <w:spacing w:before="0" w:after="283"/>
              <w:jc w:val="left"/>
              <w:rPr/>
            </w:pPr>
            <w:r>
              <w:rPr/>
              <w:t> </w:t>
            </w:r>
            <w:bookmarkStart w:id="40" w:name="xdx_40D_eus-gaap--FinancingReceivableAll"/>
            <w:bookmarkEnd w:id="40"/>
          </w:p>
        </w:tc>
      </w:tr>
      <w:tr>
        <w:trPr/>
        <w:tc>
          <w:tcPr>
            <w:tcW w:w="7410" w:type="dxa"/>
            <w:tcBorders/>
            <w:shd w:fill="EEEEEE" w:val="clear"/>
            <w:vAlign w:val="center"/>
          </w:tcPr>
          <w:p>
            <w:pPr>
              <w:pStyle w:val="TableContents"/>
              <w:bidi w:val="0"/>
              <w:spacing w:before="0" w:after="283"/>
              <w:jc w:val="left"/>
              <w:rPr/>
            </w:pPr>
            <w:r>
              <w:rPr/>
              <w:t>Less: Allowance for finance credit losses</w:t>
            </w:r>
          </w:p>
        </w:tc>
        <w:tc>
          <w:tcPr>
            <w:tcW w:w="60" w:type="dxa"/>
            <w:tcBorders/>
            <w:shd w:fill="EEEEEE" w:val="clear"/>
            <w:vAlign w:val="center"/>
          </w:tcPr>
          <w:p>
            <w:pPr>
              <w:pStyle w:val="TableContents"/>
              <w:bidi w:val="0"/>
              <w:spacing w:before="0" w:after="283"/>
              <w:jc w:val="left"/>
              <w:rPr/>
            </w:pPr>
            <w:r>
              <w:rPr/>
              <w:t> </w:t>
            </w:r>
          </w:p>
        </w:tc>
        <w:tc>
          <w:tcPr>
            <w:tcW w:w="15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89" w:type="dxa"/>
            <w:tcBorders>
              <w:bottom w:val="single" w:sz="8" w:space="0" w:color="000000"/>
            </w:tcBorders>
            <w:shd w:fill="EEEEEE" w:val="clear"/>
            <w:tcMar>
              <w:bottom w:w="28" w:type="dxa"/>
            </w:tcMar>
            <w:vAlign w:val="center"/>
          </w:tcPr>
          <w:p>
            <w:pPr>
              <w:pStyle w:val="TableContents"/>
              <w:bidi w:val="0"/>
              <w:spacing w:before="0" w:after="283"/>
              <w:jc w:val="right"/>
              <w:rPr/>
            </w:pPr>
            <w:r>
              <w:rPr/>
              <w:t>(4,228</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52"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71" w:type="dxa"/>
            <w:tcBorders>
              <w:bottom w:val="single" w:sz="8" w:space="0" w:color="000000"/>
            </w:tcBorders>
            <w:shd w:fill="EEEEEE" w:val="clear"/>
            <w:tcMar>
              <w:bottom w:w="28" w:type="dxa"/>
            </w:tcMar>
            <w:vAlign w:val="center"/>
          </w:tcPr>
          <w:p>
            <w:pPr>
              <w:pStyle w:val="TableContents"/>
              <w:bidi w:val="0"/>
              <w:spacing w:before="0" w:after="283"/>
              <w:jc w:val="right"/>
              <w:rPr/>
            </w:pPr>
            <w:r>
              <w:rPr/>
              <w:t>(21,753</w:t>
            </w:r>
          </w:p>
        </w:tc>
        <w:tc>
          <w:tcPr>
            <w:tcW w:w="113" w:type="dxa"/>
            <w:tcBorders/>
            <w:shd w:fill="EEEEEE" w:val="clear"/>
            <w:vAlign w:val="center"/>
          </w:tcPr>
          <w:p>
            <w:pPr>
              <w:pStyle w:val="TableContents"/>
              <w:bidi w:val="0"/>
              <w:spacing w:before="0" w:after="283"/>
              <w:jc w:val="left"/>
              <w:rPr/>
            </w:pPr>
            <w:r>
              <w:rPr/>
              <w:t>)</w:t>
            </w:r>
            <w:bookmarkStart w:id="41" w:name="xdx_40C_eus-gaap--NotesAndLoansReceivabl"/>
            <w:bookmarkEnd w:id="41"/>
          </w:p>
        </w:tc>
      </w:tr>
      <w:tr>
        <w:trPr/>
        <w:tc>
          <w:tcPr>
            <w:tcW w:w="7410" w:type="dxa"/>
            <w:tcBorders/>
            <w:shd w:fill="FFFFFF" w:val="clear"/>
            <w:vAlign w:val="center"/>
          </w:tcPr>
          <w:p>
            <w:pPr>
              <w:pStyle w:val="TableContents"/>
              <w:bidi w:val="0"/>
              <w:spacing w:before="0" w:after="283"/>
              <w:jc w:val="left"/>
              <w:rPr/>
            </w:pPr>
            <w:r>
              <w:rPr/>
              <w:t>Finance receivables, net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34,265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70,551</w:t>
            </w:r>
          </w:p>
        </w:tc>
        <w:tc>
          <w:tcPr>
            <w:tcW w:w="113" w:type="dxa"/>
            <w:tcBorders/>
            <w:shd w:fill="FFFFFF" w:val="clear"/>
            <w:vAlign w:val="center"/>
          </w:tcPr>
          <w:p>
            <w:pPr>
              <w:pStyle w:val="TableContents"/>
              <w:bidi w:val="0"/>
              <w:spacing w:before="0" w:after="283"/>
              <w:jc w:val="left"/>
              <w:rPr/>
            </w:pPr>
            <w:r>
              <w:rPr/>
              <w:t> </w:t>
            </w:r>
          </w:p>
        </w:tc>
      </w:tr>
      <w:tr>
        <w:trPr/>
        <w:tc>
          <w:tcPr>
            <w:tcW w:w="741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5" w:type="dxa"/>
            <w:tcBorders/>
            <w:shd w:fill="EEEEEE" w:val="clear"/>
            <w:vAlign w:val="center"/>
          </w:tcPr>
          <w:p>
            <w:pPr>
              <w:pStyle w:val="TableContents"/>
              <w:bidi w:val="0"/>
              <w:spacing w:before="0" w:after="283"/>
              <w:jc w:val="left"/>
              <w:rPr/>
            </w:pPr>
            <w:r>
              <w:rPr/>
              <w:t> </w:t>
            </w:r>
          </w:p>
        </w:tc>
        <w:tc>
          <w:tcPr>
            <w:tcW w:w="1089"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2" w:type="dxa"/>
            <w:tcBorders/>
            <w:shd w:fill="EEEEEE" w:val="clear"/>
            <w:vAlign w:val="center"/>
          </w:tcPr>
          <w:p>
            <w:pPr>
              <w:pStyle w:val="TableContents"/>
              <w:bidi w:val="0"/>
              <w:spacing w:before="0" w:after="283"/>
              <w:jc w:val="left"/>
              <w:rPr/>
            </w:pPr>
            <w:r>
              <w:rPr/>
              <w:t> </w:t>
            </w:r>
          </w:p>
        </w:tc>
        <w:tc>
          <w:tcPr>
            <w:tcW w:w="1071" w:type="dxa"/>
            <w:tcBorders/>
            <w:shd w:fill="EEEEEE" w:val="clear"/>
            <w:vAlign w:val="center"/>
          </w:tcPr>
          <w:p>
            <w:pPr>
              <w:pStyle w:val="TableContents"/>
              <w:bidi w:val="0"/>
              <w:spacing w:before="0" w:after="283"/>
              <w:jc w:val="right"/>
              <w:rPr/>
            </w:pPr>
            <w:r>
              <w:rPr/>
              <w:t> </w:t>
            </w:r>
          </w:p>
        </w:tc>
        <w:tc>
          <w:tcPr>
            <w:tcW w:w="113" w:type="dxa"/>
            <w:tcBorders/>
            <w:shd w:fill="EEEEEE" w:val="clear"/>
            <w:vAlign w:val="center"/>
          </w:tcPr>
          <w:p>
            <w:pPr>
              <w:pStyle w:val="TableContents"/>
              <w:bidi w:val="0"/>
              <w:spacing w:before="0" w:after="283"/>
              <w:jc w:val="left"/>
              <w:rPr/>
            </w:pPr>
            <w:r>
              <w:rPr/>
              <w:t> </w:t>
            </w:r>
            <w:bookmarkStart w:id="42" w:name="xdx_401_eus-gaap--PropertyPlantAndEquipm"/>
            <w:bookmarkEnd w:id="42"/>
          </w:p>
        </w:tc>
      </w:tr>
      <w:tr>
        <w:trPr/>
        <w:tc>
          <w:tcPr>
            <w:tcW w:w="7410" w:type="dxa"/>
            <w:tcBorders/>
            <w:shd w:fill="FFFFFF" w:val="clear"/>
            <w:vAlign w:val="center"/>
          </w:tcPr>
          <w:p>
            <w:pPr>
              <w:pStyle w:val="TableContents"/>
              <w:bidi w:val="0"/>
              <w:spacing w:before="0" w:after="283"/>
              <w:jc w:val="left"/>
              <w:rPr/>
            </w:pPr>
            <w:r>
              <w:rPr/>
              <w:t>Furniture and equipment, net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1,295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1,660</w:t>
            </w:r>
          </w:p>
        </w:tc>
        <w:tc>
          <w:tcPr>
            <w:tcW w:w="113" w:type="dxa"/>
            <w:tcBorders/>
            <w:shd w:fill="FFFFFF" w:val="clear"/>
            <w:vAlign w:val="center"/>
          </w:tcPr>
          <w:p>
            <w:pPr>
              <w:pStyle w:val="TableContents"/>
              <w:bidi w:val="0"/>
              <w:spacing w:before="0" w:after="283"/>
              <w:jc w:val="left"/>
              <w:rPr/>
            </w:pPr>
            <w:r>
              <w:rPr/>
              <w:t> </w:t>
            </w:r>
            <w:bookmarkStart w:id="43" w:name="xdx_40E_eus-gaap--DeferredIncomeTaxAsset"/>
            <w:bookmarkEnd w:id="43"/>
          </w:p>
        </w:tc>
      </w:tr>
      <w:tr>
        <w:trPr/>
        <w:tc>
          <w:tcPr>
            <w:tcW w:w="7410" w:type="dxa"/>
            <w:tcBorders/>
            <w:shd w:fill="EEEEEE" w:val="clear"/>
            <w:vAlign w:val="center"/>
          </w:tcPr>
          <w:p>
            <w:pPr>
              <w:pStyle w:val="TableContents"/>
              <w:bidi w:val="0"/>
              <w:spacing w:before="0" w:after="283"/>
              <w:jc w:val="left"/>
              <w:rPr/>
            </w:pPr>
            <w:r>
              <w:rPr/>
              <w:t>Deferred tax assets, net</w:t>
            </w:r>
          </w:p>
        </w:tc>
        <w:tc>
          <w:tcPr>
            <w:tcW w:w="60" w:type="dxa"/>
            <w:tcBorders/>
            <w:shd w:fill="EEEEEE" w:val="clear"/>
            <w:vAlign w:val="center"/>
          </w:tcPr>
          <w:p>
            <w:pPr>
              <w:pStyle w:val="TableContents"/>
              <w:bidi w:val="0"/>
              <w:spacing w:before="0" w:after="283"/>
              <w:jc w:val="left"/>
              <w:rPr/>
            </w:pPr>
            <w:r>
              <w:rPr/>
              <w:t> </w:t>
            </w:r>
          </w:p>
        </w:tc>
        <w:tc>
          <w:tcPr>
            <w:tcW w:w="155" w:type="dxa"/>
            <w:tcBorders/>
            <w:shd w:fill="EEEEEE" w:val="clear"/>
            <w:vAlign w:val="center"/>
          </w:tcPr>
          <w:p>
            <w:pPr>
              <w:pStyle w:val="TableContents"/>
              <w:bidi w:val="0"/>
              <w:spacing w:before="0" w:after="283"/>
              <w:jc w:val="left"/>
              <w:rPr/>
            </w:pPr>
            <w:r>
              <w:rPr/>
              <w:t> </w:t>
            </w:r>
          </w:p>
        </w:tc>
        <w:tc>
          <w:tcPr>
            <w:tcW w:w="1089" w:type="dxa"/>
            <w:tcBorders/>
            <w:shd w:fill="EEEEEE" w:val="clear"/>
            <w:vAlign w:val="center"/>
          </w:tcPr>
          <w:p>
            <w:pPr>
              <w:pStyle w:val="TableContents"/>
              <w:bidi w:val="0"/>
              <w:spacing w:before="0" w:after="283"/>
              <w:jc w:val="right"/>
              <w:rPr/>
            </w:pPr>
            <w:r>
              <w:rPr/>
              <w:t>5,763</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2" w:type="dxa"/>
            <w:tcBorders/>
            <w:shd w:fill="EEEEEE" w:val="clear"/>
            <w:vAlign w:val="center"/>
          </w:tcPr>
          <w:p>
            <w:pPr>
              <w:pStyle w:val="TableContents"/>
              <w:bidi w:val="0"/>
              <w:spacing w:before="0" w:after="283"/>
              <w:jc w:val="left"/>
              <w:rPr/>
            </w:pPr>
            <w:r>
              <w:rPr/>
              <w:t> </w:t>
            </w:r>
          </w:p>
        </w:tc>
        <w:tc>
          <w:tcPr>
            <w:tcW w:w="1071" w:type="dxa"/>
            <w:tcBorders/>
            <w:shd w:fill="EEEEEE" w:val="clear"/>
            <w:vAlign w:val="center"/>
          </w:tcPr>
          <w:p>
            <w:pPr>
              <w:pStyle w:val="TableContents"/>
              <w:bidi w:val="0"/>
              <w:spacing w:before="0" w:after="283"/>
              <w:jc w:val="right"/>
              <w:rPr/>
            </w:pPr>
            <w:r>
              <w:rPr/>
              <w:t>10,177</w:t>
            </w:r>
          </w:p>
        </w:tc>
        <w:tc>
          <w:tcPr>
            <w:tcW w:w="113" w:type="dxa"/>
            <w:tcBorders/>
            <w:shd w:fill="EEEEEE" w:val="clear"/>
            <w:vAlign w:val="center"/>
          </w:tcPr>
          <w:p>
            <w:pPr>
              <w:pStyle w:val="TableContents"/>
              <w:bidi w:val="0"/>
              <w:spacing w:before="0" w:after="283"/>
              <w:jc w:val="left"/>
              <w:rPr/>
            </w:pPr>
            <w:r>
              <w:rPr/>
              <w:t> </w:t>
            </w:r>
            <w:bookmarkStart w:id="44" w:name="xdx_408_eus-gaap--OtherAssetsNoncurrent_"/>
            <w:bookmarkEnd w:id="44"/>
          </w:p>
        </w:tc>
      </w:tr>
      <w:tr>
        <w:trPr/>
        <w:tc>
          <w:tcPr>
            <w:tcW w:w="7410"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9" w:type="dxa"/>
            <w:tcBorders>
              <w:bottom w:val="single" w:sz="8" w:space="0" w:color="000000"/>
            </w:tcBorders>
            <w:shd w:fill="FFFFFF" w:val="clear"/>
            <w:tcMar>
              <w:bottom w:w="28" w:type="dxa"/>
            </w:tcMar>
            <w:vAlign w:val="center"/>
          </w:tcPr>
          <w:p>
            <w:pPr>
              <w:pStyle w:val="TableContents"/>
              <w:bidi w:val="0"/>
              <w:spacing w:before="0" w:after="283"/>
              <w:jc w:val="right"/>
              <w:rPr/>
            </w:pPr>
            <w:r>
              <w:rPr/>
              <w:t>25,892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1" w:type="dxa"/>
            <w:tcBorders>
              <w:bottom w:val="single" w:sz="8" w:space="0" w:color="000000"/>
            </w:tcBorders>
            <w:shd w:fill="FFFFFF" w:val="clear"/>
            <w:tcMar>
              <w:bottom w:w="28" w:type="dxa"/>
            </w:tcMar>
            <w:vAlign w:val="center"/>
          </w:tcPr>
          <w:p>
            <w:pPr>
              <w:pStyle w:val="TableContents"/>
              <w:bidi w:val="0"/>
              <w:spacing w:before="0" w:after="283"/>
              <w:jc w:val="right"/>
              <w:rPr/>
            </w:pPr>
            <w:r>
              <w:rPr/>
              <w:t>30,974</w:t>
            </w:r>
          </w:p>
        </w:tc>
        <w:tc>
          <w:tcPr>
            <w:tcW w:w="113" w:type="dxa"/>
            <w:tcBorders/>
            <w:shd w:fill="FFFFFF" w:val="clear"/>
            <w:vAlign w:val="center"/>
          </w:tcPr>
          <w:p>
            <w:pPr>
              <w:pStyle w:val="TableContents"/>
              <w:bidi w:val="0"/>
              <w:spacing w:before="0" w:after="283"/>
              <w:jc w:val="left"/>
              <w:rPr/>
            </w:pPr>
            <w:r>
              <w:rPr/>
              <w:t> </w:t>
            </w:r>
            <w:bookmarkStart w:id="45" w:name="xdx_402_eus-gaap--Assets_i01TI_pn3n3_mtC"/>
            <w:bookmarkEnd w:id="45"/>
          </w:p>
        </w:tc>
      </w:tr>
      <w:tr>
        <w:trPr/>
        <w:tc>
          <w:tcPr>
            <w:tcW w:w="7410" w:type="dxa"/>
            <w:tcBorders/>
            <w:shd w:fill="EEEEEE" w:val="clear"/>
            <w:vAlign w:val="center"/>
          </w:tcPr>
          <w:p>
            <w:pPr>
              <w:pStyle w:val="TableContents"/>
              <w:bidi w:val="0"/>
              <w:spacing w:before="0" w:after="283"/>
              <w:jc w:val="left"/>
              <w:rPr/>
            </w:pPr>
            <w:r>
              <w:rPr/>
              <w:t> </w:t>
            </w:r>
            <w:r>
              <w:rPr>
                <w:b/>
              </w:rPr>
              <w:t>Total Assets</w:t>
            </w:r>
          </w:p>
        </w:tc>
        <w:tc>
          <w:tcPr>
            <w:tcW w:w="60" w:type="dxa"/>
            <w:tcBorders/>
            <w:shd w:fill="EEEEEE" w:val="clear"/>
            <w:vAlign w:val="center"/>
          </w:tcPr>
          <w:p>
            <w:pPr>
              <w:pStyle w:val="TableContents"/>
              <w:bidi w:val="0"/>
              <w:spacing w:before="0" w:after="283"/>
              <w:jc w:val="left"/>
              <w:rPr/>
            </w:pPr>
            <w:r>
              <w:rPr/>
              <w:t> </w:t>
            </w:r>
          </w:p>
        </w:tc>
        <w:tc>
          <w:tcPr>
            <w:tcW w:w="155"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089" w:type="dxa"/>
            <w:tcBorders>
              <w:bottom w:val="double" w:sz="6" w:space="0" w:color="000000"/>
            </w:tcBorders>
            <w:shd w:fill="EEEEEE" w:val="clear"/>
            <w:tcMar>
              <w:bottom w:w="28" w:type="dxa"/>
            </w:tcMar>
            <w:vAlign w:val="center"/>
          </w:tcPr>
          <w:p>
            <w:pPr>
              <w:pStyle w:val="TableContents"/>
              <w:bidi w:val="0"/>
              <w:spacing w:before="0" w:after="283"/>
              <w:jc w:val="right"/>
              <w:rPr/>
            </w:pPr>
            <w:r>
              <w:rPr/>
              <w:t>2,880,848</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2"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071" w:type="dxa"/>
            <w:tcBorders>
              <w:bottom w:val="double" w:sz="6" w:space="0" w:color="000000"/>
            </w:tcBorders>
            <w:shd w:fill="EEEEEE" w:val="clear"/>
            <w:tcMar>
              <w:bottom w:w="28" w:type="dxa"/>
            </w:tcMar>
            <w:vAlign w:val="center"/>
          </w:tcPr>
          <w:p>
            <w:pPr>
              <w:pStyle w:val="TableContents"/>
              <w:bidi w:val="0"/>
              <w:spacing w:before="0" w:after="283"/>
              <w:jc w:val="right"/>
              <w:rPr/>
            </w:pPr>
            <w:r>
              <w:rPr/>
              <w:t>2,752,768</w:t>
            </w:r>
          </w:p>
        </w:tc>
        <w:tc>
          <w:tcPr>
            <w:tcW w:w="113" w:type="dxa"/>
            <w:tcBorders/>
            <w:shd w:fill="EEEEEE" w:val="clear"/>
            <w:vAlign w:val="center"/>
          </w:tcPr>
          <w:p>
            <w:pPr>
              <w:pStyle w:val="TableContents"/>
              <w:bidi w:val="0"/>
              <w:spacing w:before="0" w:after="283"/>
              <w:jc w:val="left"/>
              <w:rPr/>
            </w:pPr>
            <w:r>
              <w:rPr/>
              <w:t> </w:t>
            </w:r>
          </w:p>
        </w:tc>
      </w:tr>
      <w:tr>
        <w:trPr/>
        <w:tc>
          <w:tcPr>
            <w:tcW w:w="7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46" w:name="xdx_403_eus-gaap--LiabilitiesAndStockhol"/>
            <w:bookmarkEnd w:id="46"/>
          </w:p>
        </w:tc>
      </w:tr>
      <w:tr>
        <w:trPr/>
        <w:tc>
          <w:tcPr>
            <w:tcW w:w="7410" w:type="dxa"/>
            <w:tcBorders/>
            <w:shd w:fill="EEEEEE" w:val="clear"/>
            <w:vAlign w:val="center"/>
          </w:tcPr>
          <w:p>
            <w:pPr>
              <w:pStyle w:val="TableContents"/>
              <w:bidi w:val="0"/>
              <w:spacing w:before="0" w:after="283"/>
              <w:jc w:val="left"/>
              <w:rPr>
                <w:b/>
              </w:rPr>
            </w:pPr>
            <w:r>
              <w:rPr>
                <w:b/>
              </w:rPr>
              <w:t>LIABILITIES AND SHAREHOLDERS' EQUITY</w:t>
            </w:r>
          </w:p>
        </w:tc>
        <w:tc>
          <w:tcPr>
            <w:tcW w:w="60" w:type="dxa"/>
            <w:tcBorders/>
            <w:shd w:fill="EEEEEE" w:val="clear"/>
            <w:vAlign w:val="center"/>
          </w:tcPr>
          <w:p>
            <w:pPr>
              <w:pStyle w:val="TableContents"/>
              <w:bidi w:val="0"/>
              <w:spacing w:before="0" w:after="283"/>
              <w:jc w:val="left"/>
              <w:rPr/>
            </w:pPr>
            <w:r>
              <w:rPr/>
              <w:t> </w:t>
            </w:r>
          </w:p>
        </w:tc>
        <w:tc>
          <w:tcPr>
            <w:tcW w:w="155" w:type="dxa"/>
            <w:tcBorders/>
            <w:shd w:fill="EEEEEE" w:val="clear"/>
            <w:vAlign w:val="center"/>
          </w:tcPr>
          <w:p>
            <w:pPr>
              <w:pStyle w:val="TableContents"/>
              <w:bidi w:val="0"/>
              <w:spacing w:before="0" w:after="283"/>
              <w:jc w:val="left"/>
              <w:rPr/>
            </w:pPr>
            <w:r>
              <w:rPr/>
              <w:t> </w:t>
            </w:r>
          </w:p>
        </w:tc>
        <w:tc>
          <w:tcPr>
            <w:tcW w:w="1089"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2" w:type="dxa"/>
            <w:tcBorders/>
            <w:shd w:fill="EEEEEE" w:val="clear"/>
            <w:vAlign w:val="center"/>
          </w:tcPr>
          <w:p>
            <w:pPr>
              <w:pStyle w:val="TableContents"/>
              <w:bidi w:val="0"/>
              <w:spacing w:before="0" w:after="283"/>
              <w:jc w:val="left"/>
              <w:rPr/>
            </w:pPr>
            <w:r>
              <w:rPr/>
              <w:t> </w:t>
            </w:r>
          </w:p>
        </w:tc>
        <w:tc>
          <w:tcPr>
            <w:tcW w:w="1071" w:type="dxa"/>
            <w:tcBorders/>
            <w:shd w:fill="EEEEEE" w:val="clear"/>
            <w:vAlign w:val="center"/>
          </w:tcPr>
          <w:p>
            <w:pPr>
              <w:pStyle w:val="TableContents"/>
              <w:bidi w:val="0"/>
              <w:spacing w:before="0" w:after="283"/>
              <w:jc w:val="right"/>
              <w:rPr/>
            </w:pPr>
            <w:r>
              <w:rPr/>
              <w:t> </w:t>
            </w:r>
          </w:p>
        </w:tc>
        <w:tc>
          <w:tcPr>
            <w:tcW w:w="113" w:type="dxa"/>
            <w:tcBorders/>
            <w:shd w:fill="EEEEEE" w:val="clear"/>
            <w:vAlign w:val="center"/>
          </w:tcPr>
          <w:p>
            <w:pPr>
              <w:pStyle w:val="TableContents"/>
              <w:bidi w:val="0"/>
              <w:spacing w:before="0" w:after="283"/>
              <w:jc w:val="left"/>
              <w:rPr/>
            </w:pPr>
            <w:r>
              <w:rPr/>
              <w:t> </w:t>
            </w:r>
            <w:bookmarkStart w:id="47" w:name="xdx_40F_eus-gaap--LiabilitiesAbstract_i0"/>
            <w:bookmarkEnd w:id="47"/>
          </w:p>
        </w:tc>
      </w:tr>
      <w:tr>
        <w:trPr/>
        <w:tc>
          <w:tcPr>
            <w:tcW w:w="7410" w:type="dxa"/>
            <w:tcBorders/>
            <w:shd w:fill="FFFFFF" w:val="clear"/>
            <w:vAlign w:val="center"/>
          </w:tcPr>
          <w:p>
            <w:pPr>
              <w:pStyle w:val="TableContents"/>
              <w:bidi w:val="0"/>
              <w:spacing w:before="0" w:after="283"/>
              <w:jc w:val="left"/>
              <w:rPr>
                <w:b/>
              </w:rPr>
            </w:pPr>
            <w:r>
              <w:rPr>
                <w:b/>
              </w:rPr>
              <w:t>Liabilities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48" w:name="xdx_402_eus-gaap--AccountsPayableAndAccr"/>
            <w:bookmarkEnd w:id="48"/>
          </w:p>
        </w:tc>
      </w:tr>
      <w:tr>
        <w:trPr/>
        <w:tc>
          <w:tcPr>
            <w:tcW w:w="7410" w:type="dxa"/>
            <w:tcBorders/>
            <w:shd w:fill="EEEEEE" w:val="clear"/>
            <w:vAlign w:val="center"/>
          </w:tcPr>
          <w:p>
            <w:pPr>
              <w:pStyle w:val="TableContents"/>
              <w:bidi w:val="0"/>
              <w:spacing w:before="0" w:after="283"/>
              <w:jc w:val="left"/>
              <w:rPr/>
            </w:pPr>
            <w:r>
              <w:rPr/>
              <w:t>Accounts payable and accrued expenses</w:t>
            </w:r>
          </w:p>
        </w:tc>
        <w:tc>
          <w:tcPr>
            <w:tcW w:w="60" w:type="dxa"/>
            <w:tcBorders/>
            <w:shd w:fill="EEEEEE" w:val="clear"/>
            <w:vAlign w:val="center"/>
          </w:tcPr>
          <w:p>
            <w:pPr>
              <w:pStyle w:val="TableContents"/>
              <w:bidi w:val="0"/>
              <w:spacing w:before="0" w:after="283"/>
              <w:jc w:val="left"/>
              <w:rPr/>
            </w:pPr>
            <w:r>
              <w:rPr/>
              <w:t> </w:t>
            </w:r>
          </w:p>
        </w:tc>
        <w:tc>
          <w:tcPr>
            <w:tcW w:w="155" w:type="dxa"/>
            <w:tcBorders/>
            <w:shd w:fill="EEEEEE" w:val="clear"/>
            <w:vAlign w:val="center"/>
          </w:tcPr>
          <w:p>
            <w:pPr>
              <w:pStyle w:val="TableContents"/>
              <w:bidi w:val="0"/>
              <w:spacing w:before="0" w:after="283"/>
              <w:jc w:val="left"/>
              <w:rPr/>
            </w:pPr>
            <w:r>
              <w:rPr/>
              <w:t>$</w:t>
            </w:r>
          </w:p>
        </w:tc>
        <w:tc>
          <w:tcPr>
            <w:tcW w:w="1089" w:type="dxa"/>
            <w:tcBorders/>
            <w:shd w:fill="EEEEEE" w:val="clear"/>
            <w:vAlign w:val="center"/>
          </w:tcPr>
          <w:p>
            <w:pPr>
              <w:pStyle w:val="TableContents"/>
              <w:bidi w:val="0"/>
              <w:spacing w:before="0" w:after="283"/>
              <w:jc w:val="right"/>
              <w:rPr/>
            </w:pPr>
            <w:r>
              <w:rPr/>
              <w:t>62,309</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2" w:type="dxa"/>
            <w:tcBorders/>
            <w:shd w:fill="EEEEEE" w:val="clear"/>
            <w:vAlign w:val="center"/>
          </w:tcPr>
          <w:p>
            <w:pPr>
              <w:pStyle w:val="TableContents"/>
              <w:bidi w:val="0"/>
              <w:spacing w:before="0" w:after="283"/>
              <w:jc w:val="left"/>
              <w:rPr/>
            </w:pPr>
            <w:r>
              <w:rPr/>
              <w:t>$</w:t>
            </w:r>
          </w:p>
        </w:tc>
        <w:tc>
          <w:tcPr>
            <w:tcW w:w="1071" w:type="dxa"/>
            <w:tcBorders/>
            <w:shd w:fill="EEEEEE" w:val="clear"/>
            <w:vAlign w:val="center"/>
          </w:tcPr>
          <w:p>
            <w:pPr>
              <w:pStyle w:val="TableContents"/>
              <w:bidi w:val="0"/>
              <w:spacing w:before="0" w:after="283"/>
              <w:jc w:val="right"/>
              <w:rPr/>
            </w:pPr>
            <w:r>
              <w:rPr/>
              <w:t>55,421</w:t>
            </w:r>
          </w:p>
        </w:tc>
        <w:tc>
          <w:tcPr>
            <w:tcW w:w="113" w:type="dxa"/>
            <w:tcBorders/>
            <w:shd w:fill="EEEEEE" w:val="clear"/>
            <w:vAlign w:val="center"/>
          </w:tcPr>
          <w:p>
            <w:pPr>
              <w:pStyle w:val="TableContents"/>
              <w:bidi w:val="0"/>
              <w:spacing w:before="0" w:after="283"/>
              <w:jc w:val="left"/>
              <w:rPr/>
            </w:pPr>
            <w:r>
              <w:rPr/>
              <w:t> </w:t>
            </w:r>
            <w:bookmarkStart w:id="49" w:name="xdx_407_eus-gaap--WarehouseAgreementBorr"/>
            <w:bookmarkEnd w:id="49"/>
          </w:p>
        </w:tc>
      </w:tr>
      <w:tr>
        <w:trPr/>
        <w:tc>
          <w:tcPr>
            <w:tcW w:w="7410" w:type="dxa"/>
            <w:tcBorders/>
            <w:shd w:fill="FFFFFF" w:val="clear"/>
            <w:vAlign w:val="center"/>
          </w:tcPr>
          <w:p>
            <w:pPr>
              <w:pStyle w:val="TableContents"/>
              <w:bidi w:val="0"/>
              <w:spacing w:before="0" w:after="283"/>
              <w:jc w:val="left"/>
              <w:rPr/>
            </w:pPr>
            <w:r>
              <w:rPr/>
              <w:t>Warehouse lines of credit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240,384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285,328</w:t>
            </w:r>
          </w:p>
        </w:tc>
        <w:tc>
          <w:tcPr>
            <w:tcW w:w="113" w:type="dxa"/>
            <w:tcBorders/>
            <w:shd w:fill="FFFFFF" w:val="clear"/>
            <w:vAlign w:val="center"/>
          </w:tcPr>
          <w:p>
            <w:pPr>
              <w:pStyle w:val="TableContents"/>
              <w:bidi w:val="0"/>
              <w:spacing w:before="0" w:after="283"/>
              <w:jc w:val="left"/>
              <w:rPr/>
            </w:pPr>
            <w:r>
              <w:rPr/>
              <w:t> </w:t>
            </w:r>
            <w:bookmarkStart w:id="50" w:name="xdx_401_ecustom--ResidualInterestFinanci"/>
            <w:bookmarkEnd w:id="50"/>
          </w:p>
        </w:tc>
      </w:tr>
      <w:tr>
        <w:trPr/>
        <w:tc>
          <w:tcPr>
            <w:tcW w:w="7410" w:type="dxa"/>
            <w:tcBorders/>
            <w:shd w:fill="EEEEEE" w:val="clear"/>
            <w:vAlign w:val="center"/>
          </w:tcPr>
          <w:p>
            <w:pPr>
              <w:pStyle w:val="TableContents"/>
              <w:bidi w:val="0"/>
              <w:spacing w:before="0" w:after="283"/>
              <w:jc w:val="left"/>
              <w:rPr/>
            </w:pPr>
            <w:r>
              <w:rPr/>
              <w:t>Residual interest financing</w:t>
            </w:r>
          </w:p>
        </w:tc>
        <w:tc>
          <w:tcPr>
            <w:tcW w:w="60" w:type="dxa"/>
            <w:tcBorders/>
            <w:shd w:fill="EEEEEE" w:val="clear"/>
            <w:vAlign w:val="center"/>
          </w:tcPr>
          <w:p>
            <w:pPr>
              <w:pStyle w:val="TableContents"/>
              <w:bidi w:val="0"/>
              <w:spacing w:before="0" w:after="283"/>
              <w:jc w:val="left"/>
              <w:rPr/>
            </w:pPr>
            <w:r>
              <w:rPr/>
              <w:t> </w:t>
            </w:r>
          </w:p>
        </w:tc>
        <w:tc>
          <w:tcPr>
            <w:tcW w:w="155" w:type="dxa"/>
            <w:tcBorders/>
            <w:shd w:fill="EEEEEE" w:val="clear"/>
            <w:vAlign w:val="center"/>
          </w:tcPr>
          <w:p>
            <w:pPr>
              <w:pStyle w:val="TableContents"/>
              <w:bidi w:val="0"/>
              <w:spacing w:before="0" w:after="283"/>
              <w:jc w:val="left"/>
              <w:rPr/>
            </w:pPr>
            <w:r>
              <w:rPr/>
              <w:t> </w:t>
            </w:r>
          </w:p>
        </w:tc>
        <w:tc>
          <w:tcPr>
            <w:tcW w:w="1089" w:type="dxa"/>
            <w:tcBorders/>
            <w:shd w:fill="EEEEEE" w:val="clear"/>
            <w:vAlign w:val="center"/>
          </w:tcPr>
          <w:p>
            <w:pPr>
              <w:pStyle w:val="TableContents"/>
              <w:bidi w:val="0"/>
              <w:spacing w:before="0" w:after="283"/>
              <w:jc w:val="right"/>
              <w:rPr/>
            </w:pPr>
            <w:r>
              <w:rPr/>
              <w:t>49,812</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2" w:type="dxa"/>
            <w:tcBorders/>
            <w:shd w:fill="EEEEEE" w:val="clear"/>
            <w:vAlign w:val="center"/>
          </w:tcPr>
          <w:p>
            <w:pPr>
              <w:pStyle w:val="TableContents"/>
              <w:bidi w:val="0"/>
              <w:spacing w:before="0" w:after="283"/>
              <w:jc w:val="left"/>
              <w:rPr/>
            </w:pPr>
            <w:r>
              <w:rPr/>
              <w:t> </w:t>
            </w:r>
          </w:p>
        </w:tc>
        <w:tc>
          <w:tcPr>
            <w:tcW w:w="1071" w:type="dxa"/>
            <w:tcBorders/>
            <w:shd w:fill="EEEEEE" w:val="clear"/>
            <w:vAlign w:val="center"/>
          </w:tcPr>
          <w:p>
            <w:pPr>
              <w:pStyle w:val="TableContents"/>
              <w:bidi w:val="0"/>
              <w:spacing w:before="0" w:after="283"/>
              <w:jc w:val="right"/>
              <w:rPr/>
            </w:pPr>
            <w:r>
              <w:rPr/>
              <w:t>49,623</w:t>
            </w:r>
          </w:p>
        </w:tc>
        <w:tc>
          <w:tcPr>
            <w:tcW w:w="113" w:type="dxa"/>
            <w:tcBorders/>
            <w:shd w:fill="EEEEEE" w:val="clear"/>
            <w:vAlign w:val="center"/>
          </w:tcPr>
          <w:p>
            <w:pPr>
              <w:pStyle w:val="TableContents"/>
              <w:bidi w:val="0"/>
              <w:spacing w:before="0" w:after="283"/>
              <w:jc w:val="left"/>
              <w:rPr/>
            </w:pPr>
            <w:r>
              <w:rPr/>
              <w:t> </w:t>
            </w:r>
            <w:bookmarkStart w:id="51" w:name="xdx_40A_eus-gaap--PrincipalAmountOutstan"/>
            <w:bookmarkEnd w:id="51"/>
          </w:p>
        </w:tc>
      </w:tr>
      <w:tr>
        <w:trPr/>
        <w:tc>
          <w:tcPr>
            <w:tcW w:w="7410" w:type="dxa"/>
            <w:tcBorders/>
            <w:shd w:fill="FFFFFF" w:val="clear"/>
            <w:vAlign w:val="center"/>
          </w:tcPr>
          <w:p>
            <w:pPr>
              <w:pStyle w:val="TableContents"/>
              <w:bidi w:val="0"/>
              <w:spacing w:before="0" w:after="283"/>
              <w:jc w:val="left"/>
              <w:rPr/>
            </w:pPr>
            <w:r>
              <w:rPr/>
              <w:t>Securitization trust debt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2,243,284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2,108,744</w:t>
            </w:r>
          </w:p>
        </w:tc>
        <w:tc>
          <w:tcPr>
            <w:tcW w:w="113" w:type="dxa"/>
            <w:tcBorders/>
            <w:shd w:fill="FFFFFF" w:val="clear"/>
            <w:vAlign w:val="center"/>
          </w:tcPr>
          <w:p>
            <w:pPr>
              <w:pStyle w:val="TableContents"/>
              <w:bidi w:val="0"/>
              <w:spacing w:before="0" w:after="283"/>
              <w:jc w:val="left"/>
              <w:rPr/>
            </w:pPr>
            <w:r>
              <w:rPr/>
              <w:t> </w:t>
            </w:r>
            <w:bookmarkStart w:id="52" w:name="xdx_406_eus-gaap--SubordinatedDebt_i02I_"/>
            <w:bookmarkEnd w:id="52"/>
          </w:p>
        </w:tc>
      </w:tr>
      <w:tr>
        <w:trPr/>
        <w:tc>
          <w:tcPr>
            <w:tcW w:w="7410" w:type="dxa"/>
            <w:tcBorders/>
            <w:shd w:fill="EEEEEE" w:val="clear"/>
            <w:vAlign w:val="center"/>
          </w:tcPr>
          <w:p>
            <w:pPr>
              <w:pStyle w:val="TableContents"/>
              <w:bidi w:val="0"/>
              <w:spacing w:before="0" w:after="283"/>
              <w:jc w:val="left"/>
              <w:rPr/>
            </w:pPr>
            <w:r>
              <w:rPr/>
              <w:t>Subordinated renewable notes</w:t>
            </w:r>
          </w:p>
        </w:tc>
        <w:tc>
          <w:tcPr>
            <w:tcW w:w="60" w:type="dxa"/>
            <w:tcBorders/>
            <w:shd w:fill="EEEEEE" w:val="clear"/>
            <w:vAlign w:val="center"/>
          </w:tcPr>
          <w:p>
            <w:pPr>
              <w:pStyle w:val="TableContents"/>
              <w:bidi w:val="0"/>
              <w:spacing w:before="0" w:after="283"/>
              <w:jc w:val="left"/>
              <w:rPr/>
            </w:pPr>
            <w:r>
              <w:rPr/>
              <w:t> </w:t>
            </w:r>
          </w:p>
        </w:tc>
        <w:tc>
          <w:tcPr>
            <w:tcW w:w="15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89" w:type="dxa"/>
            <w:tcBorders>
              <w:bottom w:val="single" w:sz="8" w:space="0" w:color="000000"/>
            </w:tcBorders>
            <w:shd w:fill="EEEEEE" w:val="clear"/>
            <w:tcMar>
              <w:bottom w:w="28" w:type="dxa"/>
            </w:tcMar>
            <w:vAlign w:val="center"/>
          </w:tcPr>
          <w:p>
            <w:pPr>
              <w:pStyle w:val="TableContents"/>
              <w:bidi w:val="0"/>
              <w:spacing w:before="0" w:after="283"/>
              <w:jc w:val="right"/>
              <w:rPr/>
            </w:pPr>
            <w:r>
              <w:rPr/>
              <w:t>19,163</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2"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71" w:type="dxa"/>
            <w:tcBorders>
              <w:bottom w:val="single" w:sz="8" w:space="0" w:color="000000"/>
            </w:tcBorders>
            <w:shd w:fill="EEEEEE" w:val="clear"/>
            <w:tcMar>
              <w:bottom w:w="28" w:type="dxa"/>
            </w:tcMar>
            <w:vAlign w:val="center"/>
          </w:tcPr>
          <w:p>
            <w:pPr>
              <w:pStyle w:val="TableContents"/>
              <w:bidi w:val="0"/>
              <w:spacing w:before="0" w:after="283"/>
              <w:jc w:val="right"/>
              <w:rPr/>
            </w:pPr>
            <w:r>
              <w:rPr/>
              <w:t>25,263</w:t>
            </w:r>
          </w:p>
        </w:tc>
        <w:tc>
          <w:tcPr>
            <w:tcW w:w="113" w:type="dxa"/>
            <w:tcBorders/>
            <w:shd w:fill="EEEEEE" w:val="clear"/>
            <w:vAlign w:val="center"/>
          </w:tcPr>
          <w:p>
            <w:pPr>
              <w:pStyle w:val="TableContents"/>
              <w:bidi w:val="0"/>
              <w:spacing w:before="0" w:after="283"/>
              <w:jc w:val="left"/>
              <w:rPr/>
            </w:pPr>
            <w:r>
              <w:rPr/>
              <w:t> </w:t>
            </w:r>
            <w:bookmarkStart w:id="53" w:name="xdx_40B_eus-gaap--Liabilities_i02TI_pn3n"/>
            <w:bookmarkEnd w:id="53"/>
          </w:p>
        </w:tc>
      </w:tr>
      <w:tr>
        <w:trPr/>
        <w:tc>
          <w:tcPr>
            <w:tcW w:w="7410"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2,614,952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2,524,379</w:t>
            </w:r>
          </w:p>
        </w:tc>
        <w:tc>
          <w:tcPr>
            <w:tcW w:w="113" w:type="dxa"/>
            <w:tcBorders/>
            <w:shd w:fill="FFFFFF" w:val="clear"/>
            <w:vAlign w:val="center"/>
          </w:tcPr>
          <w:p>
            <w:pPr>
              <w:pStyle w:val="TableContents"/>
              <w:bidi w:val="0"/>
              <w:spacing w:before="0" w:after="283"/>
              <w:jc w:val="left"/>
              <w:rPr/>
            </w:pPr>
            <w:r>
              <w:rPr/>
              <w:t> </w:t>
            </w:r>
          </w:p>
        </w:tc>
      </w:tr>
      <w:tr>
        <w:trPr/>
        <w:tc>
          <w:tcPr>
            <w:tcW w:w="741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5" w:type="dxa"/>
            <w:tcBorders/>
            <w:shd w:fill="EEEEEE" w:val="clear"/>
            <w:vAlign w:val="center"/>
          </w:tcPr>
          <w:p>
            <w:pPr>
              <w:pStyle w:val="TableContents"/>
              <w:bidi w:val="0"/>
              <w:spacing w:before="0" w:after="283"/>
              <w:jc w:val="left"/>
              <w:rPr/>
            </w:pPr>
            <w:r>
              <w:rPr/>
              <w:t> </w:t>
            </w:r>
          </w:p>
        </w:tc>
        <w:tc>
          <w:tcPr>
            <w:tcW w:w="1089"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2" w:type="dxa"/>
            <w:tcBorders/>
            <w:shd w:fill="EEEEEE" w:val="clear"/>
            <w:vAlign w:val="center"/>
          </w:tcPr>
          <w:p>
            <w:pPr>
              <w:pStyle w:val="TableContents"/>
              <w:bidi w:val="0"/>
              <w:spacing w:before="0" w:after="283"/>
              <w:jc w:val="left"/>
              <w:rPr/>
            </w:pPr>
            <w:r>
              <w:rPr/>
              <w:t> </w:t>
            </w:r>
          </w:p>
        </w:tc>
        <w:tc>
          <w:tcPr>
            <w:tcW w:w="1071" w:type="dxa"/>
            <w:tcBorders/>
            <w:shd w:fill="EEEEEE" w:val="clear"/>
            <w:vAlign w:val="center"/>
          </w:tcPr>
          <w:p>
            <w:pPr>
              <w:pStyle w:val="TableContents"/>
              <w:bidi w:val="0"/>
              <w:spacing w:before="0" w:after="283"/>
              <w:jc w:val="right"/>
              <w:rPr/>
            </w:pPr>
            <w:r>
              <w:rPr/>
              <w:t> </w:t>
            </w:r>
          </w:p>
        </w:tc>
        <w:tc>
          <w:tcPr>
            <w:tcW w:w="113" w:type="dxa"/>
            <w:tcBorders/>
            <w:shd w:fill="EEEEEE" w:val="clear"/>
            <w:vAlign w:val="center"/>
          </w:tcPr>
          <w:p>
            <w:pPr>
              <w:pStyle w:val="TableContents"/>
              <w:bidi w:val="0"/>
              <w:spacing w:before="0" w:after="283"/>
              <w:jc w:val="left"/>
              <w:rPr/>
            </w:pPr>
            <w:r>
              <w:rPr/>
              <w:t> </w:t>
            </w:r>
            <w:bookmarkStart w:id="54" w:name="xdx_401_eus-gaap--CommitmentsAndContinge"/>
            <w:bookmarkEnd w:id="54"/>
          </w:p>
        </w:tc>
      </w:tr>
      <w:tr>
        <w:trPr/>
        <w:tc>
          <w:tcPr>
            <w:tcW w:w="7410" w:type="dxa"/>
            <w:tcBorders/>
            <w:shd w:fill="FFFFFF" w:val="clear"/>
            <w:vAlign w:val="center"/>
          </w:tcPr>
          <w:p>
            <w:pPr>
              <w:pStyle w:val="TableContents"/>
              <w:bidi w:val="0"/>
              <w:spacing w:before="0" w:after="283"/>
              <w:jc w:val="left"/>
              <w:rPr>
                <w:b/>
              </w:rPr>
            </w:pPr>
            <w:r>
              <w:rPr>
                <w:b/>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41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5" w:type="dxa"/>
            <w:tcBorders/>
            <w:shd w:fill="EEEEEE" w:val="clear"/>
            <w:vAlign w:val="center"/>
          </w:tcPr>
          <w:p>
            <w:pPr>
              <w:pStyle w:val="TableContents"/>
              <w:bidi w:val="0"/>
              <w:spacing w:before="0" w:after="283"/>
              <w:jc w:val="left"/>
              <w:rPr/>
            </w:pPr>
            <w:r>
              <w:rPr/>
              <w:t> </w:t>
            </w:r>
          </w:p>
        </w:tc>
        <w:tc>
          <w:tcPr>
            <w:tcW w:w="1089"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2" w:type="dxa"/>
            <w:tcBorders/>
            <w:shd w:fill="EEEEEE" w:val="clear"/>
            <w:vAlign w:val="center"/>
          </w:tcPr>
          <w:p>
            <w:pPr>
              <w:pStyle w:val="TableContents"/>
              <w:bidi w:val="0"/>
              <w:spacing w:before="0" w:after="283"/>
              <w:jc w:val="left"/>
              <w:rPr/>
            </w:pPr>
            <w:r>
              <w:rPr/>
              <w:t> </w:t>
            </w:r>
          </w:p>
        </w:tc>
        <w:tc>
          <w:tcPr>
            <w:tcW w:w="1071" w:type="dxa"/>
            <w:tcBorders/>
            <w:shd w:fill="EEEEEE" w:val="clear"/>
            <w:vAlign w:val="center"/>
          </w:tcPr>
          <w:p>
            <w:pPr>
              <w:pStyle w:val="TableContents"/>
              <w:bidi w:val="0"/>
              <w:spacing w:before="0" w:after="283"/>
              <w:jc w:val="right"/>
              <w:rPr/>
            </w:pPr>
            <w:r>
              <w:rPr/>
              <w:t> </w:t>
            </w:r>
          </w:p>
        </w:tc>
        <w:tc>
          <w:tcPr>
            <w:tcW w:w="113" w:type="dxa"/>
            <w:tcBorders/>
            <w:shd w:fill="EEEEEE" w:val="clear"/>
            <w:vAlign w:val="center"/>
          </w:tcPr>
          <w:p>
            <w:pPr>
              <w:pStyle w:val="TableContents"/>
              <w:bidi w:val="0"/>
              <w:spacing w:before="0" w:after="283"/>
              <w:jc w:val="left"/>
              <w:rPr/>
            </w:pPr>
            <w:r>
              <w:rPr/>
              <w:t> </w:t>
            </w:r>
            <w:bookmarkStart w:id="55" w:name="xdx_40D_eus-gaap--StockholdersEquityAbst"/>
            <w:bookmarkEnd w:id="55"/>
          </w:p>
        </w:tc>
      </w:tr>
      <w:tr>
        <w:trPr/>
        <w:tc>
          <w:tcPr>
            <w:tcW w:w="7410" w:type="dxa"/>
            <w:tcBorders/>
            <w:shd w:fill="FFFFFF" w:val="clear"/>
            <w:vAlign w:val="center"/>
          </w:tcPr>
          <w:p>
            <w:pPr>
              <w:pStyle w:val="TableContents"/>
              <w:bidi w:val="0"/>
              <w:spacing w:before="0" w:after="283"/>
              <w:jc w:val="left"/>
              <w:rPr>
                <w:b/>
              </w:rPr>
            </w:pPr>
            <w:r>
              <w:rPr>
                <w:b/>
              </w:rPr>
              <w:t>Shareholders' Equity</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ind w:left="0" w:right="0" w:hanging="200"/>
              <w:jc w:val="left"/>
              <w:rPr/>
            </w:pPr>
            <w:r>
              <w:rPr/>
              <w:t> </w:t>
            </w:r>
          </w:p>
        </w:tc>
      </w:tr>
      <w:tr>
        <w:trPr/>
        <w:tc>
          <w:tcPr>
            <w:tcW w:w="7410" w:type="dxa"/>
            <w:tcBorders/>
            <w:shd w:fill="EEEEEE" w:val="clear"/>
            <w:vAlign w:val="center"/>
          </w:tcPr>
          <w:p>
            <w:pPr>
              <w:pStyle w:val="TableContents"/>
              <w:bidi w:val="0"/>
              <w:spacing w:before="0" w:after="283"/>
              <w:jc w:val="left"/>
              <w:rPr/>
            </w:pPr>
            <w:r>
              <w:rPr/>
              <w:t>Preferred stock, $</w:t>
            </w:r>
            <w:bookmarkStart w:id="56" w:name="xdx_901_eus-gaap--PreferredStockParOrSta"/>
            <w:bookmarkStart w:id="57" w:name="xdx_900_eus-gaap--PreferredStockParOrSta"/>
            <w:bookmarkEnd w:id="56"/>
            <w:bookmarkEnd w:id="57"/>
            <w:r>
              <w:rPr/>
              <w:t xml:space="preserve">1 par value; authorized </w:t>
            </w:r>
            <w:bookmarkStart w:id="58" w:name="xdx_908_eus-gaap--PreferredStockSharesAu"/>
            <w:bookmarkStart w:id="59" w:name="xdx_907_eus-gaap--PreferredStockSharesAu"/>
            <w:bookmarkEnd w:id="58"/>
            <w:bookmarkEnd w:id="59"/>
            <w:r>
              <w:rPr/>
              <w:t xml:space="preserve">4,998,130 shares; </w:t>
            </w:r>
            <w:bookmarkStart w:id="60" w:name="xdx_90A_eus-gaap--PreferredStockSharesIs"/>
            <w:bookmarkStart w:id="61" w:name="xdx_907_eus-gaap--PreferredStockSharesIs"/>
            <w:bookmarkEnd w:id="60"/>
            <w:bookmarkEnd w:id="61"/>
            <w:r>
              <w:rPr/>
              <w:t>none issued</w:t>
            </w:r>
          </w:p>
        </w:tc>
        <w:tc>
          <w:tcPr>
            <w:tcW w:w="60" w:type="dxa"/>
            <w:tcBorders/>
            <w:shd w:fill="EEEEEE" w:val="clear"/>
            <w:vAlign w:val="center"/>
          </w:tcPr>
          <w:p>
            <w:pPr>
              <w:pStyle w:val="TableContents"/>
              <w:bidi w:val="0"/>
              <w:spacing w:before="0" w:after="283"/>
              <w:jc w:val="left"/>
              <w:rPr/>
            </w:pPr>
            <w:r>
              <w:rPr/>
              <w:t> </w:t>
            </w:r>
          </w:p>
        </w:tc>
        <w:tc>
          <w:tcPr>
            <w:tcW w:w="155" w:type="dxa"/>
            <w:tcBorders/>
            <w:shd w:fill="EEEEEE" w:val="clear"/>
            <w:vAlign w:val="center"/>
          </w:tcPr>
          <w:p>
            <w:pPr>
              <w:pStyle w:val="TableContents"/>
              <w:bidi w:val="0"/>
              <w:spacing w:before="0" w:after="283"/>
              <w:jc w:val="left"/>
              <w:rPr/>
            </w:pPr>
            <w:r>
              <w:rPr/>
              <w:t> </w:t>
            </w:r>
            <w:bookmarkStart w:id="62" w:name="xdx_981_eus-gaap--PreferredStockValue_iI"/>
            <w:bookmarkEnd w:id="62"/>
          </w:p>
        </w:tc>
        <w:tc>
          <w:tcPr>
            <w:tcW w:w="1089"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2" w:type="dxa"/>
            <w:tcBorders/>
            <w:shd w:fill="EEEEEE" w:val="clear"/>
            <w:vAlign w:val="center"/>
          </w:tcPr>
          <w:p>
            <w:pPr>
              <w:pStyle w:val="TableContents"/>
              <w:bidi w:val="0"/>
              <w:spacing w:before="0" w:after="283"/>
              <w:jc w:val="left"/>
              <w:rPr/>
            </w:pPr>
            <w:r>
              <w:rPr/>
              <w:t> </w:t>
            </w:r>
            <w:bookmarkStart w:id="63" w:name="xdx_983_eus-gaap--PreferredStockValue_iI"/>
            <w:bookmarkEnd w:id="63"/>
          </w:p>
        </w:tc>
        <w:tc>
          <w:tcPr>
            <w:tcW w:w="1071" w:type="dxa"/>
            <w:tcBorders/>
            <w:shd w:fill="EEEEEE" w:val="clear"/>
            <w:vAlign w:val="center"/>
          </w:tcPr>
          <w:p>
            <w:pPr>
              <w:pStyle w:val="TableContents"/>
              <w:bidi w:val="0"/>
              <w:spacing w:before="0" w:after="283"/>
              <w:jc w:val="right"/>
              <w:rPr/>
            </w:pPr>
            <w:r>
              <w:rPr/>
              <w:t>–</w:t>
            </w:r>
          </w:p>
        </w:tc>
        <w:tc>
          <w:tcPr>
            <w:tcW w:w="113" w:type="dxa"/>
            <w:tcBorders/>
            <w:shd w:fill="EEEEEE" w:val="clear"/>
            <w:vAlign w:val="center"/>
          </w:tcPr>
          <w:p>
            <w:pPr>
              <w:pStyle w:val="TableContents"/>
              <w:bidi w:val="0"/>
              <w:spacing w:before="0" w:after="283"/>
              <w:ind w:left="0" w:right="0" w:hanging="200"/>
              <w:jc w:val="left"/>
              <w:rPr/>
            </w:pPr>
            <w:r>
              <w:rPr/>
              <w:t> </w:t>
            </w:r>
          </w:p>
        </w:tc>
      </w:tr>
      <w:tr>
        <w:trPr/>
        <w:tc>
          <w:tcPr>
            <w:tcW w:w="7410" w:type="dxa"/>
            <w:tcBorders/>
            <w:shd w:fill="FFFFFF" w:val="clear"/>
            <w:vAlign w:val="center"/>
          </w:tcPr>
          <w:p>
            <w:pPr>
              <w:pStyle w:val="TableContents"/>
              <w:bidi w:val="0"/>
              <w:spacing w:before="0" w:after="283"/>
              <w:jc w:val="left"/>
              <w:rPr/>
            </w:pPr>
            <w:r>
              <w:rPr/>
              <w:t>Series A preferred stock, $</w:t>
            </w:r>
            <w:bookmarkStart w:id="64" w:name="xdx_908_eus-gaap--PreferredStockParOrSta"/>
            <w:bookmarkStart w:id="65" w:name="xdx_90E_eus-gaap--PreferredStockParOrSta"/>
            <w:bookmarkEnd w:id="64"/>
            <w:bookmarkEnd w:id="65"/>
            <w:r>
              <w:rPr/>
              <w:t xml:space="preserve">1 par value; authorized </w:t>
            </w:r>
            <w:bookmarkStart w:id="66" w:name="xdx_90B_eus-gaap--PreferredStockSharesAu"/>
            <w:bookmarkStart w:id="67" w:name="xdx_90A_eus-gaap--PreferredStockSharesAu"/>
            <w:bookmarkEnd w:id="66"/>
            <w:bookmarkEnd w:id="67"/>
            <w:r>
              <w:rPr/>
              <w:t xml:space="preserve">5,000,000 shares; </w:t>
            </w:r>
            <w:bookmarkStart w:id="68" w:name="xdx_909_eus-gaap--PreferredStockSharesIs"/>
            <w:bookmarkStart w:id="69" w:name="xdx_90D_eus-gaap--PreferredStockSharesIs"/>
            <w:bookmarkEnd w:id="68"/>
            <w:bookmarkEnd w:id="69"/>
            <w:r>
              <w:rPr/>
              <w:t>none issued</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bookmarkStart w:id="70" w:name="xdx_981_eus-gaap--PreferredStockValue_iI"/>
            <w:bookmarkEnd w:id="70"/>
          </w:p>
        </w:tc>
        <w:tc>
          <w:tcPr>
            <w:tcW w:w="108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bookmarkStart w:id="71" w:name="xdx_98C_eus-gaap--PreferredStockValue_iI"/>
            <w:bookmarkEnd w:id="71"/>
          </w:p>
        </w:tc>
        <w:tc>
          <w:tcPr>
            <w:tcW w:w="107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ind w:left="0" w:right="0" w:hanging="200"/>
              <w:jc w:val="left"/>
              <w:rPr/>
            </w:pPr>
            <w:r>
              <w:rPr/>
              <w:t> </w:t>
            </w:r>
          </w:p>
        </w:tc>
      </w:tr>
      <w:tr>
        <w:trPr/>
        <w:tc>
          <w:tcPr>
            <w:tcW w:w="7410" w:type="dxa"/>
            <w:tcBorders/>
            <w:shd w:fill="EEEEEE" w:val="clear"/>
            <w:vAlign w:val="center"/>
          </w:tcPr>
          <w:p>
            <w:pPr>
              <w:pStyle w:val="TableContents"/>
              <w:bidi w:val="0"/>
              <w:spacing w:before="0" w:after="283"/>
              <w:jc w:val="left"/>
              <w:rPr/>
            </w:pPr>
            <w:r>
              <w:rPr/>
              <w:t>Series B preferred stock, $</w:t>
            </w:r>
            <w:bookmarkStart w:id="72" w:name="xdx_907_eus-gaap--PreferredStockParOrSta"/>
            <w:bookmarkStart w:id="73" w:name="xdx_903_eus-gaap--PreferredStockParOrSta"/>
            <w:bookmarkEnd w:id="72"/>
            <w:bookmarkEnd w:id="73"/>
            <w:r>
              <w:rPr/>
              <w:t xml:space="preserve">1 par value; authorized </w:t>
            </w:r>
            <w:bookmarkStart w:id="74" w:name="xdx_90C_eus-gaap--PreferredStockSharesAu"/>
            <w:bookmarkStart w:id="75" w:name="xdx_907_eus-gaap--PreferredStockSharesAu"/>
            <w:bookmarkEnd w:id="74"/>
            <w:bookmarkEnd w:id="75"/>
            <w:r>
              <w:rPr/>
              <w:t xml:space="preserve">1,870 shares; </w:t>
            </w:r>
            <w:bookmarkStart w:id="76" w:name="xdx_90A_eus-gaap--PreferredStockSharesIs"/>
            <w:bookmarkStart w:id="77" w:name="xdx_90F_eus-gaap--PreferredStockSharesIs"/>
            <w:bookmarkEnd w:id="76"/>
            <w:bookmarkEnd w:id="77"/>
            <w:r>
              <w:rPr/>
              <w:t>none issued</w:t>
            </w:r>
          </w:p>
        </w:tc>
        <w:tc>
          <w:tcPr>
            <w:tcW w:w="60" w:type="dxa"/>
            <w:tcBorders/>
            <w:shd w:fill="EEEEEE" w:val="clear"/>
            <w:vAlign w:val="center"/>
          </w:tcPr>
          <w:p>
            <w:pPr>
              <w:pStyle w:val="TableContents"/>
              <w:bidi w:val="0"/>
              <w:spacing w:before="0" w:after="283"/>
              <w:jc w:val="left"/>
              <w:rPr/>
            </w:pPr>
            <w:r>
              <w:rPr/>
              <w:t> </w:t>
            </w:r>
          </w:p>
        </w:tc>
        <w:tc>
          <w:tcPr>
            <w:tcW w:w="155" w:type="dxa"/>
            <w:tcBorders/>
            <w:shd w:fill="EEEEEE" w:val="clear"/>
            <w:vAlign w:val="center"/>
          </w:tcPr>
          <w:p>
            <w:pPr>
              <w:pStyle w:val="TableContents"/>
              <w:bidi w:val="0"/>
              <w:spacing w:before="0" w:after="283"/>
              <w:jc w:val="left"/>
              <w:rPr/>
            </w:pPr>
            <w:r>
              <w:rPr/>
              <w:t> </w:t>
            </w:r>
            <w:bookmarkStart w:id="78" w:name="xdx_986_eus-gaap--PreferredStockValue_iI"/>
            <w:bookmarkEnd w:id="78"/>
          </w:p>
        </w:tc>
        <w:tc>
          <w:tcPr>
            <w:tcW w:w="1089"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2" w:type="dxa"/>
            <w:tcBorders/>
            <w:shd w:fill="EEEEEE" w:val="clear"/>
            <w:vAlign w:val="center"/>
          </w:tcPr>
          <w:p>
            <w:pPr>
              <w:pStyle w:val="TableContents"/>
              <w:bidi w:val="0"/>
              <w:spacing w:before="0" w:after="283"/>
              <w:jc w:val="left"/>
              <w:rPr/>
            </w:pPr>
            <w:r>
              <w:rPr/>
              <w:t> </w:t>
            </w:r>
            <w:bookmarkStart w:id="79" w:name="xdx_98C_eus-gaap--PreferredStockValue_iI"/>
            <w:bookmarkEnd w:id="79"/>
          </w:p>
        </w:tc>
        <w:tc>
          <w:tcPr>
            <w:tcW w:w="1071" w:type="dxa"/>
            <w:tcBorders/>
            <w:shd w:fill="EEEEEE" w:val="clear"/>
            <w:vAlign w:val="center"/>
          </w:tcPr>
          <w:p>
            <w:pPr>
              <w:pStyle w:val="TableContents"/>
              <w:bidi w:val="0"/>
              <w:spacing w:before="0" w:after="283"/>
              <w:jc w:val="right"/>
              <w:rPr/>
            </w:pPr>
            <w:r>
              <w:rPr/>
              <w:t>–</w:t>
            </w:r>
          </w:p>
        </w:tc>
        <w:tc>
          <w:tcPr>
            <w:tcW w:w="113" w:type="dxa"/>
            <w:tcBorders/>
            <w:shd w:fill="EEEEEE" w:val="clear"/>
            <w:vAlign w:val="center"/>
          </w:tcPr>
          <w:p>
            <w:pPr>
              <w:pStyle w:val="TableContents"/>
              <w:bidi w:val="0"/>
              <w:spacing w:before="0" w:after="283"/>
              <w:ind w:left="0" w:right="0" w:hanging="200"/>
              <w:jc w:val="left"/>
              <w:rPr/>
            </w:pPr>
            <w:r>
              <w:rPr/>
              <w:t> </w:t>
            </w:r>
            <w:bookmarkStart w:id="80" w:name="xdx_40C_eus-gaap--CommonStockValue_iI_ma"/>
            <w:bookmarkEnd w:id="80"/>
          </w:p>
        </w:tc>
      </w:tr>
      <w:tr>
        <w:trPr/>
        <w:tc>
          <w:tcPr>
            <w:tcW w:w="7410" w:type="dxa"/>
            <w:tcBorders/>
            <w:shd w:fill="FFFFFF" w:val="clear"/>
            <w:vAlign w:val="center"/>
          </w:tcPr>
          <w:p>
            <w:pPr>
              <w:pStyle w:val="TableContents"/>
              <w:bidi w:val="0"/>
              <w:spacing w:before="0" w:after="283"/>
              <w:jc w:val="left"/>
              <w:rPr/>
            </w:pPr>
            <w:r>
              <w:rPr/>
              <w:t xml:space="preserve">Common stock, </w:t>
            </w:r>
            <w:bookmarkStart w:id="81" w:name="xdx_902_eus-gaap--CommonStockNoParValue_"/>
            <w:bookmarkStart w:id="82" w:name="xdx_90B_eus-gaap--CommonStockNoParValue_"/>
            <w:bookmarkEnd w:id="81"/>
            <w:bookmarkEnd w:id="82"/>
            <w:r>
              <w:rPr/>
              <w:t xml:space="preserve">no par value; authorized </w:t>
            </w:r>
            <w:bookmarkStart w:id="83" w:name="xdx_904_eus-gaap--CommonStockSharesAutho"/>
            <w:bookmarkStart w:id="84" w:name="xdx_905_eus-gaap--CommonStockSharesAutho"/>
            <w:bookmarkEnd w:id="83"/>
            <w:bookmarkEnd w:id="84"/>
            <w:r>
              <w:rPr/>
              <w:t xml:space="preserve">75,000,000 shares; </w:t>
            </w:r>
            <w:bookmarkStart w:id="85" w:name="xdx_900_eus-gaap--CommonStockSharesOutst"/>
            <w:bookmarkStart w:id="86" w:name="xdx_905_eus-gaap--CommonStockSharesIssue"/>
            <w:bookmarkEnd w:id="85"/>
            <w:bookmarkEnd w:id="86"/>
            <w:r>
              <w:rPr/>
              <w:t xml:space="preserve">21,113,152 and </w:t>
            </w:r>
            <w:bookmarkStart w:id="87" w:name="xdx_90D_eus-gaap--CommonStockSharesOutst"/>
            <w:bookmarkStart w:id="88" w:name="xdx_907_eus-gaap--CommonStockSharesIssue"/>
            <w:bookmarkEnd w:id="87"/>
            <w:bookmarkEnd w:id="88"/>
            <w:r>
              <w:rPr/>
              <w:t>20,131,323 shares issued and outstanding at September 30, 2023 and December 31, 2022, respectively</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28,257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28,906</w:t>
            </w:r>
          </w:p>
        </w:tc>
        <w:tc>
          <w:tcPr>
            <w:tcW w:w="113" w:type="dxa"/>
            <w:tcBorders/>
            <w:shd w:fill="FFFFFF" w:val="clear"/>
            <w:vAlign w:val="center"/>
          </w:tcPr>
          <w:p>
            <w:pPr>
              <w:pStyle w:val="TableContents"/>
              <w:bidi w:val="0"/>
              <w:spacing w:before="0" w:after="283"/>
              <w:ind w:left="0" w:right="0" w:hanging="200"/>
              <w:jc w:val="left"/>
              <w:rPr/>
            </w:pPr>
            <w:r>
              <w:rPr/>
              <w:t> </w:t>
            </w:r>
            <w:bookmarkStart w:id="89" w:name="xdx_40E_eus-gaap--RetainedEarningsAccumu"/>
            <w:bookmarkEnd w:id="89"/>
          </w:p>
        </w:tc>
      </w:tr>
      <w:tr>
        <w:trPr/>
        <w:tc>
          <w:tcPr>
            <w:tcW w:w="7410" w:type="dxa"/>
            <w:tcBorders/>
            <w:shd w:fill="EEEEEE" w:val="clear"/>
            <w:vAlign w:val="center"/>
          </w:tcPr>
          <w:p>
            <w:pPr>
              <w:pStyle w:val="TableContents"/>
              <w:bidi w:val="0"/>
              <w:spacing w:before="0" w:after="283"/>
              <w:jc w:val="left"/>
              <w:rPr/>
            </w:pPr>
            <w:r>
              <w:rPr/>
              <w:t>Retained earnings</w:t>
            </w:r>
          </w:p>
        </w:tc>
        <w:tc>
          <w:tcPr>
            <w:tcW w:w="60" w:type="dxa"/>
            <w:tcBorders/>
            <w:shd w:fill="EEEEEE" w:val="clear"/>
            <w:vAlign w:val="center"/>
          </w:tcPr>
          <w:p>
            <w:pPr>
              <w:pStyle w:val="TableContents"/>
              <w:bidi w:val="0"/>
              <w:spacing w:before="0" w:after="283"/>
              <w:jc w:val="left"/>
              <w:rPr/>
            </w:pPr>
            <w:r>
              <w:rPr/>
              <w:t> </w:t>
            </w:r>
          </w:p>
        </w:tc>
        <w:tc>
          <w:tcPr>
            <w:tcW w:w="155" w:type="dxa"/>
            <w:tcBorders/>
            <w:shd w:fill="EEEEEE" w:val="clear"/>
            <w:vAlign w:val="center"/>
          </w:tcPr>
          <w:p>
            <w:pPr>
              <w:pStyle w:val="TableContents"/>
              <w:bidi w:val="0"/>
              <w:spacing w:before="0" w:after="283"/>
              <w:jc w:val="left"/>
              <w:rPr/>
            </w:pPr>
            <w:r>
              <w:rPr/>
              <w:t> </w:t>
            </w:r>
          </w:p>
        </w:tc>
        <w:tc>
          <w:tcPr>
            <w:tcW w:w="1089" w:type="dxa"/>
            <w:tcBorders/>
            <w:shd w:fill="EEEEEE" w:val="clear"/>
            <w:vAlign w:val="center"/>
          </w:tcPr>
          <w:p>
            <w:pPr>
              <w:pStyle w:val="TableContents"/>
              <w:bidi w:val="0"/>
              <w:spacing w:before="0" w:after="283"/>
              <w:jc w:val="right"/>
              <w:rPr/>
            </w:pPr>
            <w:r>
              <w:rPr/>
              <w:t>240,670</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2" w:type="dxa"/>
            <w:tcBorders/>
            <w:shd w:fill="EEEEEE" w:val="clear"/>
            <w:vAlign w:val="center"/>
          </w:tcPr>
          <w:p>
            <w:pPr>
              <w:pStyle w:val="TableContents"/>
              <w:bidi w:val="0"/>
              <w:spacing w:before="0" w:after="283"/>
              <w:jc w:val="left"/>
              <w:rPr/>
            </w:pPr>
            <w:r>
              <w:rPr/>
              <w:t> </w:t>
            </w:r>
          </w:p>
        </w:tc>
        <w:tc>
          <w:tcPr>
            <w:tcW w:w="1071" w:type="dxa"/>
            <w:tcBorders/>
            <w:shd w:fill="EEEEEE" w:val="clear"/>
            <w:vAlign w:val="center"/>
          </w:tcPr>
          <w:p>
            <w:pPr>
              <w:pStyle w:val="TableContents"/>
              <w:bidi w:val="0"/>
              <w:spacing w:before="0" w:after="283"/>
              <w:jc w:val="right"/>
              <w:rPr/>
            </w:pPr>
            <w:r>
              <w:rPr/>
              <w:t>202,514</w:t>
            </w:r>
          </w:p>
        </w:tc>
        <w:tc>
          <w:tcPr>
            <w:tcW w:w="113" w:type="dxa"/>
            <w:tcBorders/>
            <w:shd w:fill="EEEEEE" w:val="clear"/>
            <w:vAlign w:val="center"/>
          </w:tcPr>
          <w:p>
            <w:pPr>
              <w:pStyle w:val="TableContents"/>
              <w:bidi w:val="0"/>
              <w:spacing w:before="0" w:after="283"/>
              <w:jc w:val="left"/>
              <w:rPr/>
            </w:pPr>
            <w:r>
              <w:rPr/>
              <w:t> </w:t>
            </w:r>
            <w:bookmarkStart w:id="90" w:name="xdx_403_eus-gaap--AccumulatedOtherCompre"/>
            <w:bookmarkEnd w:id="90"/>
          </w:p>
        </w:tc>
      </w:tr>
      <w:tr>
        <w:trPr/>
        <w:tc>
          <w:tcPr>
            <w:tcW w:w="7410" w:type="dxa"/>
            <w:tcBorders/>
            <w:shd w:fill="FFFFFF" w:val="clear"/>
            <w:vAlign w:val="center"/>
          </w:tcPr>
          <w:p>
            <w:pPr>
              <w:pStyle w:val="TableContents"/>
              <w:bidi w:val="0"/>
              <w:spacing w:before="0" w:after="283"/>
              <w:jc w:val="left"/>
              <w:rPr/>
            </w:pPr>
            <w:r>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9" w:type="dxa"/>
            <w:tcBorders>
              <w:bottom w:val="single" w:sz="8" w:space="0" w:color="000000"/>
            </w:tcBorders>
            <w:shd w:fill="FFFFFF" w:val="clear"/>
            <w:tcMar>
              <w:bottom w:w="28" w:type="dxa"/>
            </w:tcMar>
            <w:vAlign w:val="center"/>
          </w:tcPr>
          <w:p>
            <w:pPr>
              <w:pStyle w:val="TableContents"/>
              <w:bidi w:val="0"/>
              <w:spacing w:before="0" w:after="283"/>
              <w:jc w:val="right"/>
              <w:rPr/>
            </w:pPr>
            <w:r>
              <w:rPr/>
              <w:t>(3,031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1" w:type="dxa"/>
            <w:tcBorders>
              <w:bottom w:val="single" w:sz="8" w:space="0" w:color="000000"/>
            </w:tcBorders>
            <w:shd w:fill="FFFFFF" w:val="clear"/>
            <w:tcMar>
              <w:bottom w:w="28" w:type="dxa"/>
            </w:tcMar>
            <w:vAlign w:val="center"/>
          </w:tcPr>
          <w:p>
            <w:pPr>
              <w:pStyle w:val="TableContents"/>
              <w:bidi w:val="0"/>
              <w:spacing w:before="0" w:after="283"/>
              <w:jc w:val="right"/>
              <w:rPr/>
            </w:pPr>
            <w:r>
              <w:rPr/>
              <w:t>(3,031</w:t>
            </w:r>
          </w:p>
        </w:tc>
        <w:tc>
          <w:tcPr>
            <w:tcW w:w="113" w:type="dxa"/>
            <w:tcBorders/>
            <w:shd w:fill="FFFFFF" w:val="clear"/>
            <w:vAlign w:val="center"/>
          </w:tcPr>
          <w:p>
            <w:pPr>
              <w:pStyle w:val="TableContents"/>
              <w:bidi w:val="0"/>
              <w:spacing w:before="0" w:after="283"/>
              <w:jc w:val="left"/>
              <w:rPr/>
            </w:pPr>
            <w:r>
              <w:rPr/>
              <w:t>)</w:t>
            </w:r>
            <w:bookmarkStart w:id="91" w:name="xdx_400_eus-gaap--StockholdersEquity_iTI"/>
            <w:bookmarkEnd w:id="91"/>
          </w:p>
        </w:tc>
      </w:tr>
      <w:tr>
        <w:trPr/>
        <w:tc>
          <w:tcPr>
            <w:tcW w:w="7410" w:type="dxa"/>
            <w:tcBorders/>
            <w:shd w:fill="EEEEEE" w:val="clear"/>
            <w:vAlign w:val="center"/>
          </w:tcPr>
          <w:p>
            <w:pPr>
              <w:pStyle w:val="TableContents"/>
              <w:bidi w:val="0"/>
              <w:spacing w:before="0" w:after="283"/>
              <w:jc w:val="left"/>
              <w:rPr>
                <w:b/>
              </w:rPr>
            </w:pPr>
            <w:r>
              <w:rPr>
                <w:b/>
              </w:rPr>
              <w:t>Total stockholders’ equity</w:t>
            </w:r>
          </w:p>
        </w:tc>
        <w:tc>
          <w:tcPr>
            <w:tcW w:w="60" w:type="dxa"/>
            <w:tcBorders/>
            <w:shd w:fill="EEEEEE" w:val="clear"/>
            <w:vAlign w:val="center"/>
          </w:tcPr>
          <w:p>
            <w:pPr>
              <w:pStyle w:val="TableContents"/>
              <w:bidi w:val="0"/>
              <w:spacing w:before="0" w:after="283"/>
              <w:jc w:val="left"/>
              <w:rPr/>
            </w:pPr>
            <w:r>
              <w:rPr/>
              <w:t> </w:t>
            </w:r>
          </w:p>
        </w:tc>
        <w:tc>
          <w:tcPr>
            <w:tcW w:w="15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89" w:type="dxa"/>
            <w:tcBorders>
              <w:bottom w:val="single" w:sz="8" w:space="0" w:color="000000"/>
            </w:tcBorders>
            <w:shd w:fill="EEEEEE" w:val="clear"/>
            <w:tcMar>
              <w:bottom w:w="28" w:type="dxa"/>
            </w:tcMar>
            <w:vAlign w:val="center"/>
          </w:tcPr>
          <w:p>
            <w:pPr>
              <w:pStyle w:val="TableContents"/>
              <w:bidi w:val="0"/>
              <w:spacing w:before="0" w:after="283"/>
              <w:jc w:val="right"/>
              <w:rPr/>
            </w:pPr>
            <w:r>
              <w:rPr/>
              <w:t>265,896</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2"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71" w:type="dxa"/>
            <w:tcBorders>
              <w:bottom w:val="single" w:sz="8" w:space="0" w:color="000000"/>
            </w:tcBorders>
            <w:shd w:fill="EEEEEE" w:val="clear"/>
            <w:tcMar>
              <w:bottom w:w="28" w:type="dxa"/>
            </w:tcMar>
            <w:vAlign w:val="center"/>
          </w:tcPr>
          <w:p>
            <w:pPr>
              <w:pStyle w:val="TableContents"/>
              <w:bidi w:val="0"/>
              <w:spacing w:before="0" w:after="283"/>
              <w:jc w:val="right"/>
              <w:rPr/>
            </w:pPr>
            <w:r>
              <w:rPr/>
              <w:t>228,389</w:t>
            </w:r>
          </w:p>
        </w:tc>
        <w:tc>
          <w:tcPr>
            <w:tcW w:w="113" w:type="dxa"/>
            <w:tcBorders/>
            <w:shd w:fill="EEEEEE" w:val="clear"/>
            <w:vAlign w:val="center"/>
          </w:tcPr>
          <w:p>
            <w:pPr>
              <w:pStyle w:val="TableContents"/>
              <w:bidi w:val="0"/>
              <w:spacing w:before="0" w:after="283"/>
              <w:jc w:val="left"/>
              <w:rPr/>
            </w:pPr>
            <w:r>
              <w:rPr/>
              <w:t> </w:t>
            </w:r>
          </w:p>
        </w:tc>
      </w:tr>
      <w:tr>
        <w:trPr/>
        <w:tc>
          <w:tcPr>
            <w:tcW w:w="7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92" w:name="xdx_407_eus-gaap--LiabilitiesAndStockhol"/>
            <w:bookmarkEnd w:id="92"/>
          </w:p>
        </w:tc>
      </w:tr>
      <w:tr>
        <w:trPr/>
        <w:tc>
          <w:tcPr>
            <w:tcW w:w="7410" w:type="dxa"/>
            <w:tcBorders/>
            <w:shd w:fill="EEEEEE" w:val="clear"/>
            <w:vAlign w:val="center"/>
          </w:tcPr>
          <w:p>
            <w:pPr>
              <w:pStyle w:val="TableContents"/>
              <w:bidi w:val="0"/>
              <w:spacing w:before="0" w:after="283"/>
              <w:jc w:val="left"/>
              <w:rPr>
                <w:b/>
              </w:rPr>
            </w:pPr>
            <w:r>
              <w:rPr>
                <w:b/>
              </w:rPr>
              <w:t>Total liability and stockholder’ equity</w:t>
            </w:r>
          </w:p>
        </w:tc>
        <w:tc>
          <w:tcPr>
            <w:tcW w:w="60" w:type="dxa"/>
            <w:tcBorders/>
            <w:shd w:fill="EEEEEE" w:val="clear"/>
            <w:vAlign w:val="center"/>
          </w:tcPr>
          <w:p>
            <w:pPr>
              <w:pStyle w:val="TableContents"/>
              <w:bidi w:val="0"/>
              <w:spacing w:before="0" w:after="283"/>
              <w:jc w:val="left"/>
              <w:rPr/>
            </w:pPr>
            <w:r>
              <w:rPr/>
              <w:t> </w:t>
            </w:r>
          </w:p>
        </w:tc>
        <w:tc>
          <w:tcPr>
            <w:tcW w:w="155"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089" w:type="dxa"/>
            <w:tcBorders>
              <w:bottom w:val="double" w:sz="6" w:space="0" w:color="000000"/>
            </w:tcBorders>
            <w:shd w:fill="EEEEEE" w:val="clear"/>
            <w:tcMar>
              <w:bottom w:w="28" w:type="dxa"/>
            </w:tcMar>
            <w:vAlign w:val="center"/>
          </w:tcPr>
          <w:p>
            <w:pPr>
              <w:pStyle w:val="TableContents"/>
              <w:bidi w:val="0"/>
              <w:spacing w:before="0" w:after="283"/>
              <w:jc w:val="right"/>
              <w:rPr/>
            </w:pPr>
            <w:r>
              <w:rPr/>
              <w:t>2,880,848</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2"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071" w:type="dxa"/>
            <w:tcBorders>
              <w:bottom w:val="double" w:sz="6" w:space="0" w:color="000000"/>
            </w:tcBorders>
            <w:shd w:fill="EEEEEE" w:val="clear"/>
            <w:tcMar>
              <w:bottom w:w="28" w:type="dxa"/>
            </w:tcMar>
            <w:vAlign w:val="center"/>
          </w:tcPr>
          <w:p>
            <w:pPr>
              <w:pStyle w:val="TableContents"/>
              <w:bidi w:val="0"/>
              <w:spacing w:before="0" w:after="283"/>
              <w:jc w:val="right"/>
              <w:rPr/>
            </w:pPr>
            <w:r>
              <w:rPr/>
              <w:t>2,752,768</w:t>
            </w:r>
          </w:p>
        </w:tc>
        <w:tc>
          <w:tcPr>
            <w:tcW w:w="113"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CONSUMER PORTFOLIO SERVICES,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3" w:name="q3_005"/>
      <w:bookmarkEnd w:id="93"/>
      <w:r>
        <w:rPr>
          <w:rFonts w:ascii="Times New Roman;Times;Serif" w:hAnsi="Times New Roman;Times;Serif"/>
          <w:b/>
          <w:i w:val="false"/>
          <w:caps w:val="false"/>
          <w:smallCaps w:val="false"/>
          <w:sz w:val="20"/>
        </w:rPr>
        <w:t>UNAUDITED CONDENSED 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data)</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94" w:name="xdx_30A_113_pn3n3_zXWRys1KoFjl"/>
      <w:bookmarkStart w:id="95" w:name="xdx_30A_113_pn3n3_zXWRys1KoFjl"/>
      <w:bookmarkEnd w:id="95"/>
    </w:p>
    <w:tbl>
      <w:tblPr>
        <w:tblW w:w="9948" w:type="dxa"/>
        <w:jc w:val="left"/>
        <w:tblInd w:w="0" w:type="dxa"/>
        <w:tblLayout w:type="fixed"/>
        <w:tblCellMar>
          <w:top w:w="0" w:type="dxa"/>
          <w:left w:w="0" w:type="dxa"/>
          <w:bottom w:w="0" w:type="dxa"/>
          <w:right w:w="0" w:type="dxa"/>
        </w:tblCellMar>
      </w:tblPr>
      <w:tblGrid>
        <w:gridCol w:w="5345"/>
        <w:gridCol w:w="60"/>
        <w:gridCol w:w="172"/>
        <w:gridCol w:w="837"/>
        <w:gridCol w:w="116"/>
        <w:gridCol w:w="73"/>
        <w:gridCol w:w="172"/>
        <w:gridCol w:w="837"/>
        <w:gridCol w:w="95"/>
        <w:gridCol w:w="60"/>
        <w:gridCol w:w="142"/>
        <w:gridCol w:w="815"/>
        <w:gridCol w:w="96"/>
        <w:gridCol w:w="61"/>
        <w:gridCol w:w="142"/>
        <w:gridCol w:w="815"/>
        <w:gridCol w:w="110"/>
      </w:tblGrid>
      <w:tr>
        <w:trPr/>
        <w:tc>
          <w:tcPr>
            <w:tcW w:w="53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bookmarkStart w:id="96" w:name="xdx_492_20230701__20230930_zdS2NxYhiCSl"/>
            <w:bookmarkEnd w:id="96"/>
          </w:p>
        </w:tc>
        <w:tc>
          <w:tcPr>
            <w:tcW w:w="837" w:type="dxa"/>
            <w:tcBorders/>
            <w:shd w:fill="FFFFFF" w:val="clear"/>
            <w:vAlign w:val="center"/>
          </w:tcPr>
          <w:p>
            <w:pPr>
              <w:pStyle w:val="TableContents"/>
              <w:bidi w:val="0"/>
              <w:spacing w:before="0" w:after="283"/>
              <w:jc w:val="center"/>
              <w:rPr/>
            </w:pPr>
            <w:r>
              <w:rPr/>
              <w:t> </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bookmarkStart w:id="97" w:name="xdx_490_20220701__20220930_zsBVg2wWyzA"/>
            <w:bookmarkEnd w:id="97"/>
          </w:p>
        </w:tc>
        <w:tc>
          <w:tcPr>
            <w:tcW w:w="837"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bookmarkStart w:id="98" w:name="xdx_495_20230101__20230930_z0BKVkdf5oci"/>
            <w:bookmarkEnd w:id="98"/>
          </w:p>
        </w:tc>
        <w:tc>
          <w:tcPr>
            <w:tcW w:w="815" w:type="dxa"/>
            <w:tcBorders/>
            <w:shd w:fill="FFFFFF" w:val="clear"/>
            <w:vAlign w:val="center"/>
          </w:tcPr>
          <w:p>
            <w:pPr>
              <w:pStyle w:val="TableContents"/>
              <w:bidi w:val="0"/>
              <w:spacing w:before="0" w:after="283"/>
              <w:jc w:val="center"/>
              <w:rPr/>
            </w:pPr>
            <w:r>
              <w:rPr/>
              <w:t> </w:t>
            </w:r>
          </w:p>
        </w:tc>
        <w:tc>
          <w:tcPr>
            <w:tcW w:w="96"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bookmarkStart w:id="99" w:name="xdx_490_20220101__20220930_zctxcbrufuBi"/>
            <w:bookmarkEnd w:id="99"/>
          </w:p>
        </w:tc>
        <w:tc>
          <w:tcPr>
            <w:tcW w:w="815" w:type="dxa"/>
            <w:tcBorders/>
            <w:shd w:fill="FFFFFF" w:val="clear"/>
            <w:vAlign w:val="center"/>
          </w:tcPr>
          <w:p>
            <w:pPr>
              <w:pStyle w:val="TableContents"/>
              <w:bidi w:val="0"/>
              <w:spacing w:before="0" w:after="283"/>
              <w:jc w:val="center"/>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1" w:type="dxa"/>
            <w:gridSpan w:val="6"/>
            <w:tcBorders/>
            <w:vAlign w:val="center"/>
          </w:tcPr>
          <w:p>
            <w:pPr>
              <w:pStyle w:val="TableContents"/>
              <w:bidi w:val="0"/>
              <w:spacing w:before="0" w:after="283"/>
              <w:jc w:val="center"/>
              <w:rPr>
                <w:b/>
              </w:rPr>
            </w:pPr>
            <w:r>
              <w:rPr>
                <w:b/>
              </w:rPr>
              <w:t>Nine Months Ended</w:t>
            </w:r>
          </w:p>
        </w:tc>
        <w:tc>
          <w:tcPr>
            <w:tcW w:w="110" w:type="dxa"/>
            <w:tcBorders/>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110" w:type="dxa"/>
            <w:tcBorders/>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6"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6"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bookmarkStart w:id="100" w:name="xdx_407_eus-gaap--RevenuesAbstract_iB_zw"/>
            <w:bookmarkEnd w:id="100"/>
          </w:p>
        </w:tc>
      </w:tr>
      <w:tr>
        <w:trPr/>
        <w:tc>
          <w:tcPr>
            <w:tcW w:w="5345" w:type="dxa"/>
            <w:tcBorders/>
            <w:vAlign w:val="center"/>
          </w:tcPr>
          <w:p>
            <w:pPr>
              <w:pStyle w:val="TableContents"/>
              <w:bidi w:val="0"/>
              <w:spacing w:before="0" w:after="283"/>
              <w:jc w:val="left"/>
              <w:rPr>
                <w:b/>
              </w:rPr>
            </w:pPr>
            <w:r>
              <w:rPr>
                <w:b/>
              </w:rPr>
              <w:t>Revenues:</w:t>
            </w:r>
          </w:p>
        </w:tc>
        <w:tc>
          <w:tcPr>
            <w:tcW w:w="60"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right"/>
              <w:rPr/>
            </w:pPr>
            <w:r>
              <w:rPr/>
              <w:t> </w:t>
            </w:r>
          </w:p>
        </w:tc>
        <w:tc>
          <w:tcPr>
            <w:tcW w:w="116"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7" w:type="dxa"/>
            <w:gridSpan w:val="2"/>
            <w:tcBorders/>
            <w:vAlign w:val="center"/>
          </w:tcPr>
          <w:p>
            <w:pPr>
              <w:pStyle w:val="TableContents"/>
              <w:bidi w:val="0"/>
              <w:spacing w:before="0" w:after="283"/>
              <w:jc w:val="center"/>
              <w:rPr/>
            </w:pPr>
            <w:r>
              <w:rPr/>
              <w:t> </w:t>
            </w:r>
          </w:p>
        </w:tc>
        <w:tc>
          <w:tcPr>
            <w:tcW w:w="96"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57"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01" w:name="xdx_40E_eus-gaap--InterestAndFeeIncomeLo"/>
            <w:bookmarkEnd w:id="101"/>
          </w:p>
        </w:tc>
      </w:tr>
      <w:tr>
        <w:trPr/>
        <w:tc>
          <w:tcPr>
            <w:tcW w:w="5345" w:type="dxa"/>
            <w:tcBorders/>
            <w:shd w:fill="EEEEEE" w:val="clear"/>
            <w:vAlign w:val="center"/>
          </w:tcPr>
          <w:p>
            <w:pPr>
              <w:pStyle w:val="TableContents"/>
              <w:bidi w:val="0"/>
              <w:spacing w:before="0" w:after="283"/>
              <w:jc w:val="left"/>
              <w:rPr/>
            </w:pPr>
            <w:r>
              <w:rPr/>
              <w:t>Interest income</w:t>
            </w:r>
          </w:p>
        </w:tc>
        <w:tc>
          <w:tcPr>
            <w:tcW w:w="60" w:type="dxa"/>
            <w:tcBorders/>
            <w:shd w:fill="EEEEEE" w:val="clear"/>
            <w:vAlign w:val="center"/>
          </w:tcPr>
          <w:p>
            <w:pPr>
              <w:pStyle w:val="TableContents"/>
              <w:bidi w:val="0"/>
              <w:spacing w:before="0" w:after="283"/>
              <w:jc w:val="left"/>
              <w:rPr/>
            </w:pPr>
            <w:r>
              <w:rPr/>
              <w:t> </w:t>
            </w:r>
          </w:p>
        </w:tc>
        <w:tc>
          <w:tcPr>
            <w:tcW w:w="172" w:type="dxa"/>
            <w:tcBorders/>
            <w:shd w:fill="EEEEEE" w:val="clear"/>
            <w:vAlign w:val="center"/>
          </w:tcPr>
          <w:p>
            <w:pPr>
              <w:pStyle w:val="TableContents"/>
              <w:bidi w:val="0"/>
              <w:spacing w:before="0" w:after="283"/>
              <w:jc w:val="left"/>
              <w:rPr/>
            </w:pPr>
            <w:r>
              <w:rPr/>
              <w:t>$</w:t>
            </w:r>
          </w:p>
        </w:tc>
        <w:tc>
          <w:tcPr>
            <w:tcW w:w="837" w:type="dxa"/>
            <w:tcBorders/>
            <w:shd w:fill="EEEEEE" w:val="clear"/>
            <w:vAlign w:val="center"/>
          </w:tcPr>
          <w:p>
            <w:pPr>
              <w:pStyle w:val="TableContents"/>
              <w:bidi w:val="0"/>
              <w:spacing w:before="0" w:after="283"/>
              <w:jc w:val="right"/>
              <w:rPr/>
            </w:pPr>
            <w:r>
              <w:rPr/>
              <w:t>83,261</w:t>
            </w:r>
          </w:p>
        </w:tc>
        <w:tc>
          <w:tcPr>
            <w:tcW w:w="116" w:type="dxa"/>
            <w:tcBorders/>
            <w:shd w:fill="EEEEEE" w:val="clear"/>
            <w:vAlign w:val="center"/>
          </w:tcPr>
          <w:p>
            <w:pPr>
              <w:pStyle w:val="TableContents"/>
              <w:bidi w:val="0"/>
              <w:spacing w:before="0" w:after="283"/>
              <w:jc w:val="left"/>
              <w:rPr/>
            </w:pPr>
            <w:r>
              <w:rPr/>
              <w:t> </w:t>
            </w:r>
          </w:p>
        </w:tc>
        <w:tc>
          <w:tcPr>
            <w:tcW w:w="73" w:type="dxa"/>
            <w:tcBorders/>
            <w:shd w:fill="EEEEEE" w:val="clear"/>
            <w:vAlign w:val="center"/>
          </w:tcPr>
          <w:p>
            <w:pPr>
              <w:pStyle w:val="TableContents"/>
              <w:bidi w:val="0"/>
              <w:spacing w:before="0" w:after="283"/>
              <w:jc w:val="left"/>
              <w:rPr/>
            </w:pPr>
            <w:r>
              <w:rPr/>
              <w:t> </w:t>
            </w:r>
          </w:p>
        </w:tc>
        <w:tc>
          <w:tcPr>
            <w:tcW w:w="172" w:type="dxa"/>
            <w:tcBorders/>
            <w:shd w:fill="EEEEEE" w:val="clear"/>
            <w:vAlign w:val="center"/>
          </w:tcPr>
          <w:p>
            <w:pPr>
              <w:pStyle w:val="TableContents"/>
              <w:bidi w:val="0"/>
              <w:spacing w:before="0" w:after="283"/>
              <w:jc w:val="left"/>
              <w:rPr/>
            </w:pPr>
            <w:r>
              <w:rPr/>
              <w:t>$</w:t>
            </w:r>
          </w:p>
        </w:tc>
        <w:tc>
          <w:tcPr>
            <w:tcW w:w="837" w:type="dxa"/>
            <w:tcBorders/>
            <w:shd w:fill="EEEEEE" w:val="clear"/>
            <w:vAlign w:val="center"/>
          </w:tcPr>
          <w:p>
            <w:pPr>
              <w:pStyle w:val="TableContents"/>
              <w:bidi w:val="0"/>
              <w:spacing w:before="0" w:after="283"/>
              <w:jc w:val="right"/>
              <w:rPr/>
            </w:pPr>
            <w:r>
              <w:rPr/>
              <w:t>79,817</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w:t>
            </w:r>
          </w:p>
        </w:tc>
        <w:tc>
          <w:tcPr>
            <w:tcW w:w="815" w:type="dxa"/>
            <w:tcBorders/>
            <w:shd w:fill="EEEEEE" w:val="clear"/>
            <w:vAlign w:val="center"/>
          </w:tcPr>
          <w:p>
            <w:pPr>
              <w:pStyle w:val="TableContents"/>
              <w:bidi w:val="0"/>
              <w:spacing w:before="0" w:after="283"/>
              <w:jc w:val="right"/>
              <w:rPr/>
            </w:pPr>
            <w:r>
              <w:rPr/>
              <w:t>245,960</w:t>
            </w:r>
          </w:p>
        </w:tc>
        <w:tc>
          <w:tcPr>
            <w:tcW w:w="96"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w:t>
            </w:r>
          </w:p>
        </w:tc>
        <w:tc>
          <w:tcPr>
            <w:tcW w:w="815" w:type="dxa"/>
            <w:tcBorders/>
            <w:shd w:fill="EEEEEE" w:val="clear"/>
            <w:vAlign w:val="center"/>
          </w:tcPr>
          <w:p>
            <w:pPr>
              <w:pStyle w:val="TableContents"/>
              <w:bidi w:val="0"/>
              <w:spacing w:before="0" w:after="283"/>
              <w:jc w:val="right"/>
              <w:rPr/>
            </w:pPr>
            <w:r>
              <w:rPr/>
              <w:t>225,547</w:t>
            </w:r>
          </w:p>
        </w:tc>
        <w:tc>
          <w:tcPr>
            <w:tcW w:w="110" w:type="dxa"/>
            <w:tcBorders/>
            <w:shd w:fill="EEEEEE" w:val="clear"/>
            <w:vAlign w:val="center"/>
          </w:tcPr>
          <w:p>
            <w:pPr>
              <w:pStyle w:val="TableContents"/>
              <w:bidi w:val="0"/>
              <w:spacing w:before="0" w:after="283"/>
              <w:jc w:val="left"/>
              <w:rPr/>
            </w:pPr>
            <w:r>
              <w:rPr/>
              <w:t> </w:t>
            </w:r>
            <w:bookmarkStart w:id="102" w:name="xdx_407_ecustom--MarkToFinanceReceivable"/>
            <w:bookmarkEnd w:id="102"/>
          </w:p>
        </w:tc>
      </w:tr>
      <w:tr>
        <w:trPr/>
        <w:tc>
          <w:tcPr>
            <w:tcW w:w="5345" w:type="dxa"/>
            <w:tcBorders/>
            <w:shd w:fill="FFFFFF" w:val="clear"/>
            <w:vAlign w:val="center"/>
          </w:tcPr>
          <w:p>
            <w:pPr>
              <w:pStyle w:val="TableContents"/>
              <w:bidi w:val="0"/>
              <w:spacing w:before="0" w:after="283"/>
              <w:jc w:val="left"/>
              <w:rPr/>
            </w:pPr>
            <w:r>
              <w:rPr/>
              <w:t>Mark to finance receivables measured at fair value</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6,000</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8,183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6,000</w:t>
            </w:r>
          </w:p>
        </w:tc>
        <w:tc>
          <w:tcPr>
            <w:tcW w:w="96"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15,283</w:t>
            </w:r>
          </w:p>
        </w:tc>
        <w:tc>
          <w:tcPr>
            <w:tcW w:w="110" w:type="dxa"/>
            <w:tcBorders/>
            <w:shd w:fill="FFFFFF" w:val="clear"/>
            <w:vAlign w:val="center"/>
          </w:tcPr>
          <w:p>
            <w:pPr>
              <w:pStyle w:val="TableContents"/>
              <w:bidi w:val="0"/>
              <w:spacing w:before="0" w:after="283"/>
              <w:jc w:val="left"/>
              <w:rPr/>
            </w:pPr>
            <w:r>
              <w:rPr/>
              <w:t> </w:t>
            </w:r>
            <w:bookmarkStart w:id="103" w:name="xdx_406_eus-gaap--OtherOperatingIncome_i"/>
            <w:bookmarkEnd w:id="103"/>
          </w:p>
        </w:tc>
      </w:tr>
      <w:tr>
        <w:trPr/>
        <w:tc>
          <w:tcPr>
            <w:tcW w:w="5345" w:type="dxa"/>
            <w:tcBorders/>
            <w:shd w:fill="EEEEEE" w:val="clear"/>
            <w:vAlign w:val="center"/>
          </w:tcPr>
          <w:p>
            <w:pPr>
              <w:pStyle w:val="TableContents"/>
              <w:bidi w:val="0"/>
              <w:spacing w:before="0" w:after="283"/>
              <w:jc w:val="left"/>
              <w:rPr/>
            </w:pPr>
            <w:r>
              <w:rPr/>
              <w:t>Other income</w:t>
            </w:r>
          </w:p>
        </w:tc>
        <w:tc>
          <w:tcPr>
            <w:tcW w:w="60" w:type="dxa"/>
            <w:tcBorders/>
            <w:shd w:fill="EEEEEE" w:val="clear"/>
            <w:vAlign w:val="center"/>
          </w:tcPr>
          <w:p>
            <w:pPr>
              <w:pStyle w:val="TableContents"/>
              <w:bidi w:val="0"/>
              <w:spacing w:before="0" w:after="283"/>
              <w:jc w:val="left"/>
              <w:rPr/>
            </w:pPr>
            <w:r>
              <w:rPr/>
              <w:t> </w:t>
            </w:r>
          </w:p>
        </w:tc>
        <w:tc>
          <w:tcPr>
            <w:tcW w:w="172"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37" w:type="dxa"/>
            <w:tcBorders>
              <w:bottom w:val="single" w:sz="8" w:space="0" w:color="000000"/>
            </w:tcBorders>
            <w:shd w:fill="EEEEEE" w:val="clear"/>
            <w:tcMar>
              <w:bottom w:w="28" w:type="dxa"/>
            </w:tcMar>
            <w:vAlign w:val="center"/>
          </w:tcPr>
          <w:p>
            <w:pPr>
              <w:pStyle w:val="TableContents"/>
              <w:bidi w:val="0"/>
              <w:spacing w:before="0" w:after="283"/>
              <w:jc w:val="right"/>
              <w:rPr/>
            </w:pPr>
            <w:r>
              <w:rPr/>
              <w:t>2,818</w:t>
            </w:r>
          </w:p>
        </w:tc>
        <w:tc>
          <w:tcPr>
            <w:tcW w:w="116" w:type="dxa"/>
            <w:tcBorders/>
            <w:shd w:fill="EEEEEE" w:val="clear"/>
            <w:vAlign w:val="center"/>
          </w:tcPr>
          <w:p>
            <w:pPr>
              <w:pStyle w:val="TableContents"/>
              <w:bidi w:val="0"/>
              <w:spacing w:before="0" w:after="283"/>
              <w:jc w:val="left"/>
              <w:rPr/>
            </w:pPr>
            <w:r>
              <w:rPr/>
              <w:t> </w:t>
            </w:r>
          </w:p>
        </w:tc>
        <w:tc>
          <w:tcPr>
            <w:tcW w:w="73" w:type="dxa"/>
            <w:tcBorders/>
            <w:shd w:fill="EEEEEE" w:val="clear"/>
            <w:vAlign w:val="center"/>
          </w:tcPr>
          <w:p>
            <w:pPr>
              <w:pStyle w:val="TableContents"/>
              <w:bidi w:val="0"/>
              <w:spacing w:before="0" w:after="283"/>
              <w:jc w:val="left"/>
              <w:rPr/>
            </w:pPr>
            <w:r>
              <w:rPr/>
              <w:t> </w:t>
            </w:r>
          </w:p>
        </w:tc>
        <w:tc>
          <w:tcPr>
            <w:tcW w:w="172"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37" w:type="dxa"/>
            <w:tcBorders>
              <w:bottom w:val="single" w:sz="8" w:space="0" w:color="000000"/>
            </w:tcBorders>
            <w:shd w:fill="EEEEEE" w:val="clear"/>
            <w:tcMar>
              <w:bottom w:w="28" w:type="dxa"/>
            </w:tcMar>
            <w:vAlign w:val="center"/>
          </w:tcPr>
          <w:p>
            <w:pPr>
              <w:pStyle w:val="TableContents"/>
              <w:bidi w:val="0"/>
              <w:spacing w:before="0" w:after="283"/>
              <w:jc w:val="right"/>
              <w:rPr/>
            </w:pPr>
            <w:r>
              <w:rPr/>
              <w:t>2,305</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EEEEEE" w:val="clear"/>
            <w:tcMar>
              <w:bottom w:w="28" w:type="dxa"/>
            </w:tcMar>
            <w:vAlign w:val="center"/>
          </w:tcPr>
          <w:p>
            <w:pPr>
              <w:pStyle w:val="TableContents"/>
              <w:bidi w:val="0"/>
              <w:spacing w:before="0" w:after="283"/>
              <w:jc w:val="right"/>
              <w:rPr/>
            </w:pPr>
            <w:r>
              <w:rPr/>
              <w:t>8,077</w:t>
            </w:r>
          </w:p>
        </w:tc>
        <w:tc>
          <w:tcPr>
            <w:tcW w:w="96"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2"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EEEEEE" w:val="clear"/>
            <w:tcMar>
              <w:bottom w:w="28" w:type="dxa"/>
            </w:tcMar>
            <w:vAlign w:val="center"/>
          </w:tcPr>
          <w:p>
            <w:pPr>
              <w:pStyle w:val="TableContents"/>
              <w:bidi w:val="0"/>
              <w:spacing w:before="0" w:after="283"/>
              <w:jc w:val="right"/>
              <w:rPr/>
            </w:pPr>
            <w:r>
              <w:rPr/>
              <w:t>5,859</w:t>
            </w:r>
          </w:p>
        </w:tc>
        <w:tc>
          <w:tcPr>
            <w:tcW w:w="110" w:type="dxa"/>
            <w:tcBorders/>
            <w:shd w:fill="EEEEEE" w:val="clear"/>
            <w:vAlign w:val="center"/>
          </w:tcPr>
          <w:p>
            <w:pPr>
              <w:pStyle w:val="TableContents"/>
              <w:bidi w:val="0"/>
              <w:spacing w:before="0" w:after="283"/>
              <w:jc w:val="left"/>
              <w:rPr/>
            </w:pPr>
            <w:r>
              <w:rPr/>
              <w:t> </w:t>
            </w:r>
            <w:bookmarkStart w:id="104" w:name="xdx_40F_eus-gaap--Revenues_i01T_pn3n3_mt"/>
            <w:bookmarkEnd w:id="104"/>
          </w:p>
        </w:tc>
      </w:tr>
      <w:tr>
        <w:trPr/>
        <w:tc>
          <w:tcPr>
            <w:tcW w:w="5345" w:type="dxa"/>
            <w:tcBorders/>
            <w:shd w:fill="FFFFFF" w:val="clear"/>
            <w:vAlign w:val="center"/>
          </w:tcPr>
          <w:p>
            <w:pPr>
              <w:pStyle w:val="TableContents"/>
              <w:bidi w:val="0"/>
              <w:spacing w:before="0" w:after="283"/>
              <w:jc w:val="left"/>
              <w:rPr>
                <w:b/>
              </w:rPr>
            </w:pPr>
            <w:r>
              <w:rPr>
                <w:b/>
              </w:rPr>
              <w:t>Total revenues</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7" w:type="dxa"/>
            <w:tcBorders>
              <w:bottom w:val="single" w:sz="8" w:space="0" w:color="000000"/>
            </w:tcBorders>
            <w:shd w:fill="FFFFFF" w:val="clear"/>
            <w:tcMar>
              <w:bottom w:w="28" w:type="dxa"/>
            </w:tcMar>
            <w:vAlign w:val="center"/>
          </w:tcPr>
          <w:p>
            <w:pPr>
              <w:pStyle w:val="TableContents"/>
              <w:bidi w:val="0"/>
              <w:spacing w:before="0" w:after="283"/>
              <w:jc w:val="right"/>
              <w:rPr/>
            </w:pPr>
            <w:r>
              <w:rPr/>
              <w:t>92,079</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7" w:type="dxa"/>
            <w:tcBorders>
              <w:bottom w:val="single" w:sz="8" w:space="0" w:color="000000"/>
            </w:tcBorders>
            <w:shd w:fill="FFFFFF" w:val="clear"/>
            <w:tcMar>
              <w:bottom w:w="28" w:type="dxa"/>
            </w:tcMar>
            <w:vAlign w:val="center"/>
          </w:tcPr>
          <w:p>
            <w:pPr>
              <w:pStyle w:val="TableContents"/>
              <w:bidi w:val="0"/>
              <w:spacing w:before="0" w:after="283"/>
              <w:jc w:val="right"/>
              <w:rPr/>
            </w:pPr>
            <w:r>
              <w:rPr/>
              <w:t>90,305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pPr>
            <w:r>
              <w:rPr/>
              <w:t>260,037</w:t>
            </w:r>
          </w:p>
        </w:tc>
        <w:tc>
          <w:tcPr>
            <w:tcW w:w="96"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pPr>
            <w:r>
              <w:rPr/>
              <w:t>246,689</w:t>
            </w:r>
          </w:p>
        </w:tc>
        <w:tc>
          <w:tcPr>
            <w:tcW w:w="110" w:type="dxa"/>
            <w:tcBorders/>
            <w:shd w:fill="FFFFFF" w:val="clear"/>
            <w:vAlign w:val="center"/>
          </w:tcPr>
          <w:p>
            <w:pPr>
              <w:pStyle w:val="TableContents"/>
              <w:bidi w:val="0"/>
              <w:spacing w:before="0" w:after="283"/>
              <w:jc w:val="left"/>
              <w:rPr/>
            </w:pPr>
            <w:r>
              <w:rPr/>
              <w:t> </w:t>
            </w:r>
          </w:p>
        </w:tc>
      </w:tr>
      <w:tr>
        <w:trPr/>
        <w:tc>
          <w:tcPr>
            <w:tcW w:w="534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2" w:type="dxa"/>
            <w:tcBorders/>
            <w:shd w:fill="EEEEEE" w:val="clear"/>
            <w:vAlign w:val="center"/>
          </w:tcPr>
          <w:p>
            <w:pPr>
              <w:pStyle w:val="TableContents"/>
              <w:bidi w:val="0"/>
              <w:spacing w:before="0" w:after="283"/>
              <w:jc w:val="left"/>
              <w:rPr/>
            </w:pPr>
            <w:r>
              <w:rPr/>
              <w:t> </w:t>
            </w:r>
          </w:p>
        </w:tc>
        <w:tc>
          <w:tcPr>
            <w:tcW w:w="837" w:type="dxa"/>
            <w:tcBorders/>
            <w:shd w:fill="EEEEEE" w:val="clear"/>
            <w:vAlign w:val="center"/>
          </w:tcPr>
          <w:p>
            <w:pPr>
              <w:pStyle w:val="TableContents"/>
              <w:bidi w:val="0"/>
              <w:spacing w:before="0" w:after="283"/>
              <w:jc w:val="right"/>
              <w:rPr/>
            </w:pPr>
            <w:r>
              <w:rPr/>
              <w:t> </w:t>
            </w:r>
          </w:p>
        </w:tc>
        <w:tc>
          <w:tcPr>
            <w:tcW w:w="116" w:type="dxa"/>
            <w:tcBorders/>
            <w:shd w:fill="EEEEEE" w:val="clear"/>
            <w:vAlign w:val="center"/>
          </w:tcPr>
          <w:p>
            <w:pPr>
              <w:pStyle w:val="TableContents"/>
              <w:bidi w:val="0"/>
              <w:spacing w:before="0" w:after="283"/>
              <w:jc w:val="left"/>
              <w:rPr/>
            </w:pPr>
            <w:r>
              <w:rPr/>
              <w:t> </w:t>
            </w:r>
          </w:p>
        </w:tc>
        <w:tc>
          <w:tcPr>
            <w:tcW w:w="73" w:type="dxa"/>
            <w:tcBorders/>
            <w:shd w:fill="EEEEEE" w:val="clear"/>
            <w:vAlign w:val="center"/>
          </w:tcPr>
          <w:p>
            <w:pPr>
              <w:pStyle w:val="TableContents"/>
              <w:bidi w:val="0"/>
              <w:spacing w:before="0" w:after="283"/>
              <w:jc w:val="left"/>
              <w:rPr/>
            </w:pPr>
            <w:r>
              <w:rPr/>
              <w:t> </w:t>
            </w:r>
          </w:p>
        </w:tc>
        <w:tc>
          <w:tcPr>
            <w:tcW w:w="172" w:type="dxa"/>
            <w:tcBorders/>
            <w:shd w:fill="EEEEEE" w:val="clear"/>
            <w:vAlign w:val="center"/>
          </w:tcPr>
          <w:p>
            <w:pPr>
              <w:pStyle w:val="TableContents"/>
              <w:bidi w:val="0"/>
              <w:spacing w:before="0" w:after="283"/>
              <w:jc w:val="left"/>
              <w:rPr/>
            </w:pPr>
            <w:r>
              <w:rPr/>
              <w:t> </w:t>
            </w:r>
          </w:p>
        </w:tc>
        <w:tc>
          <w:tcPr>
            <w:tcW w:w="837"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815" w:type="dxa"/>
            <w:tcBorders/>
            <w:shd w:fill="EEEEEE" w:val="clear"/>
            <w:vAlign w:val="center"/>
          </w:tcPr>
          <w:p>
            <w:pPr>
              <w:pStyle w:val="TableContents"/>
              <w:bidi w:val="0"/>
              <w:spacing w:before="0" w:after="283"/>
              <w:jc w:val="right"/>
              <w:rPr/>
            </w:pPr>
            <w:r>
              <w:rPr/>
              <w:t> </w:t>
            </w:r>
          </w:p>
        </w:tc>
        <w:tc>
          <w:tcPr>
            <w:tcW w:w="96"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815"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bookmarkStart w:id="105" w:name="xdx_40C_eus-gaap--OperatingExpensesAbstr"/>
            <w:bookmarkEnd w:id="105"/>
          </w:p>
        </w:tc>
      </w:tr>
      <w:tr>
        <w:trPr/>
        <w:tc>
          <w:tcPr>
            <w:tcW w:w="5345" w:type="dxa"/>
            <w:tcBorders/>
            <w:shd w:fill="FFFFFF" w:val="clear"/>
            <w:vAlign w:val="center"/>
          </w:tcPr>
          <w:p>
            <w:pPr>
              <w:pStyle w:val="TableContents"/>
              <w:bidi w:val="0"/>
              <w:spacing w:before="0" w:after="283"/>
              <w:jc w:val="left"/>
              <w:rPr>
                <w:b/>
              </w:rPr>
            </w:pPr>
            <w:r>
              <w:rPr>
                <w:b/>
              </w:rPr>
              <w:t>Expenses: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6" w:name="xdx_40A_eus-gaap--SalariesAndWages_i01_m"/>
            <w:bookmarkEnd w:id="106"/>
          </w:p>
        </w:tc>
      </w:tr>
      <w:tr>
        <w:trPr/>
        <w:tc>
          <w:tcPr>
            <w:tcW w:w="5345" w:type="dxa"/>
            <w:tcBorders/>
            <w:shd w:fill="EEEEEE" w:val="clear"/>
            <w:vAlign w:val="center"/>
          </w:tcPr>
          <w:p>
            <w:pPr>
              <w:pStyle w:val="TableContents"/>
              <w:bidi w:val="0"/>
              <w:spacing w:before="0" w:after="283"/>
              <w:jc w:val="left"/>
              <w:rPr/>
            </w:pPr>
            <w:r>
              <w:rPr/>
              <w:t>Employee costs</w:t>
            </w:r>
          </w:p>
        </w:tc>
        <w:tc>
          <w:tcPr>
            <w:tcW w:w="60" w:type="dxa"/>
            <w:tcBorders/>
            <w:shd w:fill="EEEEEE" w:val="clear"/>
            <w:vAlign w:val="center"/>
          </w:tcPr>
          <w:p>
            <w:pPr>
              <w:pStyle w:val="TableContents"/>
              <w:bidi w:val="0"/>
              <w:spacing w:before="0" w:after="283"/>
              <w:jc w:val="left"/>
              <w:rPr/>
            </w:pPr>
            <w:r>
              <w:rPr/>
              <w:t> </w:t>
            </w:r>
          </w:p>
        </w:tc>
        <w:tc>
          <w:tcPr>
            <w:tcW w:w="172" w:type="dxa"/>
            <w:tcBorders/>
            <w:shd w:fill="EEEEEE" w:val="clear"/>
            <w:vAlign w:val="center"/>
          </w:tcPr>
          <w:p>
            <w:pPr>
              <w:pStyle w:val="TableContents"/>
              <w:bidi w:val="0"/>
              <w:spacing w:before="0" w:after="283"/>
              <w:jc w:val="left"/>
              <w:rPr/>
            </w:pPr>
            <w:r>
              <w:rPr/>
              <w:t> </w:t>
            </w:r>
          </w:p>
        </w:tc>
        <w:tc>
          <w:tcPr>
            <w:tcW w:w="837" w:type="dxa"/>
            <w:tcBorders/>
            <w:shd w:fill="EEEEEE" w:val="clear"/>
            <w:vAlign w:val="center"/>
          </w:tcPr>
          <w:p>
            <w:pPr>
              <w:pStyle w:val="TableContents"/>
              <w:bidi w:val="0"/>
              <w:spacing w:before="0" w:after="283"/>
              <w:jc w:val="right"/>
              <w:rPr/>
            </w:pPr>
            <w:r>
              <w:rPr/>
              <w:t>21,812</w:t>
            </w:r>
          </w:p>
        </w:tc>
        <w:tc>
          <w:tcPr>
            <w:tcW w:w="116" w:type="dxa"/>
            <w:tcBorders/>
            <w:shd w:fill="EEEEEE" w:val="clear"/>
            <w:vAlign w:val="center"/>
          </w:tcPr>
          <w:p>
            <w:pPr>
              <w:pStyle w:val="TableContents"/>
              <w:bidi w:val="0"/>
              <w:spacing w:before="0" w:after="283"/>
              <w:jc w:val="left"/>
              <w:rPr/>
            </w:pPr>
            <w:r>
              <w:rPr/>
              <w:t> </w:t>
            </w:r>
          </w:p>
        </w:tc>
        <w:tc>
          <w:tcPr>
            <w:tcW w:w="73" w:type="dxa"/>
            <w:tcBorders/>
            <w:shd w:fill="EEEEEE" w:val="clear"/>
            <w:vAlign w:val="center"/>
          </w:tcPr>
          <w:p>
            <w:pPr>
              <w:pStyle w:val="TableContents"/>
              <w:bidi w:val="0"/>
              <w:spacing w:before="0" w:after="283"/>
              <w:jc w:val="left"/>
              <w:rPr/>
            </w:pPr>
            <w:r>
              <w:rPr/>
              <w:t> </w:t>
            </w:r>
          </w:p>
        </w:tc>
        <w:tc>
          <w:tcPr>
            <w:tcW w:w="172" w:type="dxa"/>
            <w:tcBorders/>
            <w:shd w:fill="EEEEEE" w:val="clear"/>
            <w:vAlign w:val="center"/>
          </w:tcPr>
          <w:p>
            <w:pPr>
              <w:pStyle w:val="TableContents"/>
              <w:bidi w:val="0"/>
              <w:spacing w:before="0" w:after="283"/>
              <w:jc w:val="left"/>
              <w:rPr/>
            </w:pPr>
            <w:r>
              <w:rPr/>
              <w:t> </w:t>
            </w:r>
          </w:p>
        </w:tc>
        <w:tc>
          <w:tcPr>
            <w:tcW w:w="837" w:type="dxa"/>
            <w:tcBorders/>
            <w:shd w:fill="EEEEEE" w:val="clear"/>
            <w:vAlign w:val="center"/>
          </w:tcPr>
          <w:p>
            <w:pPr>
              <w:pStyle w:val="TableContents"/>
              <w:bidi w:val="0"/>
              <w:spacing w:before="0" w:after="283"/>
              <w:jc w:val="right"/>
              <w:rPr/>
            </w:pPr>
            <w:r>
              <w:rPr/>
              <w:t>20,671</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815" w:type="dxa"/>
            <w:tcBorders/>
            <w:shd w:fill="EEEEEE" w:val="clear"/>
            <w:vAlign w:val="center"/>
          </w:tcPr>
          <w:p>
            <w:pPr>
              <w:pStyle w:val="TableContents"/>
              <w:bidi w:val="0"/>
              <w:spacing w:before="0" w:after="283"/>
              <w:jc w:val="right"/>
              <w:rPr/>
            </w:pPr>
            <w:r>
              <w:rPr/>
              <w:t>64,991</w:t>
            </w:r>
          </w:p>
        </w:tc>
        <w:tc>
          <w:tcPr>
            <w:tcW w:w="96"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815" w:type="dxa"/>
            <w:tcBorders/>
            <w:shd w:fill="EEEEEE" w:val="clear"/>
            <w:vAlign w:val="center"/>
          </w:tcPr>
          <w:p>
            <w:pPr>
              <w:pStyle w:val="TableContents"/>
              <w:bidi w:val="0"/>
              <w:spacing w:before="0" w:after="283"/>
              <w:jc w:val="right"/>
              <w:rPr/>
            </w:pPr>
            <w:r>
              <w:rPr/>
              <w:t>63,414</w:t>
            </w:r>
          </w:p>
        </w:tc>
        <w:tc>
          <w:tcPr>
            <w:tcW w:w="110" w:type="dxa"/>
            <w:tcBorders/>
            <w:shd w:fill="EEEEEE" w:val="clear"/>
            <w:vAlign w:val="center"/>
          </w:tcPr>
          <w:p>
            <w:pPr>
              <w:pStyle w:val="TableContents"/>
              <w:bidi w:val="0"/>
              <w:spacing w:before="0" w:after="283"/>
              <w:jc w:val="left"/>
              <w:rPr/>
            </w:pPr>
            <w:r>
              <w:rPr/>
              <w:t> </w:t>
            </w:r>
            <w:bookmarkStart w:id="107" w:name="xdx_404_eus-gaap--GeneralAndAdministrati"/>
            <w:bookmarkEnd w:id="107"/>
          </w:p>
        </w:tc>
      </w:tr>
      <w:tr>
        <w:trPr/>
        <w:tc>
          <w:tcPr>
            <w:tcW w:w="5345"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13,045</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9,408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36,224</w:t>
            </w:r>
          </w:p>
        </w:tc>
        <w:tc>
          <w:tcPr>
            <w:tcW w:w="96"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25,920</w:t>
            </w:r>
          </w:p>
        </w:tc>
        <w:tc>
          <w:tcPr>
            <w:tcW w:w="110" w:type="dxa"/>
            <w:tcBorders/>
            <w:shd w:fill="FFFFFF" w:val="clear"/>
            <w:vAlign w:val="center"/>
          </w:tcPr>
          <w:p>
            <w:pPr>
              <w:pStyle w:val="TableContents"/>
              <w:bidi w:val="0"/>
              <w:spacing w:before="0" w:after="283"/>
              <w:jc w:val="left"/>
              <w:rPr/>
            </w:pPr>
            <w:r>
              <w:rPr/>
              <w:t> </w:t>
            </w:r>
            <w:bookmarkStart w:id="108" w:name="xdx_408_eus-gaap--InterestExpense_i01_ma"/>
            <w:bookmarkEnd w:id="108"/>
          </w:p>
        </w:tc>
      </w:tr>
      <w:tr>
        <w:trPr/>
        <w:tc>
          <w:tcPr>
            <w:tcW w:w="5345" w:type="dxa"/>
            <w:tcBorders/>
            <w:shd w:fill="EEEEEE" w:val="clear"/>
            <w:vAlign w:val="center"/>
          </w:tcPr>
          <w:p>
            <w:pPr>
              <w:pStyle w:val="TableContents"/>
              <w:bidi w:val="0"/>
              <w:spacing w:before="0" w:after="283"/>
              <w:jc w:val="left"/>
              <w:rPr/>
            </w:pPr>
            <w:r>
              <w:rPr/>
              <w:t>Interest</w:t>
            </w:r>
          </w:p>
        </w:tc>
        <w:tc>
          <w:tcPr>
            <w:tcW w:w="60" w:type="dxa"/>
            <w:tcBorders/>
            <w:shd w:fill="EEEEEE" w:val="clear"/>
            <w:vAlign w:val="center"/>
          </w:tcPr>
          <w:p>
            <w:pPr>
              <w:pStyle w:val="TableContents"/>
              <w:bidi w:val="0"/>
              <w:spacing w:before="0" w:after="283"/>
              <w:jc w:val="left"/>
              <w:rPr/>
            </w:pPr>
            <w:r>
              <w:rPr/>
              <w:t> </w:t>
            </w:r>
          </w:p>
        </w:tc>
        <w:tc>
          <w:tcPr>
            <w:tcW w:w="172" w:type="dxa"/>
            <w:tcBorders/>
            <w:shd w:fill="EEEEEE" w:val="clear"/>
            <w:vAlign w:val="center"/>
          </w:tcPr>
          <w:p>
            <w:pPr>
              <w:pStyle w:val="TableContents"/>
              <w:bidi w:val="0"/>
              <w:spacing w:before="0" w:after="283"/>
              <w:jc w:val="left"/>
              <w:rPr/>
            </w:pPr>
            <w:r>
              <w:rPr/>
              <w:t> </w:t>
            </w:r>
          </w:p>
        </w:tc>
        <w:tc>
          <w:tcPr>
            <w:tcW w:w="837" w:type="dxa"/>
            <w:tcBorders/>
            <w:shd w:fill="EEEEEE" w:val="clear"/>
            <w:vAlign w:val="center"/>
          </w:tcPr>
          <w:p>
            <w:pPr>
              <w:pStyle w:val="TableContents"/>
              <w:bidi w:val="0"/>
              <w:spacing w:before="0" w:after="283"/>
              <w:jc w:val="right"/>
              <w:rPr/>
            </w:pPr>
            <w:r>
              <w:rPr/>
              <w:t>37,889</w:t>
            </w:r>
          </w:p>
        </w:tc>
        <w:tc>
          <w:tcPr>
            <w:tcW w:w="116" w:type="dxa"/>
            <w:tcBorders/>
            <w:shd w:fill="EEEEEE" w:val="clear"/>
            <w:vAlign w:val="center"/>
          </w:tcPr>
          <w:p>
            <w:pPr>
              <w:pStyle w:val="TableContents"/>
              <w:bidi w:val="0"/>
              <w:spacing w:before="0" w:after="283"/>
              <w:jc w:val="left"/>
              <w:rPr/>
            </w:pPr>
            <w:r>
              <w:rPr/>
              <w:t> </w:t>
            </w:r>
          </w:p>
        </w:tc>
        <w:tc>
          <w:tcPr>
            <w:tcW w:w="73" w:type="dxa"/>
            <w:tcBorders/>
            <w:shd w:fill="EEEEEE" w:val="clear"/>
            <w:vAlign w:val="center"/>
          </w:tcPr>
          <w:p>
            <w:pPr>
              <w:pStyle w:val="TableContents"/>
              <w:bidi w:val="0"/>
              <w:spacing w:before="0" w:after="283"/>
              <w:jc w:val="left"/>
              <w:rPr/>
            </w:pPr>
            <w:r>
              <w:rPr/>
              <w:t> </w:t>
            </w:r>
          </w:p>
        </w:tc>
        <w:tc>
          <w:tcPr>
            <w:tcW w:w="172" w:type="dxa"/>
            <w:tcBorders/>
            <w:shd w:fill="EEEEEE" w:val="clear"/>
            <w:vAlign w:val="center"/>
          </w:tcPr>
          <w:p>
            <w:pPr>
              <w:pStyle w:val="TableContents"/>
              <w:bidi w:val="0"/>
              <w:spacing w:before="0" w:after="283"/>
              <w:jc w:val="left"/>
              <w:rPr/>
            </w:pPr>
            <w:r>
              <w:rPr/>
              <w:t> </w:t>
            </w:r>
          </w:p>
        </w:tc>
        <w:tc>
          <w:tcPr>
            <w:tcW w:w="837" w:type="dxa"/>
            <w:tcBorders/>
            <w:shd w:fill="EEEEEE" w:val="clear"/>
            <w:vAlign w:val="center"/>
          </w:tcPr>
          <w:p>
            <w:pPr>
              <w:pStyle w:val="TableContents"/>
              <w:bidi w:val="0"/>
              <w:spacing w:before="0" w:after="283"/>
              <w:jc w:val="right"/>
              <w:rPr/>
            </w:pPr>
            <w:r>
              <w:rPr/>
              <w:t>23,483</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815" w:type="dxa"/>
            <w:tcBorders/>
            <w:shd w:fill="EEEEEE" w:val="clear"/>
            <w:vAlign w:val="center"/>
          </w:tcPr>
          <w:p>
            <w:pPr>
              <w:pStyle w:val="TableContents"/>
              <w:bidi w:val="0"/>
              <w:spacing w:before="0" w:after="283"/>
              <w:jc w:val="right"/>
              <w:rPr/>
            </w:pPr>
            <w:r>
              <w:rPr/>
              <w:t>106,354</w:t>
            </w:r>
          </w:p>
        </w:tc>
        <w:tc>
          <w:tcPr>
            <w:tcW w:w="96"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815" w:type="dxa"/>
            <w:tcBorders/>
            <w:shd w:fill="EEEEEE" w:val="clear"/>
            <w:vAlign w:val="center"/>
          </w:tcPr>
          <w:p>
            <w:pPr>
              <w:pStyle w:val="TableContents"/>
              <w:bidi w:val="0"/>
              <w:spacing w:before="0" w:after="283"/>
              <w:jc w:val="right"/>
              <w:rPr/>
            </w:pPr>
            <w:r>
              <w:rPr/>
              <w:t>58,654</w:t>
            </w:r>
          </w:p>
        </w:tc>
        <w:tc>
          <w:tcPr>
            <w:tcW w:w="110" w:type="dxa"/>
            <w:tcBorders/>
            <w:shd w:fill="EEEEEE" w:val="clear"/>
            <w:vAlign w:val="center"/>
          </w:tcPr>
          <w:p>
            <w:pPr>
              <w:pStyle w:val="TableContents"/>
              <w:bidi w:val="0"/>
              <w:spacing w:before="0" w:after="283"/>
              <w:jc w:val="left"/>
              <w:rPr/>
            </w:pPr>
            <w:r>
              <w:rPr/>
              <w:t> </w:t>
            </w:r>
            <w:bookmarkStart w:id="109" w:name="xdx_40E_ecustom--ProvisionForCreditLosse"/>
            <w:bookmarkEnd w:id="109"/>
          </w:p>
        </w:tc>
      </w:tr>
      <w:tr>
        <w:trPr/>
        <w:tc>
          <w:tcPr>
            <w:tcW w:w="5345" w:type="dxa"/>
            <w:tcBorders/>
            <w:shd w:fill="FFFFFF" w:val="clear"/>
            <w:vAlign w:val="center"/>
          </w:tcPr>
          <w:p>
            <w:pPr>
              <w:pStyle w:val="TableContents"/>
              <w:bidi w:val="0"/>
              <w:spacing w:before="0" w:after="283"/>
              <w:jc w:val="left"/>
              <w:rPr/>
            </w:pPr>
            <w:r>
              <w:rPr/>
              <w:t>Provision for credit losses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(2,000</w:t>
            </w:r>
          </w:p>
        </w:tc>
        <w:tc>
          <w:tcPr>
            <w:tcW w:w="116"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(6,000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(20,700</w:t>
            </w:r>
          </w:p>
        </w:tc>
        <w:tc>
          <w:tcPr>
            <w:tcW w:w="96"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(23,400</w:t>
            </w:r>
          </w:p>
        </w:tc>
        <w:tc>
          <w:tcPr>
            <w:tcW w:w="110" w:type="dxa"/>
            <w:tcBorders/>
            <w:shd w:fill="FFFFFF" w:val="clear"/>
            <w:vAlign w:val="center"/>
          </w:tcPr>
          <w:p>
            <w:pPr>
              <w:pStyle w:val="TableContents"/>
              <w:bidi w:val="0"/>
              <w:spacing w:before="0" w:after="283"/>
              <w:jc w:val="left"/>
              <w:rPr/>
            </w:pPr>
            <w:r>
              <w:rPr/>
              <w:t>)</w:t>
            </w:r>
            <w:bookmarkStart w:id="110" w:name="xdx_409_eus-gaap--SellingAndMarketingExp"/>
            <w:bookmarkEnd w:id="110"/>
          </w:p>
        </w:tc>
      </w:tr>
      <w:tr>
        <w:trPr/>
        <w:tc>
          <w:tcPr>
            <w:tcW w:w="5345" w:type="dxa"/>
            <w:tcBorders/>
            <w:shd w:fill="EEEEEE" w:val="clear"/>
            <w:vAlign w:val="center"/>
          </w:tcPr>
          <w:p>
            <w:pPr>
              <w:pStyle w:val="TableContents"/>
              <w:bidi w:val="0"/>
              <w:spacing w:before="0" w:after="283"/>
              <w:jc w:val="left"/>
              <w:rPr/>
            </w:pPr>
            <w:r>
              <w:rPr/>
              <w:t>Sales</w:t>
            </w:r>
          </w:p>
        </w:tc>
        <w:tc>
          <w:tcPr>
            <w:tcW w:w="60" w:type="dxa"/>
            <w:tcBorders/>
            <w:shd w:fill="EEEEEE" w:val="clear"/>
            <w:vAlign w:val="center"/>
          </w:tcPr>
          <w:p>
            <w:pPr>
              <w:pStyle w:val="TableContents"/>
              <w:bidi w:val="0"/>
              <w:spacing w:before="0" w:after="283"/>
              <w:jc w:val="left"/>
              <w:rPr/>
            </w:pPr>
            <w:r>
              <w:rPr/>
              <w:t> </w:t>
            </w:r>
          </w:p>
        </w:tc>
        <w:tc>
          <w:tcPr>
            <w:tcW w:w="172" w:type="dxa"/>
            <w:tcBorders/>
            <w:shd w:fill="EEEEEE" w:val="clear"/>
            <w:vAlign w:val="center"/>
          </w:tcPr>
          <w:p>
            <w:pPr>
              <w:pStyle w:val="TableContents"/>
              <w:bidi w:val="0"/>
              <w:spacing w:before="0" w:after="283"/>
              <w:jc w:val="left"/>
              <w:rPr/>
            </w:pPr>
            <w:r>
              <w:rPr/>
              <w:t> </w:t>
            </w:r>
          </w:p>
        </w:tc>
        <w:tc>
          <w:tcPr>
            <w:tcW w:w="837" w:type="dxa"/>
            <w:tcBorders/>
            <w:shd w:fill="EEEEEE" w:val="clear"/>
            <w:vAlign w:val="center"/>
          </w:tcPr>
          <w:p>
            <w:pPr>
              <w:pStyle w:val="TableContents"/>
              <w:bidi w:val="0"/>
              <w:spacing w:before="0" w:after="283"/>
              <w:jc w:val="right"/>
              <w:rPr/>
            </w:pPr>
            <w:r>
              <w:rPr/>
              <w:t>5,330</w:t>
            </w:r>
          </w:p>
        </w:tc>
        <w:tc>
          <w:tcPr>
            <w:tcW w:w="116" w:type="dxa"/>
            <w:tcBorders/>
            <w:shd w:fill="EEEEEE" w:val="clear"/>
            <w:vAlign w:val="center"/>
          </w:tcPr>
          <w:p>
            <w:pPr>
              <w:pStyle w:val="TableContents"/>
              <w:bidi w:val="0"/>
              <w:spacing w:before="0" w:after="283"/>
              <w:jc w:val="left"/>
              <w:rPr/>
            </w:pPr>
            <w:r>
              <w:rPr/>
              <w:t> </w:t>
            </w:r>
          </w:p>
        </w:tc>
        <w:tc>
          <w:tcPr>
            <w:tcW w:w="73" w:type="dxa"/>
            <w:tcBorders/>
            <w:shd w:fill="EEEEEE" w:val="clear"/>
            <w:vAlign w:val="center"/>
          </w:tcPr>
          <w:p>
            <w:pPr>
              <w:pStyle w:val="TableContents"/>
              <w:bidi w:val="0"/>
              <w:spacing w:before="0" w:after="283"/>
              <w:jc w:val="left"/>
              <w:rPr/>
            </w:pPr>
            <w:r>
              <w:rPr/>
              <w:t> </w:t>
            </w:r>
          </w:p>
        </w:tc>
        <w:tc>
          <w:tcPr>
            <w:tcW w:w="172" w:type="dxa"/>
            <w:tcBorders/>
            <w:shd w:fill="EEEEEE" w:val="clear"/>
            <w:vAlign w:val="center"/>
          </w:tcPr>
          <w:p>
            <w:pPr>
              <w:pStyle w:val="TableContents"/>
              <w:bidi w:val="0"/>
              <w:spacing w:before="0" w:after="283"/>
              <w:jc w:val="left"/>
              <w:rPr/>
            </w:pPr>
            <w:r>
              <w:rPr/>
              <w:t> </w:t>
            </w:r>
          </w:p>
        </w:tc>
        <w:tc>
          <w:tcPr>
            <w:tcW w:w="837" w:type="dxa"/>
            <w:tcBorders/>
            <w:shd w:fill="EEEEEE" w:val="clear"/>
            <w:vAlign w:val="center"/>
          </w:tcPr>
          <w:p>
            <w:pPr>
              <w:pStyle w:val="TableContents"/>
              <w:bidi w:val="0"/>
              <w:spacing w:before="0" w:after="283"/>
              <w:jc w:val="right"/>
              <w:rPr/>
            </w:pPr>
            <w:r>
              <w:rPr/>
              <w:t>5,962</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815" w:type="dxa"/>
            <w:tcBorders/>
            <w:shd w:fill="EEEEEE" w:val="clear"/>
            <w:vAlign w:val="center"/>
          </w:tcPr>
          <w:p>
            <w:pPr>
              <w:pStyle w:val="TableContents"/>
              <w:bidi w:val="0"/>
              <w:spacing w:before="0" w:after="283"/>
              <w:jc w:val="right"/>
              <w:rPr/>
            </w:pPr>
            <w:r>
              <w:rPr/>
              <w:t>16,517</w:t>
            </w:r>
          </w:p>
        </w:tc>
        <w:tc>
          <w:tcPr>
            <w:tcW w:w="96"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815" w:type="dxa"/>
            <w:tcBorders/>
            <w:shd w:fill="EEEEEE" w:val="clear"/>
            <w:vAlign w:val="center"/>
          </w:tcPr>
          <w:p>
            <w:pPr>
              <w:pStyle w:val="TableContents"/>
              <w:bidi w:val="0"/>
              <w:spacing w:before="0" w:after="283"/>
              <w:jc w:val="right"/>
              <w:rPr/>
            </w:pPr>
            <w:r>
              <w:rPr/>
              <w:t>17,186</w:t>
            </w:r>
          </w:p>
        </w:tc>
        <w:tc>
          <w:tcPr>
            <w:tcW w:w="110" w:type="dxa"/>
            <w:tcBorders/>
            <w:shd w:fill="EEEEEE" w:val="clear"/>
            <w:vAlign w:val="center"/>
          </w:tcPr>
          <w:p>
            <w:pPr>
              <w:pStyle w:val="TableContents"/>
              <w:bidi w:val="0"/>
              <w:spacing w:before="0" w:after="283"/>
              <w:jc w:val="left"/>
              <w:rPr/>
            </w:pPr>
            <w:r>
              <w:rPr/>
              <w:t> </w:t>
            </w:r>
            <w:bookmarkStart w:id="111" w:name="xdx_408_eus-gaap--OccupancyNet_i01_maCz9"/>
            <w:bookmarkEnd w:id="111"/>
          </w:p>
        </w:tc>
      </w:tr>
      <w:tr>
        <w:trPr/>
        <w:tc>
          <w:tcPr>
            <w:tcW w:w="5345" w:type="dxa"/>
            <w:tcBorders/>
            <w:shd w:fill="FFFFFF" w:val="clear"/>
            <w:vAlign w:val="center"/>
          </w:tcPr>
          <w:p>
            <w:pPr>
              <w:pStyle w:val="TableContents"/>
              <w:bidi w:val="0"/>
              <w:spacing w:before="0" w:after="283"/>
              <w:jc w:val="left"/>
              <w:rPr/>
            </w:pPr>
            <w:r>
              <w:rPr/>
              <w:t>Occupancy</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1,586</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2,031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4,756</w:t>
            </w:r>
          </w:p>
        </w:tc>
        <w:tc>
          <w:tcPr>
            <w:tcW w:w="96"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5,820</w:t>
            </w:r>
          </w:p>
        </w:tc>
        <w:tc>
          <w:tcPr>
            <w:tcW w:w="110" w:type="dxa"/>
            <w:tcBorders/>
            <w:shd w:fill="FFFFFF" w:val="clear"/>
            <w:vAlign w:val="center"/>
          </w:tcPr>
          <w:p>
            <w:pPr>
              <w:pStyle w:val="TableContents"/>
              <w:bidi w:val="0"/>
              <w:spacing w:before="0" w:after="283"/>
              <w:jc w:val="left"/>
              <w:rPr/>
            </w:pPr>
            <w:r>
              <w:rPr/>
              <w:t> </w:t>
            </w:r>
            <w:bookmarkStart w:id="112" w:name="xdx_40D_eus-gaap--DepreciationDepletionA"/>
            <w:bookmarkEnd w:id="112"/>
          </w:p>
        </w:tc>
      </w:tr>
      <w:tr>
        <w:trPr/>
        <w:tc>
          <w:tcPr>
            <w:tcW w:w="5345" w:type="dxa"/>
            <w:tcBorders/>
            <w:shd w:fill="EEEEEE" w:val="clear"/>
            <w:vAlign w:val="center"/>
          </w:tcPr>
          <w:p>
            <w:pPr>
              <w:pStyle w:val="TableContents"/>
              <w:bidi w:val="0"/>
              <w:spacing w:before="0" w:after="283"/>
              <w:jc w:val="left"/>
              <w:rPr/>
            </w:pPr>
            <w:r>
              <w:rPr/>
              <w:t>Depreciation and amortization</w:t>
            </w:r>
          </w:p>
        </w:tc>
        <w:tc>
          <w:tcPr>
            <w:tcW w:w="60" w:type="dxa"/>
            <w:tcBorders/>
            <w:shd w:fill="EEEEEE" w:val="clear"/>
            <w:vAlign w:val="center"/>
          </w:tcPr>
          <w:p>
            <w:pPr>
              <w:pStyle w:val="TableContents"/>
              <w:bidi w:val="0"/>
              <w:spacing w:before="0" w:after="283"/>
              <w:jc w:val="left"/>
              <w:rPr/>
            </w:pPr>
            <w:r>
              <w:rPr/>
              <w:t> </w:t>
            </w:r>
          </w:p>
        </w:tc>
        <w:tc>
          <w:tcPr>
            <w:tcW w:w="172"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37" w:type="dxa"/>
            <w:tcBorders>
              <w:bottom w:val="single" w:sz="8" w:space="0" w:color="000000"/>
            </w:tcBorders>
            <w:shd w:fill="EEEEEE" w:val="clear"/>
            <w:tcMar>
              <w:bottom w:w="28" w:type="dxa"/>
            </w:tcMar>
            <w:vAlign w:val="center"/>
          </w:tcPr>
          <w:p>
            <w:pPr>
              <w:pStyle w:val="TableContents"/>
              <w:bidi w:val="0"/>
              <w:spacing w:before="0" w:after="283"/>
              <w:jc w:val="right"/>
              <w:rPr/>
            </w:pPr>
            <w:r>
              <w:rPr/>
              <w:t>199</w:t>
            </w:r>
          </w:p>
        </w:tc>
        <w:tc>
          <w:tcPr>
            <w:tcW w:w="116" w:type="dxa"/>
            <w:tcBorders/>
            <w:shd w:fill="EEEEEE" w:val="clear"/>
            <w:vAlign w:val="center"/>
          </w:tcPr>
          <w:p>
            <w:pPr>
              <w:pStyle w:val="TableContents"/>
              <w:bidi w:val="0"/>
              <w:spacing w:before="0" w:after="283"/>
              <w:jc w:val="left"/>
              <w:rPr/>
            </w:pPr>
            <w:r>
              <w:rPr/>
              <w:t> </w:t>
            </w:r>
          </w:p>
        </w:tc>
        <w:tc>
          <w:tcPr>
            <w:tcW w:w="73" w:type="dxa"/>
            <w:tcBorders/>
            <w:shd w:fill="EEEEEE" w:val="clear"/>
            <w:vAlign w:val="center"/>
          </w:tcPr>
          <w:p>
            <w:pPr>
              <w:pStyle w:val="TableContents"/>
              <w:bidi w:val="0"/>
              <w:spacing w:before="0" w:after="283"/>
              <w:jc w:val="left"/>
              <w:rPr/>
            </w:pPr>
            <w:r>
              <w:rPr/>
              <w:t> </w:t>
            </w:r>
          </w:p>
        </w:tc>
        <w:tc>
          <w:tcPr>
            <w:tcW w:w="172"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37" w:type="dxa"/>
            <w:tcBorders>
              <w:bottom w:val="single" w:sz="8" w:space="0" w:color="000000"/>
            </w:tcBorders>
            <w:shd w:fill="EEEEEE" w:val="clear"/>
            <w:tcMar>
              <w:bottom w:w="28" w:type="dxa"/>
            </w:tcMar>
            <w:vAlign w:val="center"/>
          </w:tcPr>
          <w:p>
            <w:pPr>
              <w:pStyle w:val="TableContents"/>
              <w:bidi w:val="0"/>
              <w:spacing w:before="0" w:after="283"/>
              <w:jc w:val="right"/>
              <w:rPr/>
            </w:pPr>
            <w:r>
              <w:rPr/>
              <w:t>406</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EEEEEE" w:val="clear"/>
            <w:tcMar>
              <w:bottom w:w="28" w:type="dxa"/>
            </w:tcMar>
            <w:vAlign w:val="center"/>
          </w:tcPr>
          <w:p>
            <w:pPr>
              <w:pStyle w:val="TableContents"/>
              <w:bidi w:val="0"/>
              <w:spacing w:before="0" w:after="283"/>
              <w:jc w:val="right"/>
              <w:rPr/>
            </w:pPr>
            <w:r>
              <w:rPr/>
              <w:t>642</w:t>
            </w:r>
          </w:p>
        </w:tc>
        <w:tc>
          <w:tcPr>
            <w:tcW w:w="96"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2"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EEEEEE" w:val="clear"/>
            <w:tcMar>
              <w:bottom w:w="28" w:type="dxa"/>
            </w:tcMar>
            <w:vAlign w:val="center"/>
          </w:tcPr>
          <w:p>
            <w:pPr>
              <w:pStyle w:val="TableContents"/>
              <w:bidi w:val="0"/>
              <w:spacing w:before="0" w:after="283"/>
              <w:jc w:val="right"/>
              <w:rPr/>
            </w:pPr>
            <w:r>
              <w:rPr/>
              <w:t>1,207</w:t>
            </w:r>
          </w:p>
        </w:tc>
        <w:tc>
          <w:tcPr>
            <w:tcW w:w="110" w:type="dxa"/>
            <w:tcBorders/>
            <w:shd w:fill="EEEEEE" w:val="clear"/>
            <w:vAlign w:val="center"/>
          </w:tcPr>
          <w:p>
            <w:pPr>
              <w:pStyle w:val="TableContents"/>
              <w:bidi w:val="0"/>
              <w:spacing w:before="0" w:after="283"/>
              <w:jc w:val="left"/>
              <w:rPr/>
            </w:pPr>
            <w:r>
              <w:rPr/>
              <w:t> </w:t>
            </w:r>
            <w:bookmarkStart w:id="113" w:name="xdx_407_eus-gaap--OperatingExpenses_i01T"/>
            <w:bookmarkEnd w:id="113"/>
          </w:p>
        </w:tc>
      </w:tr>
      <w:tr>
        <w:trPr/>
        <w:tc>
          <w:tcPr>
            <w:tcW w:w="5345"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7" w:type="dxa"/>
            <w:tcBorders>
              <w:bottom w:val="single" w:sz="8" w:space="0" w:color="000000"/>
            </w:tcBorders>
            <w:shd w:fill="FFFFFF" w:val="clear"/>
            <w:tcMar>
              <w:bottom w:w="28" w:type="dxa"/>
            </w:tcMar>
            <w:vAlign w:val="center"/>
          </w:tcPr>
          <w:p>
            <w:pPr>
              <w:pStyle w:val="TableContents"/>
              <w:bidi w:val="0"/>
              <w:spacing w:before="0" w:after="283"/>
              <w:jc w:val="right"/>
              <w:rPr/>
            </w:pPr>
            <w:r>
              <w:rPr/>
              <w:t>77,861</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7" w:type="dxa"/>
            <w:tcBorders>
              <w:bottom w:val="single" w:sz="8" w:space="0" w:color="000000"/>
            </w:tcBorders>
            <w:shd w:fill="FFFFFF" w:val="clear"/>
            <w:tcMar>
              <w:bottom w:w="28" w:type="dxa"/>
            </w:tcMar>
            <w:vAlign w:val="center"/>
          </w:tcPr>
          <w:p>
            <w:pPr>
              <w:pStyle w:val="TableContents"/>
              <w:bidi w:val="0"/>
              <w:spacing w:before="0" w:after="283"/>
              <w:jc w:val="right"/>
              <w:rPr/>
            </w:pPr>
            <w:r>
              <w:rPr/>
              <w:t>55,961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pPr>
            <w:r>
              <w:rPr/>
              <w:t>208,784</w:t>
            </w:r>
          </w:p>
        </w:tc>
        <w:tc>
          <w:tcPr>
            <w:tcW w:w="96"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pPr>
            <w:r>
              <w:rPr/>
              <w:t>148,801</w:t>
            </w:r>
          </w:p>
        </w:tc>
        <w:tc>
          <w:tcPr>
            <w:tcW w:w="110" w:type="dxa"/>
            <w:tcBorders/>
            <w:shd w:fill="FFFFFF" w:val="clear"/>
            <w:vAlign w:val="center"/>
          </w:tcPr>
          <w:p>
            <w:pPr>
              <w:pStyle w:val="TableContents"/>
              <w:bidi w:val="0"/>
              <w:spacing w:before="0" w:after="283"/>
              <w:jc w:val="left"/>
              <w:rPr/>
            </w:pPr>
            <w:r>
              <w:rPr/>
              <w:t> </w:t>
            </w:r>
            <w:bookmarkStart w:id="114" w:name="xdx_407_eus-gaap--IncomeLossFromContinui"/>
            <w:bookmarkEnd w:id="114"/>
          </w:p>
        </w:tc>
      </w:tr>
      <w:tr>
        <w:trPr/>
        <w:tc>
          <w:tcPr>
            <w:tcW w:w="5345" w:type="dxa"/>
            <w:tcBorders/>
            <w:shd w:fill="EEEEEE" w:val="clear"/>
            <w:vAlign w:val="center"/>
          </w:tcPr>
          <w:p>
            <w:pPr>
              <w:pStyle w:val="TableContents"/>
              <w:bidi w:val="0"/>
              <w:spacing w:before="0" w:after="283"/>
              <w:jc w:val="left"/>
              <w:rPr/>
            </w:pPr>
            <w:r>
              <w:rPr/>
              <w:t>Income before income tax expense</w:t>
            </w:r>
          </w:p>
        </w:tc>
        <w:tc>
          <w:tcPr>
            <w:tcW w:w="60" w:type="dxa"/>
            <w:tcBorders/>
            <w:shd w:fill="EEEEEE" w:val="clear"/>
            <w:vAlign w:val="center"/>
          </w:tcPr>
          <w:p>
            <w:pPr>
              <w:pStyle w:val="TableContents"/>
              <w:bidi w:val="0"/>
              <w:spacing w:before="0" w:after="283"/>
              <w:jc w:val="left"/>
              <w:rPr/>
            </w:pPr>
            <w:r>
              <w:rPr/>
              <w:t> </w:t>
            </w:r>
          </w:p>
        </w:tc>
        <w:tc>
          <w:tcPr>
            <w:tcW w:w="172" w:type="dxa"/>
            <w:tcBorders/>
            <w:shd w:fill="EEEEEE" w:val="clear"/>
            <w:vAlign w:val="center"/>
          </w:tcPr>
          <w:p>
            <w:pPr>
              <w:pStyle w:val="TableContents"/>
              <w:bidi w:val="0"/>
              <w:spacing w:before="0" w:after="283"/>
              <w:jc w:val="left"/>
              <w:rPr/>
            </w:pPr>
            <w:r>
              <w:rPr/>
              <w:t> </w:t>
            </w:r>
          </w:p>
        </w:tc>
        <w:tc>
          <w:tcPr>
            <w:tcW w:w="837" w:type="dxa"/>
            <w:tcBorders/>
            <w:shd w:fill="EEEEEE" w:val="clear"/>
            <w:vAlign w:val="center"/>
          </w:tcPr>
          <w:p>
            <w:pPr>
              <w:pStyle w:val="TableContents"/>
              <w:bidi w:val="0"/>
              <w:spacing w:before="0" w:after="283"/>
              <w:jc w:val="right"/>
              <w:rPr/>
            </w:pPr>
            <w:r>
              <w:rPr/>
              <w:t>14,218</w:t>
            </w:r>
          </w:p>
        </w:tc>
        <w:tc>
          <w:tcPr>
            <w:tcW w:w="116" w:type="dxa"/>
            <w:tcBorders/>
            <w:shd w:fill="EEEEEE" w:val="clear"/>
            <w:vAlign w:val="center"/>
          </w:tcPr>
          <w:p>
            <w:pPr>
              <w:pStyle w:val="TableContents"/>
              <w:bidi w:val="0"/>
              <w:spacing w:before="0" w:after="283"/>
              <w:jc w:val="left"/>
              <w:rPr/>
            </w:pPr>
            <w:r>
              <w:rPr/>
              <w:t> </w:t>
            </w:r>
          </w:p>
        </w:tc>
        <w:tc>
          <w:tcPr>
            <w:tcW w:w="73" w:type="dxa"/>
            <w:tcBorders/>
            <w:shd w:fill="EEEEEE" w:val="clear"/>
            <w:vAlign w:val="center"/>
          </w:tcPr>
          <w:p>
            <w:pPr>
              <w:pStyle w:val="TableContents"/>
              <w:bidi w:val="0"/>
              <w:spacing w:before="0" w:after="283"/>
              <w:jc w:val="left"/>
              <w:rPr/>
            </w:pPr>
            <w:r>
              <w:rPr/>
              <w:t> </w:t>
            </w:r>
          </w:p>
        </w:tc>
        <w:tc>
          <w:tcPr>
            <w:tcW w:w="172" w:type="dxa"/>
            <w:tcBorders/>
            <w:shd w:fill="EEEEEE" w:val="clear"/>
            <w:vAlign w:val="center"/>
          </w:tcPr>
          <w:p>
            <w:pPr>
              <w:pStyle w:val="TableContents"/>
              <w:bidi w:val="0"/>
              <w:spacing w:before="0" w:after="283"/>
              <w:jc w:val="left"/>
              <w:rPr/>
            </w:pPr>
            <w:r>
              <w:rPr/>
              <w:t> </w:t>
            </w:r>
          </w:p>
        </w:tc>
        <w:tc>
          <w:tcPr>
            <w:tcW w:w="837" w:type="dxa"/>
            <w:tcBorders/>
            <w:shd w:fill="EEEEEE" w:val="clear"/>
            <w:vAlign w:val="center"/>
          </w:tcPr>
          <w:p>
            <w:pPr>
              <w:pStyle w:val="TableContents"/>
              <w:bidi w:val="0"/>
              <w:spacing w:before="0" w:after="283"/>
              <w:jc w:val="right"/>
              <w:rPr/>
            </w:pPr>
            <w:r>
              <w:rPr/>
              <w:t>34,344</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815" w:type="dxa"/>
            <w:tcBorders/>
            <w:shd w:fill="EEEEEE" w:val="clear"/>
            <w:vAlign w:val="center"/>
          </w:tcPr>
          <w:p>
            <w:pPr>
              <w:pStyle w:val="TableContents"/>
              <w:bidi w:val="0"/>
              <w:spacing w:before="0" w:after="283"/>
              <w:jc w:val="right"/>
              <w:rPr/>
            </w:pPr>
            <w:r>
              <w:rPr/>
              <w:t>51,253</w:t>
            </w:r>
          </w:p>
        </w:tc>
        <w:tc>
          <w:tcPr>
            <w:tcW w:w="96"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815" w:type="dxa"/>
            <w:tcBorders/>
            <w:shd w:fill="EEEEEE" w:val="clear"/>
            <w:vAlign w:val="center"/>
          </w:tcPr>
          <w:p>
            <w:pPr>
              <w:pStyle w:val="TableContents"/>
              <w:bidi w:val="0"/>
              <w:spacing w:before="0" w:after="283"/>
              <w:jc w:val="right"/>
              <w:rPr/>
            </w:pPr>
            <w:r>
              <w:rPr/>
              <w:t>97,888</w:t>
            </w:r>
          </w:p>
        </w:tc>
        <w:tc>
          <w:tcPr>
            <w:tcW w:w="110" w:type="dxa"/>
            <w:tcBorders/>
            <w:shd w:fill="EEEEEE" w:val="clear"/>
            <w:vAlign w:val="center"/>
          </w:tcPr>
          <w:p>
            <w:pPr>
              <w:pStyle w:val="TableContents"/>
              <w:bidi w:val="0"/>
              <w:spacing w:before="0" w:after="283"/>
              <w:jc w:val="left"/>
              <w:rPr/>
            </w:pPr>
            <w:r>
              <w:rPr/>
              <w:t> </w:t>
            </w:r>
            <w:bookmarkStart w:id="115" w:name="xdx_404_eus-gaap--IncomeTaxExpenseBenefi"/>
            <w:bookmarkEnd w:id="115"/>
          </w:p>
        </w:tc>
      </w:tr>
      <w:tr>
        <w:trPr/>
        <w:tc>
          <w:tcPr>
            <w:tcW w:w="5345"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7" w:type="dxa"/>
            <w:tcBorders>
              <w:bottom w:val="single" w:sz="8" w:space="0" w:color="000000"/>
            </w:tcBorders>
            <w:shd w:fill="FFFFFF" w:val="clear"/>
            <w:tcMar>
              <w:bottom w:w="28" w:type="dxa"/>
            </w:tcMar>
            <w:vAlign w:val="center"/>
          </w:tcPr>
          <w:p>
            <w:pPr>
              <w:pStyle w:val="TableContents"/>
              <w:bidi w:val="0"/>
              <w:spacing w:before="0" w:after="283"/>
              <w:jc w:val="right"/>
              <w:rPr/>
            </w:pPr>
            <w:r>
              <w:rPr/>
              <w:t>3,839</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7" w:type="dxa"/>
            <w:tcBorders>
              <w:bottom w:val="single" w:sz="8" w:space="0" w:color="000000"/>
            </w:tcBorders>
            <w:shd w:fill="FFFFFF" w:val="clear"/>
            <w:tcMar>
              <w:bottom w:w="28" w:type="dxa"/>
            </w:tcMar>
            <w:vAlign w:val="center"/>
          </w:tcPr>
          <w:p>
            <w:pPr>
              <w:pStyle w:val="TableContents"/>
              <w:bidi w:val="0"/>
              <w:spacing w:before="0" w:after="283"/>
              <w:jc w:val="right"/>
              <w:rPr/>
            </w:pPr>
            <w:r>
              <w:rPr/>
              <w:t>8,931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pPr>
            <w:r>
              <w:rPr/>
              <w:t>13,097</w:t>
            </w:r>
          </w:p>
        </w:tc>
        <w:tc>
          <w:tcPr>
            <w:tcW w:w="96"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pPr>
            <w:r>
              <w:rPr/>
              <w:t>26,040</w:t>
            </w:r>
          </w:p>
        </w:tc>
        <w:tc>
          <w:tcPr>
            <w:tcW w:w="110" w:type="dxa"/>
            <w:tcBorders/>
            <w:shd w:fill="FFFFFF" w:val="clear"/>
            <w:vAlign w:val="center"/>
          </w:tcPr>
          <w:p>
            <w:pPr>
              <w:pStyle w:val="TableContents"/>
              <w:bidi w:val="0"/>
              <w:spacing w:before="0" w:after="283"/>
              <w:jc w:val="left"/>
              <w:rPr/>
            </w:pPr>
            <w:r>
              <w:rPr/>
              <w:t> </w:t>
            </w:r>
            <w:bookmarkStart w:id="116" w:name="xdx_40F_eus-gaap--NetIncomeLoss_iT_mtCzi"/>
            <w:bookmarkEnd w:id="116"/>
          </w:p>
        </w:tc>
      </w:tr>
      <w:tr>
        <w:trPr/>
        <w:tc>
          <w:tcPr>
            <w:tcW w:w="5345" w:type="dxa"/>
            <w:tcBorders/>
            <w:shd w:fill="EEEEEE" w:val="clear"/>
            <w:vAlign w:val="center"/>
          </w:tcPr>
          <w:p>
            <w:pPr>
              <w:pStyle w:val="TableContents"/>
              <w:bidi w:val="0"/>
              <w:spacing w:before="0" w:after="283"/>
              <w:jc w:val="left"/>
              <w:rPr/>
            </w:pPr>
            <w:r>
              <w:rPr/>
              <w:t>Net income</w:t>
            </w:r>
          </w:p>
        </w:tc>
        <w:tc>
          <w:tcPr>
            <w:tcW w:w="60" w:type="dxa"/>
            <w:tcBorders/>
            <w:shd w:fill="EEEEEE" w:val="clear"/>
            <w:vAlign w:val="center"/>
          </w:tcPr>
          <w:p>
            <w:pPr>
              <w:pStyle w:val="TableContents"/>
              <w:bidi w:val="0"/>
              <w:spacing w:before="0" w:after="283"/>
              <w:jc w:val="left"/>
              <w:rPr/>
            </w:pPr>
            <w:r>
              <w:rPr/>
              <w:t> </w:t>
            </w:r>
          </w:p>
        </w:tc>
        <w:tc>
          <w:tcPr>
            <w:tcW w:w="172"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837" w:type="dxa"/>
            <w:tcBorders>
              <w:bottom w:val="double" w:sz="6" w:space="0" w:color="000000"/>
            </w:tcBorders>
            <w:shd w:fill="EEEEEE" w:val="clear"/>
            <w:tcMar>
              <w:bottom w:w="28" w:type="dxa"/>
            </w:tcMar>
            <w:vAlign w:val="center"/>
          </w:tcPr>
          <w:p>
            <w:pPr>
              <w:pStyle w:val="TableContents"/>
              <w:bidi w:val="0"/>
              <w:spacing w:before="0" w:after="283"/>
              <w:jc w:val="right"/>
              <w:rPr/>
            </w:pPr>
            <w:r>
              <w:rPr/>
              <w:t>10,379</w:t>
            </w:r>
          </w:p>
        </w:tc>
        <w:tc>
          <w:tcPr>
            <w:tcW w:w="116" w:type="dxa"/>
            <w:tcBorders/>
            <w:shd w:fill="EEEEEE" w:val="clear"/>
            <w:vAlign w:val="center"/>
          </w:tcPr>
          <w:p>
            <w:pPr>
              <w:pStyle w:val="TableContents"/>
              <w:bidi w:val="0"/>
              <w:spacing w:before="0" w:after="283"/>
              <w:jc w:val="left"/>
              <w:rPr/>
            </w:pPr>
            <w:r>
              <w:rPr/>
              <w:t> </w:t>
            </w:r>
          </w:p>
        </w:tc>
        <w:tc>
          <w:tcPr>
            <w:tcW w:w="73" w:type="dxa"/>
            <w:tcBorders/>
            <w:shd w:fill="EEEEEE" w:val="clear"/>
            <w:vAlign w:val="center"/>
          </w:tcPr>
          <w:p>
            <w:pPr>
              <w:pStyle w:val="TableContents"/>
              <w:bidi w:val="0"/>
              <w:spacing w:before="0" w:after="283"/>
              <w:jc w:val="left"/>
              <w:rPr/>
            </w:pPr>
            <w:r>
              <w:rPr/>
              <w:t> </w:t>
            </w:r>
          </w:p>
        </w:tc>
        <w:tc>
          <w:tcPr>
            <w:tcW w:w="172"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837" w:type="dxa"/>
            <w:tcBorders>
              <w:bottom w:val="double" w:sz="6" w:space="0" w:color="000000"/>
            </w:tcBorders>
            <w:shd w:fill="EEEEEE" w:val="clear"/>
            <w:tcMar>
              <w:bottom w:w="28" w:type="dxa"/>
            </w:tcMar>
            <w:vAlign w:val="center"/>
          </w:tcPr>
          <w:p>
            <w:pPr>
              <w:pStyle w:val="TableContents"/>
              <w:bidi w:val="0"/>
              <w:spacing w:before="0" w:after="283"/>
              <w:jc w:val="right"/>
              <w:rPr/>
            </w:pPr>
            <w:r>
              <w:rPr/>
              <w:t>25,413</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815" w:type="dxa"/>
            <w:tcBorders>
              <w:bottom w:val="double" w:sz="6" w:space="0" w:color="000000"/>
            </w:tcBorders>
            <w:shd w:fill="EEEEEE" w:val="clear"/>
            <w:tcMar>
              <w:bottom w:w="28" w:type="dxa"/>
            </w:tcMar>
            <w:vAlign w:val="center"/>
          </w:tcPr>
          <w:p>
            <w:pPr>
              <w:pStyle w:val="TableContents"/>
              <w:bidi w:val="0"/>
              <w:spacing w:before="0" w:after="283"/>
              <w:jc w:val="right"/>
              <w:rPr/>
            </w:pPr>
            <w:r>
              <w:rPr/>
              <w:t>38,156</w:t>
            </w:r>
          </w:p>
        </w:tc>
        <w:tc>
          <w:tcPr>
            <w:tcW w:w="96"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2"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815" w:type="dxa"/>
            <w:tcBorders>
              <w:bottom w:val="double" w:sz="6" w:space="0" w:color="000000"/>
            </w:tcBorders>
            <w:shd w:fill="EEEEEE" w:val="clear"/>
            <w:tcMar>
              <w:bottom w:w="28" w:type="dxa"/>
            </w:tcMar>
            <w:vAlign w:val="center"/>
          </w:tcPr>
          <w:p>
            <w:pPr>
              <w:pStyle w:val="TableContents"/>
              <w:bidi w:val="0"/>
              <w:spacing w:before="0" w:after="283"/>
              <w:jc w:val="right"/>
              <w:rPr/>
            </w:pPr>
            <w:r>
              <w:rPr/>
              <w:t>71,848</w:t>
            </w:r>
          </w:p>
        </w:tc>
        <w:tc>
          <w:tcPr>
            <w:tcW w:w="110" w:type="dxa"/>
            <w:tcBorders/>
            <w:shd w:fill="EEEEEE"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7" w:name="xdx_408_eus-gaap--EarningsPerShareAbstra"/>
            <w:bookmarkEnd w:id="117"/>
          </w:p>
        </w:tc>
      </w:tr>
      <w:tr>
        <w:trPr/>
        <w:tc>
          <w:tcPr>
            <w:tcW w:w="5345" w:type="dxa"/>
            <w:tcBorders/>
            <w:shd w:fill="EEEEEE" w:val="clear"/>
            <w:vAlign w:val="center"/>
          </w:tcPr>
          <w:p>
            <w:pPr>
              <w:pStyle w:val="TableContents"/>
              <w:bidi w:val="0"/>
              <w:spacing w:before="0" w:after="283"/>
              <w:jc w:val="left"/>
              <w:rPr/>
            </w:pPr>
            <w:r>
              <w:rPr/>
              <w:t>Earnings per share:</w:t>
            </w:r>
          </w:p>
        </w:tc>
        <w:tc>
          <w:tcPr>
            <w:tcW w:w="60" w:type="dxa"/>
            <w:tcBorders/>
            <w:shd w:fill="EEEEEE" w:val="clear"/>
            <w:vAlign w:val="center"/>
          </w:tcPr>
          <w:p>
            <w:pPr>
              <w:pStyle w:val="TableContents"/>
              <w:bidi w:val="0"/>
              <w:spacing w:before="0" w:after="283"/>
              <w:jc w:val="left"/>
              <w:rPr/>
            </w:pPr>
            <w:r>
              <w:rPr/>
              <w:t> </w:t>
            </w:r>
          </w:p>
        </w:tc>
        <w:tc>
          <w:tcPr>
            <w:tcW w:w="172" w:type="dxa"/>
            <w:tcBorders/>
            <w:shd w:fill="EEEEEE" w:val="clear"/>
            <w:vAlign w:val="center"/>
          </w:tcPr>
          <w:p>
            <w:pPr>
              <w:pStyle w:val="TableContents"/>
              <w:bidi w:val="0"/>
              <w:spacing w:before="0" w:after="283"/>
              <w:jc w:val="left"/>
              <w:rPr/>
            </w:pPr>
            <w:r>
              <w:rPr/>
              <w:t> </w:t>
            </w:r>
          </w:p>
        </w:tc>
        <w:tc>
          <w:tcPr>
            <w:tcW w:w="837" w:type="dxa"/>
            <w:tcBorders/>
            <w:shd w:fill="EEEEEE" w:val="clear"/>
            <w:vAlign w:val="center"/>
          </w:tcPr>
          <w:p>
            <w:pPr>
              <w:pStyle w:val="TableContents"/>
              <w:bidi w:val="0"/>
              <w:spacing w:before="0" w:after="283"/>
              <w:jc w:val="right"/>
              <w:rPr/>
            </w:pPr>
            <w:r>
              <w:rPr/>
              <w:t> </w:t>
            </w:r>
          </w:p>
        </w:tc>
        <w:tc>
          <w:tcPr>
            <w:tcW w:w="116" w:type="dxa"/>
            <w:tcBorders/>
            <w:shd w:fill="EEEEEE" w:val="clear"/>
            <w:vAlign w:val="center"/>
          </w:tcPr>
          <w:p>
            <w:pPr>
              <w:pStyle w:val="TableContents"/>
              <w:bidi w:val="0"/>
              <w:spacing w:before="0" w:after="283"/>
              <w:jc w:val="left"/>
              <w:rPr/>
            </w:pPr>
            <w:r>
              <w:rPr/>
              <w:t> </w:t>
            </w:r>
          </w:p>
        </w:tc>
        <w:tc>
          <w:tcPr>
            <w:tcW w:w="73" w:type="dxa"/>
            <w:tcBorders/>
            <w:shd w:fill="EEEEEE" w:val="clear"/>
            <w:vAlign w:val="center"/>
          </w:tcPr>
          <w:p>
            <w:pPr>
              <w:pStyle w:val="TableContents"/>
              <w:bidi w:val="0"/>
              <w:spacing w:before="0" w:after="283"/>
              <w:jc w:val="left"/>
              <w:rPr/>
            </w:pPr>
            <w:r>
              <w:rPr/>
              <w:t> </w:t>
            </w:r>
          </w:p>
        </w:tc>
        <w:tc>
          <w:tcPr>
            <w:tcW w:w="172" w:type="dxa"/>
            <w:tcBorders/>
            <w:shd w:fill="EEEEEE" w:val="clear"/>
            <w:vAlign w:val="center"/>
          </w:tcPr>
          <w:p>
            <w:pPr>
              <w:pStyle w:val="TableContents"/>
              <w:bidi w:val="0"/>
              <w:spacing w:before="0" w:after="283"/>
              <w:jc w:val="left"/>
              <w:rPr/>
            </w:pPr>
            <w:r>
              <w:rPr/>
              <w:t> </w:t>
            </w:r>
          </w:p>
        </w:tc>
        <w:tc>
          <w:tcPr>
            <w:tcW w:w="837"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815" w:type="dxa"/>
            <w:tcBorders/>
            <w:shd w:fill="EEEEEE" w:val="clear"/>
            <w:vAlign w:val="center"/>
          </w:tcPr>
          <w:p>
            <w:pPr>
              <w:pStyle w:val="TableContents"/>
              <w:bidi w:val="0"/>
              <w:spacing w:before="0" w:after="283"/>
              <w:jc w:val="right"/>
              <w:rPr/>
            </w:pPr>
            <w:r>
              <w:rPr/>
              <w:t> </w:t>
            </w:r>
          </w:p>
        </w:tc>
        <w:tc>
          <w:tcPr>
            <w:tcW w:w="96"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815"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bookmarkStart w:id="118" w:name="xdx_406_eus-gaap--EarningsPerShareBasic_"/>
            <w:bookmarkEnd w:id="118"/>
          </w:p>
        </w:tc>
      </w:tr>
      <w:tr>
        <w:trPr/>
        <w:tc>
          <w:tcPr>
            <w:tcW w:w="5345"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w:t>
            </w:r>
          </w:p>
        </w:tc>
        <w:tc>
          <w:tcPr>
            <w:tcW w:w="837" w:type="dxa"/>
            <w:tcBorders/>
            <w:shd w:fill="FFFFFF" w:val="clear"/>
            <w:vAlign w:val="center"/>
          </w:tcPr>
          <w:p>
            <w:pPr>
              <w:pStyle w:val="TableContents"/>
              <w:bidi w:val="0"/>
              <w:spacing w:before="0" w:after="283"/>
              <w:jc w:val="right"/>
              <w:rPr/>
            </w:pPr>
            <w:r>
              <w:rPr/>
              <w:t>0.49</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w:t>
            </w:r>
          </w:p>
        </w:tc>
        <w:tc>
          <w:tcPr>
            <w:tcW w:w="837" w:type="dxa"/>
            <w:tcBorders/>
            <w:shd w:fill="FFFFFF" w:val="clear"/>
            <w:vAlign w:val="center"/>
          </w:tcPr>
          <w:p>
            <w:pPr>
              <w:pStyle w:val="TableContents"/>
              <w:bidi w:val="0"/>
              <w:spacing w:before="0" w:after="283"/>
              <w:jc w:val="right"/>
              <w:rPr/>
            </w:pPr>
            <w:r>
              <w:rPr/>
              <w:t>1.22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w:t>
            </w:r>
          </w:p>
        </w:tc>
        <w:tc>
          <w:tcPr>
            <w:tcW w:w="815" w:type="dxa"/>
            <w:tcBorders/>
            <w:shd w:fill="FFFFFF" w:val="clear"/>
            <w:vAlign w:val="center"/>
          </w:tcPr>
          <w:p>
            <w:pPr>
              <w:pStyle w:val="TableContents"/>
              <w:bidi w:val="0"/>
              <w:spacing w:before="0" w:after="283"/>
              <w:jc w:val="right"/>
              <w:rPr/>
            </w:pPr>
            <w:r>
              <w:rPr/>
              <w:t>1.83</w:t>
            </w:r>
          </w:p>
        </w:tc>
        <w:tc>
          <w:tcPr>
            <w:tcW w:w="96"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w:t>
            </w:r>
          </w:p>
        </w:tc>
        <w:tc>
          <w:tcPr>
            <w:tcW w:w="815" w:type="dxa"/>
            <w:tcBorders/>
            <w:shd w:fill="FFFFFF" w:val="clear"/>
            <w:vAlign w:val="center"/>
          </w:tcPr>
          <w:p>
            <w:pPr>
              <w:pStyle w:val="TableContents"/>
              <w:bidi w:val="0"/>
              <w:spacing w:before="0" w:after="283"/>
              <w:jc w:val="right"/>
              <w:rPr/>
            </w:pPr>
            <w:r>
              <w:rPr/>
              <w:t>3.39</w:t>
            </w:r>
          </w:p>
        </w:tc>
        <w:tc>
          <w:tcPr>
            <w:tcW w:w="110" w:type="dxa"/>
            <w:tcBorders/>
            <w:shd w:fill="FFFFFF" w:val="clear"/>
            <w:vAlign w:val="center"/>
          </w:tcPr>
          <w:p>
            <w:pPr>
              <w:pStyle w:val="TableContents"/>
              <w:bidi w:val="0"/>
              <w:spacing w:before="0" w:after="283"/>
              <w:jc w:val="left"/>
              <w:rPr/>
            </w:pPr>
            <w:r>
              <w:rPr/>
              <w:t> </w:t>
            </w:r>
            <w:bookmarkStart w:id="119" w:name="xdx_404_eus-gaap--EarningsPerShareDilute"/>
            <w:bookmarkEnd w:id="119"/>
          </w:p>
        </w:tc>
      </w:tr>
      <w:tr>
        <w:trPr/>
        <w:tc>
          <w:tcPr>
            <w:tcW w:w="5345" w:type="dxa"/>
            <w:tcBorders/>
            <w:shd w:fill="EEEEEE" w:val="clear"/>
            <w:vAlign w:val="center"/>
          </w:tcPr>
          <w:p>
            <w:pPr>
              <w:pStyle w:val="TableContents"/>
              <w:bidi w:val="0"/>
              <w:spacing w:before="0" w:after="283"/>
              <w:jc w:val="left"/>
              <w:rPr/>
            </w:pPr>
            <w:r>
              <w:rPr/>
              <w:t>Diluted</w:t>
            </w:r>
          </w:p>
        </w:tc>
        <w:tc>
          <w:tcPr>
            <w:tcW w:w="60" w:type="dxa"/>
            <w:tcBorders/>
            <w:shd w:fill="EEEEEE" w:val="clear"/>
            <w:vAlign w:val="center"/>
          </w:tcPr>
          <w:p>
            <w:pPr>
              <w:pStyle w:val="TableContents"/>
              <w:bidi w:val="0"/>
              <w:spacing w:before="0" w:after="283"/>
              <w:jc w:val="left"/>
              <w:rPr/>
            </w:pPr>
            <w:r>
              <w:rPr/>
              <w:t> </w:t>
            </w:r>
          </w:p>
        </w:tc>
        <w:tc>
          <w:tcPr>
            <w:tcW w:w="172" w:type="dxa"/>
            <w:tcBorders/>
            <w:shd w:fill="EEEEEE" w:val="clear"/>
            <w:vAlign w:val="center"/>
          </w:tcPr>
          <w:p>
            <w:pPr>
              <w:pStyle w:val="TableContents"/>
              <w:bidi w:val="0"/>
              <w:spacing w:before="0" w:after="283"/>
              <w:jc w:val="left"/>
              <w:rPr/>
            </w:pPr>
            <w:r>
              <w:rPr/>
              <w:t> </w:t>
            </w:r>
          </w:p>
        </w:tc>
        <w:tc>
          <w:tcPr>
            <w:tcW w:w="837" w:type="dxa"/>
            <w:tcBorders/>
            <w:shd w:fill="EEEEEE" w:val="clear"/>
            <w:vAlign w:val="center"/>
          </w:tcPr>
          <w:p>
            <w:pPr>
              <w:pStyle w:val="TableContents"/>
              <w:bidi w:val="0"/>
              <w:spacing w:before="0" w:after="283"/>
              <w:jc w:val="right"/>
              <w:rPr/>
            </w:pPr>
            <w:r>
              <w:rPr/>
              <w:t>0.41</w:t>
            </w:r>
          </w:p>
        </w:tc>
        <w:tc>
          <w:tcPr>
            <w:tcW w:w="116" w:type="dxa"/>
            <w:tcBorders/>
            <w:shd w:fill="EEEEEE" w:val="clear"/>
            <w:vAlign w:val="center"/>
          </w:tcPr>
          <w:p>
            <w:pPr>
              <w:pStyle w:val="TableContents"/>
              <w:bidi w:val="0"/>
              <w:spacing w:before="0" w:after="283"/>
              <w:jc w:val="left"/>
              <w:rPr/>
            </w:pPr>
            <w:r>
              <w:rPr/>
              <w:t> </w:t>
            </w:r>
          </w:p>
        </w:tc>
        <w:tc>
          <w:tcPr>
            <w:tcW w:w="73" w:type="dxa"/>
            <w:tcBorders/>
            <w:shd w:fill="EEEEEE" w:val="clear"/>
            <w:vAlign w:val="center"/>
          </w:tcPr>
          <w:p>
            <w:pPr>
              <w:pStyle w:val="TableContents"/>
              <w:bidi w:val="0"/>
              <w:spacing w:before="0" w:after="283"/>
              <w:jc w:val="left"/>
              <w:rPr/>
            </w:pPr>
            <w:r>
              <w:rPr/>
              <w:t> </w:t>
            </w:r>
          </w:p>
        </w:tc>
        <w:tc>
          <w:tcPr>
            <w:tcW w:w="172" w:type="dxa"/>
            <w:tcBorders/>
            <w:shd w:fill="EEEEEE" w:val="clear"/>
            <w:vAlign w:val="center"/>
          </w:tcPr>
          <w:p>
            <w:pPr>
              <w:pStyle w:val="TableContents"/>
              <w:bidi w:val="0"/>
              <w:spacing w:before="0" w:after="283"/>
              <w:jc w:val="left"/>
              <w:rPr/>
            </w:pPr>
            <w:r>
              <w:rPr/>
              <w:t> </w:t>
            </w:r>
          </w:p>
        </w:tc>
        <w:tc>
          <w:tcPr>
            <w:tcW w:w="837" w:type="dxa"/>
            <w:tcBorders/>
            <w:shd w:fill="EEEEEE" w:val="clear"/>
            <w:vAlign w:val="center"/>
          </w:tcPr>
          <w:p>
            <w:pPr>
              <w:pStyle w:val="TableContents"/>
              <w:bidi w:val="0"/>
              <w:spacing w:before="0" w:after="283"/>
              <w:jc w:val="right"/>
              <w:rPr/>
            </w:pPr>
            <w:r>
              <w:rPr/>
              <w:t>0.95</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815" w:type="dxa"/>
            <w:tcBorders/>
            <w:shd w:fill="EEEEEE" w:val="clear"/>
            <w:vAlign w:val="center"/>
          </w:tcPr>
          <w:p>
            <w:pPr>
              <w:pStyle w:val="TableContents"/>
              <w:bidi w:val="0"/>
              <w:spacing w:before="0" w:after="283"/>
              <w:jc w:val="right"/>
              <w:rPr/>
            </w:pPr>
            <w:r>
              <w:rPr/>
              <w:t>1.51</w:t>
            </w:r>
          </w:p>
        </w:tc>
        <w:tc>
          <w:tcPr>
            <w:tcW w:w="96"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815" w:type="dxa"/>
            <w:tcBorders/>
            <w:shd w:fill="EEEEEE" w:val="clear"/>
            <w:vAlign w:val="center"/>
          </w:tcPr>
          <w:p>
            <w:pPr>
              <w:pStyle w:val="TableContents"/>
              <w:bidi w:val="0"/>
              <w:spacing w:before="0" w:after="283"/>
              <w:jc w:val="right"/>
              <w:rPr/>
            </w:pPr>
            <w:r>
              <w:rPr/>
              <w:t>2.61</w:t>
            </w:r>
          </w:p>
        </w:tc>
        <w:tc>
          <w:tcPr>
            <w:tcW w:w="110" w:type="dxa"/>
            <w:tcBorders/>
            <w:shd w:fill="EEEEEE" w:val="clear"/>
            <w:vAlign w:val="center"/>
          </w:tcPr>
          <w:p>
            <w:pPr>
              <w:pStyle w:val="TableContents"/>
              <w:bidi w:val="0"/>
              <w:spacing w:before="0" w:after="283"/>
              <w:jc w:val="left"/>
              <w:rPr/>
            </w:pPr>
            <w:r>
              <w:rPr/>
              <w:t> </w:t>
            </w:r>
          </w:p>
        </w:tc>
      </w:tr>
      <w:tr>
        <w:trPr/>
        <w:tc>
          <w:tcPr>
            <w:tcW w:w="5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0" w:name="xdx_40F_eus-gaap--WeightedAverageNumberO"/>
            <w:bookmarkEnd w:id="120"/>
          </w:p>
        </w:tc>
      </w:tr>
      <w:tr>
        <w:trPr/>
        <w:tc>
          <w:tcPr>
            <w:tcW w:w="5345" w:type="dxa"/>
            <w:tcBorders/>
            <w:shd w:fill="EEEEEE" w:val="clear"/>
            <w:vAlign w:val="center"/>
          </w:tcPr>
          <w:p>
            <w:pPr>
              <w:pStyle w:val="TableContents"/>
              <w:bidi w:val="0"/>
              <w:spacing w:before="0" w:after="283"/>
              <w:jc w:val="left"/>
              <w:rPr/>
            </w:pPr>
            <w:r>
              <w:rPr/>
              <w:t>Number of shares used in computing earnings per share:</w:t>
            </w:r>
          </w:p>
        </w:tc>
        <w:tc>
          <w:tcPr>
            <w:tcW w:w="60" w:type="dxa"/>
            <w:tcBorders/>
            <w:shd w:fill="EEEEEE" w:val="clear"/>
            <w:vAlign w:val="center"/>
          </w:tcPr>
          <w:p>
            <w:pPr>
              <w:pStyle w:val="TableContents"/>
              <w:bidi w:val="0"/>
              <w:spacing w:before="0" w:after="283"/>
              <w:jc w:val="left"/>
              <w:rPr/>
            </w:pPr>
            <w:r>
              <w:rPr/>
              <w:t> </w:t>
            </w:r>
          </w:p>
        </w:tc>
        <w:tc>
          <w:tcPr>
            <w:tcW w:w="172" w:type="dxa"/>
            <w:tcBorders/>
            <w:shd w:fill="EEEEEE" w:val="clear"/>
            <w:vAlign w:val="center"/>
          </w:tcPr>
          <w:p>
            <w:pPr>
              <w:pStyle w:val="TableContents"/>
              <w:bidi w:val="0"/>
              <w:spacing w:before="0" w:after="283"/>
              <w:jc w:val="left"/>
              <w:rPr/>
            </w:pPr>
            <w:r>
              <w:rPr/>
              <w:t> </w:t>
            </w:r>
          </w:p>
        </w:tc>
        <w:tc>
          <w:tcPr>
            <w:tcW w:w="837" w:type="dxa"/>
            <w:tcBorders/>
            <w:shd w:fill="EEEEEE" w:val="clear"/>
            <w:vAlign w:val="center"/>
          </w:tcPr>
          <w:p>
            <w:pPr>
              <w:pStyle w:val="TableContents"/>
              <w:bidi w:val="0"/>
              <w:spacing w:before="0" w:after="283"/>
              <w:jc w:val="right"/>
              <w:rPr/>
            </w:pPr>
            <w:r>
              <w:rPr/>
              <w:t> </w:t>
            </w:r>
          </w:p>
        </w:tc>
        <w:tc>
          <w:tcPr>
            <w:tcW w:w="116" w:type="dxa"/>
            <w:tcBorders/>
            <w:shd w:fill="EEEEEE" w:val="clear"/>
            <w:vAlign w:val="center"/>
          </w:tcPr>
          <w:p>
            <w:pPr>
              <w:pStyle w:val="TableContents"/>
              <w:bidi w:val="0"/>
              <w:spacing w:before="0" w:after="283"/>
              <w:jc w:val="left"/>
              <w:rPr/>
            </w:pPr>
            <w:r>
              <w:rPr/>
              <w:t> </w:t>
            </w:r>
          </w:p>
        </w:tc>
        <w:tc>
          <w:tcPr>
            <w:tcW w:w="73" w:type="dxa"/>
            <w:tcBorders/>
            <w:shd w:fill="EEEEEE" w:val="clear"/>
            <w:vAlign w:val="center"/>
          </w:tcPr>
          <w:p>
            <w:pPr>
              <w:pStyle w:val="TableContents"/>
              <w:bidi w:val="0"/>
              <w:spacing w:before="0" w:after="283"/>
              <w:jc w:val="left"/>
              <w:rPr/>
            </w:pPr>
            <w:r>
              <w:rPr/>
              <w:t> </w:t>
            </w:r>
          </w:p>
        </w:tc>
        <w:tc>
          <w:tcPr>
            <w:tcW w:w="172" w:type="dxa"/>
            <w:tcBorders/>
            <w:shd w:fill="EEEEEE" w:val="clear"/>
            <w:vAlign w:val="center"/>
          </w:tcPr>
          <w:p>
            <w:pPr>
              <w:pStyle w:val="TableContents"/>
              <w:bidi w:val="0"/>
              <w:spacing w:before="0" w:after="283"/>
              <w:jc w:val="left"/>
              <w:rPr/>
            </w:pPr>
            <w:r>
              <w:rPr/>
              <w:t> </w:t>
            </w:r>
          </w:p>
        </w:tc>
        <w:tc>
          <w:tcPr>
            <w:tcW w:w="837"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815" w:type="dxa"/>
            <w:tcBorders/>
            <w:shd w:fill="EEEEEE" w:val="clear"/>
            <w:vAlign w:val="center"/>
          </w:tcPr>
          <w:p>
            <w:pPr>
              <w:pStyle w:val="TableContents"/>
              <w:bidi w:val="0"/>
              <w:spacing w:before="0" w:after="283"/>
              <w:jc w:val="right"/>
              <w:rPr/>
            </w:pPr>
            <w:r>
              <w:rPr/>
              <w:t> </w:t>
            </w:r>
          </w:p>
        </w:tc>
        <w:tc>
          <w:tcPr>
            <w:tcW w:w="96"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815"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bookmarkStart w:id="121" w:name="xdx_406_eus-gaap--WeightedAverageNumberO"/>
            <w:bookmarkEnd w:id="121"/>
          </w:p>
        </w:tc>
      </w:tr>
      <w:tr>
        <w:trPr/>
        <w:tc>
          <w:tcPr>
            <w:tcW w:w="5345"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21,154</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20,911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20,815</w:t>
            </w:r>
          </w:p>
        </w:tc>
        <w:tc>
          <w:tcPr>
            <w:tcW w:w="96"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21,166</w:t>
            </w:r>
          </w:p>
        </w:tc>
        <w:tc>
          <w:tcPr>
            <w:tcW w:w="110" w:type="dxa"/>
            <w:tcBorders/>
            <w:shd w:fill="FFFFFF" w:val="clear"/>
            <w:vAlign w:val="center"/>
          </w:tcPr>
          <w:p>
            <w:pPr>
              <w:pStyle w:val="TableContents"/>
              <w:bidi w:val="0"/>
              <w:spacing w:before="0" w:after="283"/>
              <w:jc w:val="left"/>
              <w:rPr/>
            </w:pPr>
            <w:r>
              <w:rPr/>
              <w:t> </w:t>
            </w:r>
            <w:bookmarkStart w:id="122" w:name="xdx_409_eus-gaap--WeightedAverageNumberO"/>
            <w:bookmarkEnd w:id="122"/>
          </w:p>
        </w:tc>
      </w:tr>
      <w:tr>
        <w:trPr/>
        <w:tc>
          <w:tcPr>
            <w:tcW w:w="5345" w:type="dxa"/>
            <w:tcBorders/>
            <w:shd w:fill="EEEEEE" w:val="clear"/>
            <w:vAlign w:val="center"/>
          </w:tcPr>
          <w:p>
            <w:pPr>
              <w:pStyle w:val="TableContents"/>
              <w:bidi w:val="0"/>
              <w:spacing w:before="0" w:after="283"/>
              <w:jc w:val="left"/>
              <w:rPr/>
            </w:pPr>
            <w:r>
              <w:rPr/>
              <w:t>Diluted</w:t>
            </w:r>
          </w:p>
        </w:tc>
        <w:tc>
          <w:tcPr>
            <w:tcW w:w="60" w:type="dxa"/>
            <w:tcBorders/>
            <w:shd w:fill="EEEEEE" w:val="clear"/>
            <w:vAlign w:val="center"/>
          </w:tcPr>
          <w:p>
            <w:pPr>
              <w:pStyle w:val="TableContents"/>
              <w:bidi w:val="0"/>
              <w:spacing w:before="0" w:after="283"/>
              <w:jc w:val="left"/>
              <w:rPr/>
            </w:pPr>
            <w:r>
              <w:rPr/>
              <w:t> </w:t>
            </w:r>
          </w:p>
        </w:tc>
        <w:tc>
          <w:tcPr>
            <w:tcW w:w="172" w:type="dxa"/>
            <w:tcBorders/>
            <w:shd w:fill="EEEEEE" w:val="clear"/>
            <w:vAlign w:val="center"/>
          </w:tcPr>
          <w:p>
            <w:pPr>
              <w:pStyle w:val="TableContents"/>
              <w:bidi w:val="0"/>
              <w:spacing w:before="0" w:after="283"/>
              <w:jc w:val="left"/>
              <w:rPr/>
            </w:pPr>
            <w:r>
              <w:rPr/>
              <w:t> </w:t>
            </w:r>
          </w:p>
        </w:tc>
        <w:tc>
          <w:tcPr>
            <w:tcW w:w="837" w:type="dxa"/>
            <w:tcBorders/>
            <w:shd w:fill="EEEEEE" w:val="clear"/>
            <w:vAlign w:val="center"/>
          </w:tcPr>
          <w:p>
            <w:pPr>
              <w:pStyle w:val="TableContents"/>
              <w:bidi w:val="0"/>
              <w:spacing w:before="0" w:after="283"/>
              <w:jc w:val="right"/>
              <w:rPr/>
            </w:pPr>
            <w:r>
              <w:rPr/>
              <w:t>25,218</w:t>
            </w:r>
          </w:p>
        </w:tc>
        <w:tc>
          <w:tcPr>
            <w:tcW w:w="116" w:type="dxa"/>
            <w:tcBorders/>
            <w:shd w:fill="EEEEEE" w:val="clear"/>
            <w:vAlign w:val="center"/>
          </w:tcPr>
          <w:p>
            <w:pPr>
              <w:pStyle w:val="TableContents"/>
              <w:bidi w:val="0"/>
              <w:spacing w:before="0" w:after="283"/>
              <w:jc w:val="left"/>
              <w:rPr/>
            </w:pPr>
            <w:r>
              <w:rPr/>
              <w:t> </w:t>
            </w:r>
          </w:p>
        </w:tc>
        <w:tc>
          <w:tcPr>
            <w:tcW w:w="73" w:type="dxa"/>
            <w:tcBorders/>
            <w:shd w:fill="EEEEEE" w:val="clear"/>
            <w:vAlign w:val="center"/>
          </w:tcPr>
          <w:p>
            <w:pPr>
              <w:pStyle w:val="TableContents"/>
              <w:bidi w:val="0"/>
              <w:spacing w:before="0" w:after="283"/>
              <w:jc w:val="left"/>
              <w:rPr/>
            </w:pPr>
            <w:r>
              <w:rPr/>
              <w:t> </w:t>
            </w:r>
          </w:p>
        </w:tc>
        <w:tc>
          <w:tcPr>
            <w:tcW w:w="172" w:type="dxa"/>
            <w:tcBorders/>
            <w:shd w:fill="EEEEEE" w:val="clear"/>
            <w:vAlign w:val="center"/>
          </w:tcPr>
          <w:p>
            <w:pPr>
              <w:pStyle w:val="TableContents"/>
              <w:bidi w:val="0"/>
              <w:spacing w:before="0" w:after="283"/>
              <w:jc w:val="left"/>
              <w:rPr/>
            </w:pPr>
            <w:r>
              <w:rPr/>
              <w:t> </w:t>
            </w:r>
          </w:p>
        </w:tc>
        <w:tc>
          <w:tcPr>
            <w:tcW w:w="837" w:type="dxa"/>
            <w:tcBorders/>
            <w:shd w:fill="EEEEEE" w:val="clear"/>
            <w:vAlign w:val="center"/>
          </w:tcPr>
          <w:p>
            <w:pPr>
              <w:pStyle w:val="TableContents"/>
              <w:bidi w:val="0"/>
              <w:spacing w:before="0" w:after="283"/>
              <w:jc w:val="right"/>
              <w:rPr/>
            </w:pPr>
            <w:r>
              <w:rPr/>
              <w:t>26,654</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815" w:type="dxa"/>
            <w:tcBorders/>
            <w:shd w:fill="EEEEEE" w:val="clear"/>
            <w:vAlign w:val="center"/>
          </w:tcPr>
          <w:p>
            <w:pPr>
              <w:pStyle w:val="TableContents"/>
              <w:bidi w:val="0"/>
              <w:spacing w:before="0" w:after="283"/>
              <w:jc w:val="right"/>
              <w:rPr/>
            </w:pPr>
            <w:r>
              <w:rPr/>
              <w:t>25,331</w:t>
            </w:r>
          </w:p>
        </w:tc>
        <w:tc>
          <w:tcPr>
            <w:tcW w:w="96"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815" w:type="dxa"/>
            <w:tcBorders/>
            <w:shd w:fill="EEEEEE" w:val="clear"/>
            <w:vAlign w:val="center"/>
          </w:tcPr>
          <w:p>
            <w:pPr>
              <w:pStyle w:val="TableContents"/>
              <w:bidi w:val="0"/>
              <w:spacing w:before="0" w:after="283"/>
              <w:jc w:val="right"/>
              <w:rPr/>
            </w:pPr>
            <w:r>
              <w:rPr/>
              <w:t>27,512</w:t>
            </w:r>
          </w:p>
        </w:tc>
        <w:tc>
          <w:tcPr>
            <w:tcW w:w="110"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CONSUMER PORTFOLIO SERVICES,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3" w:name="q3_006"/>
      <w:bookmarkEnd w:id="123"/>
      <w:r>
        <w:rPr>
          <w:rFonts w:ascii="Times New Roman;Times;Serif" w:hAnsi="Times New Roman;Times;Serif"/>
          <w:b/>
          <w:i w:val="false"/>
          <w:caps w:val="false"/>
          <w:smallCaps w:val="false"/>
          <w:sz w:val="20"/>
        </w:rPr>
        <w:t>UNAUDITED CONDENSED CONSOLIDATED STATEMENTS OF COMPREHENSIVE INCOME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4" w:name="xdx_30C_113_pn3n3_zJ3gVa1ZW2I2"/>
      <w:bookmarkStart w:id="125" w:name="xdx_30C_113_pn3n3_zJ3gVa1ZW2I2"/>
      <w:bookmarkEnd w:id="125"/>
    </w:p>
    <w:tbl>
      <w:tblPr>
        <w:tblW w:w="10205" w:type="dxa"/>
        <w:jc w:val="left"/>
        <w:tblInd w:w="0" w:type="dxa"/>
        <w:tblLayout w:type="fixed"/>
        <w:tblCellMar>
          <w:top w:w="0" w:type="dxa"/>
          <w:left w:w="0" w:type="dxa"/>
          <w:bottom w:w="0" w:type="dxa"/>
          <w:right w:w="0" w:type="dxa"/>
        </w:tblCellMar>
      </w:tblPr>
      <w:tblGrid>
        <w:gridCol w:w="5855"/>
        <w:gridCol w:w="60"/>
        <w:gridCol w:w="166"/>
        <w:gridCol w:w="811"/>
        <w:gridCol w:w="71"/>
        <w:gridCol w:w="71"/>
        <w:gridCol w:w="166"/>
        <w:gridCol w:w="811"/>
        <w:gridCol w:w="60"/>
        <w:gridCol w:w="60"/>
        <w:gridCol w:w="158"/>
        <w:gridCol w:w="771"/>
        <w:gridCol w:w="67"/>
        <w:gridCol w:w="67"/>
        <w:gridCol w:w="158"/>
        <w:gridCol w:w="771"/>
        <w:gridCol w:w="82"/>
      </w:tblGrid>
      <w:tr>
        <w:trPr/>
        <w:tc>
          <w:tcPr>
            <w:tcW w:w="585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bookmarkStart w:id="126" w:name="xdx_49C_20230701__20230930_zxxQGd5Gmmg7"/>
            <w:bookmarkEnd w:id="126"/>
          </w:p>
        </w:tc>
        <w:tc>
          <w:tcPr>
            <w:tcW w:w="811" w:type="dxa"/>
            <w:tcBorders/>
            <w:shd w:fill="FFFFFF" w:val="clear"/>
            <w:vAlign w:val="center"/>
          </w:tcPr>
          <w:p>
            <w:pPr>
              <w:pStyle w:val="TableContents"/>
              <w:bidi w:val="0"/>
              <w:spacing w:before="0" w:after="283"/>
              <w:jc w:val="center"/>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bookmarkStart w:id="127" w:name="xdx_494_20220701__20220930_zZbMp9M2bCn"/>
            <w:bookmarkEnd w:id="127"/>
          </w:p>
        </w:tc>
        <w:tc>
          <w:tcPr>
            <w:tcW w:w="81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bookmarkStart w:id="128" w:name="xdx_493_20230101__20230930_zuxCzGWOtXIi"/>
            <w:bookmarkEnd w:id="128"/>
          </w:p>
        </w:tc>
        <w:tc>
          <w:tcPr>
            <w:tcW w:w="771" w:type="dxa"/>
            <w:tcBorders/>
            <w:shd w:fill="FFFFFF" w:val="clear"/>
            <w:vAlign w:val="center"/>
          </w:tcPr>
          <w:p>
            <w:pPr>
              <w:pStyle w:val="TableContents"/>
              <w:bidi w:val="0"/>
              <w:spacing w:before="0" w:after="283"/>
              <w:jc w:val="center"/>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bookmarkStart w:id="129" w:name="xdx_49F_20220101__20220930_zMqGipRxygx1"/>
            <w:bookmarkEnd w:id="129"/>
          </w:p>
        </w:tc>
        <w:tc>
          <w:tcPr>
            <w:tcW w:w="771" w:type="dxa"/>
            <w:tcBorders/>
            <w:shd w:fill="FFFFFF" w:val="clear"/>
            <w:vAlign w:val="center"/>
          </w:tcPr>
          <w:p>
            <w:pPr>
              <w:pStyle w:val="TableContents"/>
              <w:bidi w:val="0"/>
              <w:spacing w:before="0" w:after="283"/>
              <w:jc w:val="center"/>
              <w:rPr/>
            </w:pPr>
            <w:r>
              <w:rPr/>
              <w:t> </w:t>
            </w:r>
          </w:p>
        </w:tc>
        <w:tc>
          <w:tcPr>
            <w:tcW w:w="82" w:type="dxa"/>
            <w:tcBorders/>
            <w:shd w:fill="FFFFFF" w:val="clear"/>
            <w:vAlign w:val="center"/>
          </w:tcPr>
          <w:p>
            <w:pPr>
              <w:pStyle w:val="TableContents"/>
              <w:bidi w:val="0"/>
              <w:spacing w:before="0" w:after="283"/>
              <w:jc w:val="left"/>
              <w:rPr/>
            </w:pPr>
            <w:r>
              <w:rPr/>
              <w:t> </w:t>
            </w:r>
          </w:p>
        </w:tc>
      </w:tr>
      <w:tr>
        <w:trPr/>
        <w:tc>
          <w:tcPr>
            <w:tcW w:w="5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6" w:type="dxa"/>
            <w:gridSpan w:val="6"/>
            <w:tcBorders/>
            <w:vAlign w:val="center"/>
          </w:tcPr>
          <w:p>
            <w:pPr>
              <w:pStyle w:val="TableContents"/>
              <w:bidi w:val="0"/>
              <w:spacing w:before="0" w:after="283"/>
              <w:jc w:val="center"/>
              <w:rPr>
                <w:b/>
              </w:rPr>
            </w:pPr>
            <w:r>
              <w:rPr>
                <w:b/>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2" w:type="dxa"/>
            <w:gridSpan w:val="6"/>
            <w:tcBorders/>
            <w:vAlign w:val="center"/>
          </w:tcPr>
          <w:p>
            <w:pPr>
              <w:pStyle w:val="TableContents"/>
              <w:bidi w:val="0"/>
              <w:spacing w:before="0" w:after="283"/>
              <w:jc w:val="center"/>
              <w:rPr>
                <w:b/>
              </w:rPr>
            </w:pPr>
            <w:r>
              <w:rPr>
                <w:b/>
              </w:rPr>
              <w:t>Nine Months Ended</w:t>
            </w:r>
          </w:p>
        </w:tc>
        <w:tc>
          <w:tcPr>
            <w:tcW w:w="82" w:type="dxa"/>
            <w:tcBorders/>
            <w:vAlign w:val="center"/>
          </w:tcPr>
          <w:p>
            <w:pPr>
              <w:pStyle w:val="TableContents"/>
              <w:bidi w:val="0"/>
              <w:spacing w:before="0" w:after="283"/>
              <w:jc w:val="left"/>
              <w:rPr/>
            </w:pPr>
            <w:r>
              <w:rPr/>
              <w:t> </w:t>
            </w:r>
          </w:p>
        </w:tc>
      </w:tr>
      <w:tr>
        <w:trPr/>
        <w:tc>
          <w:tcPr>
            <w:tcW w:w="5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82" w:type="dxa"/>
            <w:tcBorders/>
            <w:vAlign w:val="center"/>
          </w:tcPr>
          <w:p>
            <w:pPr>
              <w:pStyle w:val="TableContents"/>
              <w:bidi w:val="0"/>
              <w:spacing w:before="0" w:after="283"/>
              <w:jc w:val="left"/>
              <w:rPr/>
            </w:pPr>
            <w:r>
              <w:rPr/>
              <w:t> </w:t>
            </w:r>
          </w:p>
        </w:tc>
      </w:tr>
      <w:tr>
        <w:trPr/>
        <w:tc>
          <w:tcPr>
            <w:tcW w:w="5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7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9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82" w:type="dxa"/>
            <w:tcBorders/>
            <w:vAlign w:val="center"/>
          </w:tcPr>
          <w:p>
            <w:pPr>
              <w:pStyle w:val="TableContents"/>
              <w:bidi w:val="0"/>
              <w:spacing w:before="0" w:after="283"/>
              <w:jc w:val="left"/>
              <w:rPr/>
            </w:pPr>
            <w:r>
              <w:rPr/>
              <w:t> </w:t>
            </w:r>
          </w:p>
        </w:tc>
      </w:tr>
      <w:tr>
        <w:trPr/>
        <w:tc>
          <w:tcPr>
            <w:tcW w:w="5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7" w:type="dxa"/>
            <w:gridSpan w:val="2"/>
            <w:tcBorders/>
            <w:vAlign w:val="center"/>
          </w:tcPr>
          <w:p>
            <w:pPr>
              <w:pStyle w:val="TableContents"/>
              <w:bidi w:val="0"/>
              <w:spacing w:before="0" w:after="283"/>
              <w:jc w:val="right"/>
              <w:rPr/>
            </w:pPr>
            <w:r>
              <w:rPr/>
              <w:t> </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77"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9" w:type="dxa"/>
            <w:gridSpan w:val="2"/>
            <w:tcBorders/>
            <w:vAlign w:val="center"/>
          </w:tcPr>
          <w:p>
            <w:pPr>
              <w:pStyle w:val="TableContents"/>
              <w:bidi w:val="0"/>
              <w:spacing w:before="0" w:after="283"/>
              <w:jc w:val="righ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929" w:type="dxa"/>
            <w:gridSpan w:val="2"/>
            <w:tcBorders/>
            <w:vAlign w:val="center"/>
          </w:tcPr>
          <w:p>
            <w:pPr>
              <w:pStyle w:val="TableContents"/>
              <w:bidi w:val="0"/>
              <w:spacing w:before="0" w:after="283"/>
              <w:jc w:val="right"/>
              <w:rPr/>
            </w:pPr>
            <w:r>
              <w:rPr/>
              <w:t> </w:t>
            </w:r>
          </w:p>
        </w:tc>
        <w:tc>
          <w:tcPr>
            <w:tcW w:w="82" w:type="dxa"/>
            <w:tcBorders/>
            <w:vAlign w:val="center"/>
          </w:tcPr>
          <w:p>
            <w:pPr>
              <w:pStyle w:val="TableContents"/>
              <w:bidi w:val="0"/>
              <w:spacing w:before="0" w:after="283"/>
              <w:jc w:val="left"/>
              <w:rPr/>
            </w:pPr>
            <w:r>
              <w:rPr/>
              <w:t> </w:t>
            </w:r>
            <w:bookmarkStart w:id="130" w:name="xdx_400_eus-gaap--NetIncomeLoss_msCzSA1_"/>
            <w:bookmarkEnd w:id="130"/>
          </w:p>
        </w:tc>
      </w:tr>
      <w:tr>
        <w:trPr/>
        <w:tc>
          <w:tcPr>
            <w:tcW w:w="5855" w:type="dxa"/>
            <w:tcBorders/>
            <w:shd w:fill="EEEEEE" w:val="clear"/>
            <w:vAlign w:val="center"/>
          </w:tcPr>
          <w:p>
            <w:pPr>
              <w:pStyle w:val="TableContents"/>
              <w:bidi w:val="0"/>
              <w:spacing w:before="0" w:after="283"/>
              <w:jc w:val="left"/>
              <w:rPr/>
            </w:pPr>
            <w:r>
              <w:rPr/>
              <w:t>Net income</w:t>
            </w:r>
          </w:p>
        </w:tc>
        <w:tc>
          <w:tcPr>
            <w:tcW w:w="60" w:type="dxa"/>
            <w:tcBorders/>
            <w:shd w:fill="EEEEEE" w:val="clear"/>
            <w:vAlign w:val="center"/>
          </w:tcPr>
          <w:p>
            <w:pPr>
              <w:pStyle w:val="TableContents"/>
              <w:bidi w:val="0"/>
              <w:spacing w:before="0" w:after="283"/>
              <w:jc w:val="left"/>
              <w:rPr/>
            </w:pPr>
            <w:r>
              <w:rPr/>
              <w:t> </w:t>
            </w:r>
          </w:p>
        </w:tc>
        <w:tc>
          <w:tcPr>
            <w:tcW w:w="166" w:type="dxa"/>
            <w:tcBorders/>
            <w:shd w:fill="EEEEEE" w:val="clear"/>
            <w:vAlign w:val="center"/>
          </w:tcPr>
          <w:p>
            <w:pPr>
              <w:pStyle w:val="TableContents"/>
              <w:bidi w:val="0"/>
              <w:spacing w:before="0" w:after="283"/>
              <w:jc w:val="left"/>
              <w:rPr/>
            </w:pPr>
            <w:r>
              <w:rPr/>
              <w:t>$</w:t>
            </w:r>
          </w:p>
        </w:tc>
        <w:tc>
          <w:tcPr>
            <w:tcW w:w="811" w:type="dxa"/>
            <w:tcBorders/>
            <w:shd w:fill="EEEEEE" w:val="clear"/>
            <w:vAlign w:val="center"/>
          </w:tcPr>
          <w:p>
            <w:pPr>
              <w:pStyle w:val="TableContents"/>
              <w:bidi w:val="0"/>
              <w:spacing w:before="0" w:after="283"/>
              <w:jc w:val="right"/>
              <w:rPr/>
            </w:pPr>
            <w:r>
              <w:rPr/>
              <w:t>10,379</w:t>
            </w:r>
          </w:p>
        </w:tc>
        <w:tc>
          <w:tcPr>
            <w:tcW w:w="71" w:type="dxa"/>
            <w:tcBorders/>
            <w:shd w:fill="EEEEEE" w:val="clear"/>
            <w:vAlign w:val="center"/>
          </w:tcPr>
          <w:p>
            <w:pPr>
              <w:pStyle w:val="TableContents"/>
              <w:bidi w:val="0"/>
              <w:spacing w:before="0" w:after="283"/>
              <w:jc w:val="left"/>
              <w:rPr/>
            </w:pPr>
            <w:r>
              <w:rPr/>
              <w:t> </w:t>
            </w:r>
          </w:p>
        </w:tc>
        <w:tc>
          <w:tcPr>
            <w:tcW w:w="71" w:type="dxa"/>
            <w:tcBorders/>
            <w:shd w:fill="EEEEEE" w:val="clear"/>
            <w:vAlign w:val="center"/>
          </w:tcPr>
          <w:p>
            <w:pPr>
              <w:pStyle w:val="TableContents"/>
              <w:bidi w:val="0"/>
              <w:spacing w:before="0" w:after="283"/>
              <w:jc w:val="left"/>
              <w:rPr/>
            </w:pPr>
            <w:r>
              <w:rPr/>
              <w:t> </w:t>
            </w:r>
          </w:p>
        </w:tc>
        <w:tc>
          <w:tcPr>
            <w:tcW w:w="166" w:type="dxa"/>
            <w:tcBorders/>
            <w:shd w:fill="EEEEEE" w:val="clear"/>
            <w:vAlign w:val="center"/>
          </w:tcPr>
          <w:p>
            <w:pPr>
              <w:pStyle w:val="TableContents"/>
              <w:bidi w:val="0"/>
              <w:spacing w:before="0" w:after="283"/>
              <w:jc w:val="left"/>
              <w:rPr/>
            </w:pPr>
            <w:r>
              <w:rPr/>
              <w:t>$</w:t>
            </w:r>
          </w:p>
        </w:tc>
        <w:tc>
          <w:tcPr>
            <w:tcW w:w="811" w:type="dxa"/>
            <w:tcBorders/>
            <w:shd w:fill="EEEEEE" w:val="clear"/>
            <w:vAlign w:val="center"/>
          </w:tcPr>
          <w:p>
            <w:pPr>
              <w:pStyle w:val="TableContents"/>
              <w:bidi w:val="0"/>
              <w:spacing w:before="0" w:after="283"/>
              <w:jc w:val="right"/>
              <w:rPr/>
            </w:pPr>
            <w:r>
              <w:rPr/>
              <w:t>25,413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8" w:type="dxa"/>
            <w:tcBorders/>
            <w:shd w:fill="EEEEEE" w:val="clear"/>
            <w:vAlign w:val="center"/>
          </w:tcPr>
          <w:p>
            <w:pPr>
              <w:pStyle w:val="TableContents"/>
              <w:bidi w:val="0"/>
              <w:spacing w:before="0" w:after="283"/>
              <w:jc w:val="left"/>
              <w:rPr/>
            </w:pPr>
            <w:r>
              <w:rPr/>
              <w:t>$</w:t>
            </w:r>
          </w:p>
        </w:tc>
        <w:tc>
          <w:tcPr>
            <w:tcW w:w="771" w:type="dxa"/>
            <w:tcBorders/>
            <w:shd w:fill="EEEEEE" w:val="clear"/>
            <w:vAlign w:val="center"/>
          </w:tcPr>
          <w:p>
            <w:pPr>
              <w:pStyle w:val="TableContents"/>
              <w:bidi w:val="0"/>
              <w:spacing w:before="0" w:after="283"/>
              <w:jc w:val="right"/>
              <w:rPr/>
            </w:pPr>
            <w:r>
              <w:rPr/>
              <w:t>38,156</w:t>
            </w:r>
          </w:p>
        </w:tc>
        <w:tc>
          <w:tcPr>
            <w:tcW w:w="67" w:type="dxa"/>
            <w:tcBorders/>
            <w:shd w:fill="EEEEEE" w:val="clear"/>
            <w:vAlign w:val="center"/>
          </w:tcPr>
          <w:p>
            <w:pPr>
              <w:pStyle w:val="TableContents"/>
              <w:bidi w:val="0"/>
              <w:spacing w:before="0" w:after="283"/>
              <w:jc w:val="left"/>
              <w:rPr/>
            </w:pPr>
            <w:r>
              <w:rPr/>
              <w:t> </w:t>
            </w:r>
          </w:p>
        </w:tc>
        <w:tc>
          <w:tcPr>
            <w:tcW w:w="67" w:type="dxa"/>
            <w:tcBorders/>
            <w:shd w:fill="EEEEEE" w:val="clear"/>
            <w:vAlign w:val="center"/>
          </w:tcPr>
          <w:p>
            <w:pPr>
              <w:pStyle w:val="TableContents"/>
              <w:bidi w:val="0"/>
              <w:spacing w:before="0" w:after="283"/>
              <w:jc w:val="left"/>
              <w:rPr/>
            </w:pPr>
            <w:r>
              <w:rPr/>
              <w:t> </w:t>
            </w:r>
          </w:p>
        </w:tc>
        <w:tc>
          <w:tcPr>
            <w:tcW w:w="158" w:type="dxa"/>
            <w:tcBorders/>
            <w:shd w:fill="EEEEEE" w:val="clear"/>
            <w:vAlign w:val="center"/>
          </w:tcPr>
          <w:p>
            <w:pPr>
              <w:pStyle w:val="TableContents"/>
              <w:bidi w:val="0"/>
              <w:spacing w:before="0" w:after="283"/>
              <w:jc w:val="left"/>
              <w:rPr/>
            </w:pPr>
            <w:r>
              <w:rPr/>
              <w:t>$</w:t>
            </w:r>
          </w:p>
        </w:tc>
        <w:tc>
          <w:tcPr>
            <w:tcW w:w="771" w:type="dxa"/>
            <w:tcBorders/>
            <w:shd w:fill="EEEEEE" w:val="clear"/>
            <w:vAlign w:val="center"/>
          </w:tcPr>
          <w:p>
            <w:pPr>
              <w:pStyle w:val="TableContents"/>
              <w:bidi w:val="0"/>
              <w:spacing w:before="0" w:after="283"/>
              <w:jc w:val="right"/>
              <w:rPr/>
            </w:pPr>
            <w:r>
              <w:rPr/>
              <w:t>71,848</w:t>
            </w:r>
          </w:p>
        </w:tc>
        <w:tc>
          <w:tcPr>
            <w:tcW w:w="82" w:type="dxa"/>
            <w:tcBorders/>
            <w:shd w:fill="EEEEEE" w:val="clear"/>
            <w:vAlign w:val="center"/>
          </w:tcPr>
          <w:p>
            <w:pPr>
              <w:pStyle w:val="TableContents"/>
              <w:bidi w:val="0"/>
              <w:spacing w:before="0" w:after="283"/>
              <w:jc w:val="left"/>
              <w:rPr/>
            </w:pPr>
            <w:r>
              <w:rPr/>
              <w:t> </w:t>
            </w:r>
          </w:p>
        </w:tc>
      </w:tr>
      <w:tr>
        <w:trPr/>
        <w:tc>
          <w:tcPr>
            <w:tcW w:w="5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200"/>
              <w:jc w:val="left"/>
              <w:rPr/>
            </w:pPr>
            <w:r>
              <w:rPr/>
              <w:t> </w:t>
            </w:r>
            <w:bookmarkStart w:id="131" w:name="xdx_40A_eus-gaap--OtherComprehensiveInco"/>
            <w:bookmarkEnd w:id="131"/>
          </w:p>
        </w:tc>
      </w:tr>
      <w:tr>
        <w:trPr/>
        <w:tc>
          <w:tcPr>
            <w:tcW w:w="5855" w:type="dxa"/>
            <w:tcBorders/>
            <w:shd w:fill="EEEEEE" w:val="clear"/>
            <w:vAlign w:val="center"/>
          </w:tcPr>
          <w:p>
            <w:pPr>
              <w:pStyle w:val="TableContents"/>
              <w:bidi w:val="0"/>
              <w:spacing w:before="0" w:after="283"/>
              <w:jc w:val="left"/>
              <w:rPr/>
            </w:pPr>
            <w:r>
              <w:rPr/>
              <w:t>Other comprehensive income/(loss); change in funded status of pension plan</w:t>
            </w:r>
          </w:p>
        </w:tc>
        <w:tc>
          <w:tcPr>
            <w:tcW w:w="60" w:type="dxa"/>
            <w:tcBorders/>
            <w:shd w:fill="EEEEEE" w:val="clear"/>
            <w:vAlign w:val="center"/>
          </w:tcPr>
          <w:p>
            <w:pPr>
              <w:pStyle w:val="TableContents"/>
              <w:bidi w:val="0"/>
              <w:spacing w:before="0" w:after="283"/>
              <w:jc w:val="left"/>
              <w:rPr/>
            </w:pPr>
            <w:r>
              <w:rPr/>
              <w:t> </w:t>
            </w:r>
          </w:p>
        </w:tc>
        <w:tc>
          <w:tcPr>
            <w:tcW w:w="166"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11"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71" w:type="dxa"/>
            <w:tcBorders/>
            <w:shd w:fill="EEEEEE" w:val="clear"/>
            <w:vAlign w:val="center"/>
          </w:tcPr>
          <w:p>
            <w:pPr>
              <w:pStyle w:val="TableContents"/>
              <w:bidi w:val="0"/>
              <w:spacing w:before="0" w:after="283"/>
              <w:jc w:val="left"/>
              <w:rPr/>
            </w:pPr>
            <w:r>
              <w:rPr/>
              <w:t> </w:t>
            </w:r>
          </w:p>
        </w:tc>
        <w:tc>
          <w:tcPr>
            <w:tcW w:w="71" w:type="dxa"/>
            <w:tcBorders/>
            <w:shd w:fill="EEEEEE" w:val="clear"/>
            <w:vAlign w:val="center"/>
          </w:tcPr>
          <w:p>
            <w:pPr>
              <w:pStyle w:val="TableContents"/>
              <w:bidi w:val="0"/>
              <w:spacing w:before="0" w:after="283"/>
              <w:jc w:val="left"/>
              <w:rPr/>
            </w:pPr>
            <w:r>
              <w:rPr/>
              <w:t> </w:t>
            </w:r>
          </w:p>
        </w:tc>
        <w:tc>
          <w:tcPr>
            <w:tcW w:w="166"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11"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8"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771"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67" w:type="dxa"/>
            <w:tcBorders/>
            <w:shd w:fill="EEEEEE" w:val="clear"/>
            <w:vAlign w:val="center"/>
          </w:tcPr>
          <w:p>
            <w:pPr>
              <w:pStyle w:val="TableContents"/>
              <w:bidi w:val="0"/>
              <w:spacing w:before="0" w:after="283"/>
              <w:jc w:val="left"/>
              <w:rPr/>
            </w:pPr>
            <w:r>
              <w:rPr/>
              <w:t> </w:t>
            </w:r>
          </w:p>
        </w:tc>
        <w:tc>
          <w:tcPr>
            <w:tcW w:w="67" w:type="dxa"/>
            <w:tcBorders/>
            <w:shd w:fill="EEEEEE" w:val="clear"/>
            <w:vAlign w:val="center"/>
          </w:tcPr>
          <w:p>
            <w:pPr>
              <w:pStyle w:val="TableContents"/>
              <w:bidi w:val="0"/>
              <w:spacing w:before="0" w:after="283"/>
              <w:jc w:val="left"/>
              <w:rPr/>
            </w:pPr>
            <w:r>
              <w:rPr/>
              <w:t> </w:t>
            </w:r>
          </w:p>
        </w:tc>
        <w:tc>
          <w:tcPr>
            <w:tcW w:w="158"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771"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82" w:type="dxa"/>
            <w:tcBorders/>
            <w:shd w:fill="EEEEEE" w:val="clear"/>
            <w:vAlign w:val="center"/>
          </w:tcPr>
          <w:p>
            <w:pPr>
              <w:pStyle w:val="TableContents"/>
              <w:bidi w:val="0"/>
              <w:spacing w:before="0" w:after="283"/>
              <w:jc w:val="left"/>
              <w:rPr/>
            </w:pPr>
            <w:r>
              <w:rPr/>
              <w:t> </w:t>
            </w:r>
            <w:bookmarkStart w:id="132" w:name="xdx_406_eus-gaap--ComprehensiveIncomeNet"/>
            <w:bookmarkEnd w:id="132"/>
          </w:p>
        </w:tc>
      </w:tr>
      <w:tr>
        <w:trPr/>
        <w:tc>
          <w:tcPr>
            <w:tcW w:w="5855" w:type="dxa"/>
            <w:tcBorders/>
            <w:shd w:fill="FFFFFF" w:val="clear"/>
            <w:vAlign w:val="center"/>
          </w:tcPr>
          <w:p>
            <w:pPr>
              <w:pStyle w:val="TableContents"/>
              <w:bidi w:val="0"/>
              <w:spacing w:before="0" w:after="283"/>
              <w:jc w:val="left"/>
              <w:rPr/>
            </w:pPr>
            <w:r>
              <w:rPr/>
              <w:t>Comprehensive income</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11" w:type="dxa"/>
            <w:tcBorders>
              <w:bottom w:val="double" w:sz="6" w:space="0" w:color="000000"/>
            </w:tcBorders>
            <w:shd w:fill="FFFFFF" w:val="clear"/>
            <w:tcMar>
              <w:bottom w:w="28" w:type="dxa"/>
            </w:tcMar>
            <w:vAlign w:val="center"/>
          </w:tcPr>
          <w:p>
            <w:pPr>
              <w:pStyle w:val="TableContents"/>
              <w:bidi w:val="0"/>
              <w:spacing w:before="0" w:after="283"/>
              <w:jc w:val="right"/>
              <w:rPr/>
            </w:pPr>
            <w:r>
              <w:rPr/>
              <w:t>10,379</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11" w:type="dxa"/>
            <w:tcBorders>
              <w:bottom w:val="double" w:sz="6" w:space="0" w:color="000000"/>
            </w:tcBorders>
            <w:shd w:fill="FFFFFF" w:val="clear"/>
            <w:tcMar>
              <w:bottom w:w="28" w:type="dxa"/>
            </w:tcMar>
            <w:vAlign w:val="center"/>
          </w:tcPr>
          <w:p>
            <w:pPr>
              <w:pStyle w:val="TableContents"/>
              <w:bidi w:val="0"/>
              <w:spacing w:before="0" w:after="283"/>
              <w:jc w:val="right"/>
              <w:rPr/>
            </w:pPr>
            <w:r>
              <w:rPr/>
              <w:t>25,413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71" w:type="dxa"/>
            <w:tcBorders>
              <w:bottom w:val="double" w:sz="6" w:space="0" w:color="000000"/>
            </w:tcBorders>
            <w:shd w:fill="FFFFFF" w:val="clear"/>
            <w:tcMar>
              <w:bottom w:w="28" w:type="dxa"/>
            </w:tcMar>
            <w:vAlign w:val="center"/>
          </w:tcPr>
          <w:p>
            <w:pPr>
              <w:pStyle w:val="TableContents"/>
              <w:bidi w:val="0"/>
              <w:spacing w:before="0" w:after="283"/>
              <w:jc w:val="right"/>
              <w:rPr/>
            </w:pPr>
            <w:r>
              <w:rPr/>
              <w:t>38,156</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71" w:type="dxa"/>
            <w:tcBorders>
              <w:bottom w:val="double" w:sz="6" w:space="0" w:color="000000"/>
            </w:tcBorders>
            <w:shd w:fill="FFFFFF" w:val="clear"/>
            <w:tcMar>
              <w:bottom w:w="28" w:type="dxa"/>
            </w:tcMar>
            <w:vAlign w:val="center"/>
          </w:tcPr>
          <w:p>
            <w:pPr>
              <w:pStyle w:val="TableContents"/>
              <w:bidi w:val="0"/>
              <w:spacing w:before="0" w:after="283"/>
              <w:jc w:val="right"/>
              <w:rPr/>
            </w:pPr>
            <w:r>
              <w:rPr/>
              <w:t>71,848</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CONSUMER PORTFOLIO SERVICES,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3" w:name="q3_007"/>
      <w:bookmarkEnd w:id="133"/>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34" w:name="xdx_301_112_pn3n3_zXJDqS9Mljrf"/>
      <w:bookmarkStart w:id="135" w:name="xdx_301_112_pn3n3_zXJDqS9Mljrf"/>
      <w:bookmarkEnd w:id="135"/>
    </w:p>
    <w:tbl>
      <w:tblPr>
        <w:tblW w:w="10160" w:type="dxa"/>
        <w:jc w:val="left"/>
        <w:tblInd w:w="0" w:type="dxa"/>
        <w:tblLayout w:type="fixed"/>
        <w:tblCellMar>
          <w:top w:w="0" w:type="dxa"/>
          <w:left w:w="0" w:type="dxa"/>
          <w:bottom w:w="0" w:type="dxa"/>
          <w:right w:w="0" w:type="dxa"/>
        </w:tblCellMar>
      </w:tblPr>
      <w:tblGrid>
        <w:gridCol w:w="7625"/>
        <w:gridCol w:w="60"/>
        <w:gridCol w:w="140"/>
        <w:gridCol w:w="875"/>
        <w:gridCol w:w="95"/>
        <w:gridCol w:w="60"/>
        <w:gridCol w:w="140"/>
        <w:gridCol w:w="1055"/>
        <w:gridCol w:w="110"/>
      </w:tblGrid>
      <w:tr>
        <w:trPr/>
        <w:tc>
          <w:tcPr>
            <w:tcW w:w="762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36" w:name="xdx_497_20230101__20230930_zAG6WP4T0z7h"/>
            <w:bookmarkEnd w:id="136"/>
          </w:p>
        </w:tc>
        <w:tc>
          <w:tcPr>
            <w:tcW w:w="875"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37" w:name="xdx_490_20220101__20220930_zJ8uROj8lD77"/>
            <w:bookmarkEnd w:id="137"/>
          </w:p>
        </w:tc>
        <w:tc>
          <w:tcPr>
            <w:tcW w:w="1055" w:type="dxa"/>
            <w:tcBorders/>
            <w:shd w:fill="FFFFFF" w:val="clear"/>
            <w:vAlign w:val="center"/>
          </w:tcPr>
          <w:p>
            <w:pPr>
              <w:pStyle w:val="TableContents"/>
              <w:bidi w:val="0"/>
              <w:spacing w:before="0" w:after="283"/>
              <w:jc w:val="center"/>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6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65" w:type="dxa"/>
            <w:gridSpan w:val="6"/>
            <w:tcBorders/>
            <w:vAlign w:val="center"/>
          </w:tcPr>
          <w:p>
            <w:pPr>
              <w:pStyle w:val="TableContents"/>
              <w:bidi w:val="0"/>
              <w:spacing w:before="0" w:after="283"/>
              <w:jc w:val="center"/>
              <w:rPr>
                <w:b/>
              </w:rPr>
            </w:pPr>
            <w:r>
              <w:rPr>
                <w:b/>
              </w:rPr>
              <w:t>Nine Months Ended</w:t>
            </w:r>
          </w:p>
        </w:tc>
        <w:tc>
          <w:tcPr>
            <w:tcW w:w="110" w:type="dxa"/>
            <w:tcBorders/>
            <w:vAlign w:val="center"/>
          </w:tcPr>
          <w:p>
            <w:pPr>
              <w:pStyle w:val="TableContents"/>
              <w:bidi w:val="0"/>
              <w:spacing w:before="0" w:after="283"/>
              <w:jc w:val="left"/>
              <w:rPr/>
            </w:pPr>
            <w:r>
              <w:rPr/>
              <w:t> </w:t>
            </w:r>
          </w:p>
        </w:tc>
      </w:tr>
      <w:tr>
        <w:trPr/>
        <w:tc>
          <w:tcPr>
            <w:tcW w:w="7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110" w:type="dxa"/>
            <w:tcBorders/>
            <w:vAlign w:val="center"/>
          </w:tcPr>
          <w:p>
            <w:pPr>
              <w:pStyle w:val="TableContents"/>
              <w:bidi w:val="0"/>
              <w:spacing w:before="0" w:after="283"/>
              <w:jc w:val="left"/>
              <w:rPr/>
            </w:pPr>
            <w:r>
              <w:rPr/>
              <w:t> </w:t>
            </w:r>
          </w:p>
        </w:tc>
      </w:tr>
      <w:tr>
        <w:trPr/>
        <w:tc>
          <w:tcPr>
            <w:tcW w:w="7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bookmarkStart w:id="138" w:name="xdx_402_eus-gaap--NetCashProvidedByUsedI"/>
            <w:bookmarkEnd w:id="138"/>
          </w:p>
        </w:tc>
      </w:tr>
      <w:tr>
        <w:trPr/>
        <w:tc>
          <w:tcPr>
            <w:tcW w:w="7625" w:type="dxa"/>
            <w:tcBorders/>
            <w:shd w:fill="EEEEEE" w:val="clear"/>
            <w:vAlign w:val="center"/>
          </w:tcPr>
          <w:p>
            <w:pPr>
              <w:pStyle w:val="TableContents"/>
              <w:bidi w:val="0"/>
              <w:spacing w:before="0" w:after="283"/>
              <w:jc w:val="left"/>
              <w:rPr>
                <w:i/>
              </w:rPr>
            </w:pPr>
            <w:r>
              <w:rPr>
                <w:i/>
              </w:rPr>
              <w:t>Cash flows from operating activities: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75"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bookmarkStart w:id="139" w:name="xdx_40F_eus-gaap--NetIncomeLoss_i01_maCz"/>
            <w:bookmarkEnd w:id="139"/>
          </w:p>
        </w:tc>
      </w:tr>
      <w:tr>
        <w:trPr/>
        <w:tc>
          <w:tcPr>
            <w:tcW w:w="7625"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38,156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71,848</w:t>
            </w:r>
          </w:p>
        </w:tc>
        <w:tc>
          <w:tcPr>
            <w:tcW w:w="110" w:type="dxa"/>
            <w:tcBorders/>
            <w:shd w:fill="FFFFFF" w:val="clear"/>
            <w:vAlign w:val="center"/>
          </w:tcPr>
          <w:p>
            <w:pPr>
              <w:pStyle w:val="TableContents"/>
              <w:bidi w:val="0"/>
              <w:spacing w:before="0" w:after="283"/>
              <w:ind w:left="0" w:right="0" w:hanging="200"/>
              <w:jc w:val="left"/>
              <w:rPr/>
            </w:pPr>
            <w:r>
              <w:rPr/>
              <w:t> </w:t>
            </w:r>
            <w:bookmarkStart w:id="140" w:name="xdx_404_eus-gaap--AdjustmentsToReconcile"/>
            <w:bookmarkEnd w:id="140"/>
          </w:p>
        </w:tc>
      </w:tr>
      <w:tr>
        <w:trPr/>
        <w:tc>
          <w:tcPr>
            <w:tcW w:w="7625" w:type="dxa"/>
            <w:tcBorders/>
            <w:shd w:fill="EEEEEE" w:val="clear"/>
            <w:vAlign w:val="center"/>
          </w:tcPr>
          <w:p>
            <w:pPr>
              <w:pStyle w:val="TableContents"/>
              <w:bidi w:val="0"/>
              <w:spacing w:before="0" w:after="283"/>
              <w:jc w:val="left"/>
              <w:rPr/>
            </w:pPr>
            <w:r>
              <w:rPr/>
              <w:t>Adjustments to reconcile net income to net cash provided by operating activities: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75"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bookmarkStart w:id="141" w:name="xdx_404_ecustom--NetInterestIncomeAccret"/>
            <w:bookmarkEnd w:id="141"/>
          </w:p>
        </w:tc>
      </w:tr>
      <w:tr>
        <w:trPr/>
        <w:tc>
          <w:tcPr>
            <w:tcW w:w="7625" w:type="dxa"/>
            <w:tcBorders/>
            <w:shd w:fill="FFFFFF" w:val="clear"/>
            <w:vAlign w:val="center"/>
          </w:tcPr>
          <w:p>
            <w:pPr>
              <w:pStyle w:val="TableContents"/>
              <w:bidi w:val="0"/>
              <w:spacing w:before="0" w:after="283"/>
              <w:jc w:val="left"/>
              <w:rPr/>
            </w:pPr>
            <w:r>
              <w:rPr/>
              <w:t>Net interest income accretion on fair value receivables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143,949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97,462</w:t>
            </w:r>
          </w:p>
        </w:tc>
        <w:tc>
          <w:tcPr>
            <w:tcW w:w="110" w:type="dxa"/>
            <w:tcBorders/>
            <w:shd w:fill="FFFFFF" w:val="clear"/>
            <w:vAlign w:val="center"/>
          </w:tcPr>
          <w:p>
            <w:pPr>
              <w:pStyle w:val="TableContents"/>
              <w:bidi w:val="0"/>
              <w:spacing w:before="0" w:after="283"/>
              <w:jc w:val="left"/>
              <w:rPr/>
            </w:pPr>
            <w:r>
              <w:rPr/>
              <w:t> </w:t>
            </w:r>
            <w:bookmarkStart w:id="142" w:name="xdx_40F_eus-gaap--DepreciationDepletionA"/>
            <w:bookmarkEnd w:id="142"/>
          </w:p>
        </w:tc>
      </w:tr>
      <w:tr>
        <w:trPr/>
        <w:tc>
          <w:tcPr>
            <w:tcW w:w="7625" w:type="dxa"/>
            <w:tcBorders/>
            <w:shd w:fill="EEEEEE" w:val="clear"/>
            <w:vAlign w:val="center"/>
          </w:tcPr>
          <w:p>
            <w:pPr>
              <w:pStyle w:val="TableContents"/>
              <w:bidi w:val="0"/>
              <w:spacing w:before="0" w:after="283"/>
              <w:jc w:val="left"/>
              <w:rPr/>
            </w:pPr>
            <w:r>
              <w:rPr/>
              <w:t>Depreciation and amortization</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75" w:type="dxa"/>
            <w:tcBorders/>
            <w:shd w:fill="EEEEEE" w:val="clear"/>
            <w:vAlign w:val="center"/>
          </w:tcPr>
          <w:p>
            <w:pPr>
              <w:pStyle w:val="TableContents"/>
              <w:bidi w:val="0"/>
              <w:spacing w:before="0" w:after="283"/>
              <w:jc w:val="right"/>
              <w:rPr/>
            </w:pPr>
            <w:r>
              <w:rPr/>
              <w:t>642</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1,207</w:t>
            </w:r>
          </w:p>
        </w:tc>
        <w:tc>
          <w:tcPr>
            <w:tcW w:w="110" w:type="dxa"/>
            <w:tcBorders/>
            <w:shd w:fill="EEEEEE" w:val="clear"/>
            <w:vAlign w:val="center"/>
          </w:tcPr>
          <w:p>
            <w:pPr>
              <w:pStyle w:val="TableContents"/>
              <w:bidi w:val="0"/>
              <w:spacing w:before="0" w:after="283"/>
              <w:jc w:val="left"/>
              <w:rPr/>
            </w:pPr>
            <w:r>
              <w:rPr/>
              <w:t> </w:t>
            </w:r>
            <w:bookmarkStart w:id="143" w:name="xdx_406_eus-gaap--AmortizationOfFinancin"/>
            <w:bookmarkEnd w:id="143"/>
          </w:p>
        </w:tc>
      </w:tr>
      <w:tr>
        <w:trPr/>
        <w:tc>
          <w:tcPr>
            <w:tcW w:w="7625" w:type="dxa"/>
            <w:tcBorders/>
            <w:shd w:fill="FFFFFF" w:val="clear"/>
            <w:vAlign w:val="center"/>
          </w:tcPr>
          <w:p>
            <w:pPr>
              <w:pStyle w:val="TableContents"/>
              <w:bidi w:val="0"/>
              <w:spacing w:before="0" w:after="283"/>
              <w:jc w:val="left"/>
              <w:rPr/>
            </w:pPr>
            <w:r>
              <w:rPr/>
              <w:t>Amortization of deferred financing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7,264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5,860</w:t>
            </w:r>
          </w:p>
        </w:tc>
        <w:tc>
          <w:tcPr>
            <w:tcW w:w="110" w:type="dxa"/>
            <w:tcBorders/>
            <w:shd w:fill="FFFFFF" w:val="clear"/>
            <w:vAlign w:val="center"/>
          </w:tcPr>
          <w:p>
            <w:pPr>
              <w:pStyle w:val="TableContents"/>
              <w:bidi w:val="0"/>
              <w:spacing w:before="0" w:after="283"/>
              <w:jc w:val="left"/>
              <w:rPr/>
            </w:pPr>
            <w:r>
              <w:rPr/>
              <w:t> </w:t>
            </w:r>
            <w:bookmarkStart w:id="144" w:name="xdx_405_ecustom--MarkToFinanceReceivable"/>
            <w:bookmarkEnd w:id="144"/>
          </w:p>
        </w:tc>
      </w:tr>
      <w:tr>
        <w:trPr/>
        <w:tc>
          <w:tcPr>
            <w:tcW w:w="7625" w:type="dxa"/>
            <w:tcBorders/>
            <w:shd w:fill="EEEEEE" w:val="clear"/>
            <w:vAlign w:val="center"/>
          </w:tcPr>
          <w:p>
            <w:pPr>
              <w:pStyle w:val="TableContents"/>
              <w:bidi w:val="0"/>
              <w:spacing w:before="0" w:after="283"/>
              <w:jc w:val="left"/>
              <w:rPr/>
            </w:pPr>
            <w:r>
              <w:rPr/>
              <w:t>Mark to finance receivables measured at fair value</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75" w:type="dxa"/>
            <w:tcBorders/>
            <w:shd w:fill="EEEEEE" w:val="clear"/>
            <w:vAlign w:val="center"/>
          </w:tcPr>
          <w:p>
            <w:pPr>
              <w:pStyle w:val="TableContents"/>
              <w:bidi w:val="0"/>
              <w:spacing w:before="0" w:after="283"/>
              <w:jc w:val="right"/>
              <w:rPr/>
            </w:pPr>
            <w:r>
              <w:rPr/>
              <w:t>(6,000</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(15,283</w:t>
            </w:r>
          </w:p>
        </w:tc>
        <w:tc>
          <w:tcPr>
            <w:tcW w:w="110" w:type="dxa"/>
            <w:tcBorders/>
            <w:shd w:fill="EEEEEE" w:val="clear"/>
            <w:vAlign w:val="center"/>
          </w:tcPr>
          <w:p>
            <w:pPr>
              <w:pStyle w:val="TableContents"/>
              <w:bidi w:val="0"/>
              <w:spacing w:before="0" w:after="283"/>
              <w:jc w:val="left"/>
              <w:rPr/>
            </w:pPr>
            <w:r>
              <w:rPr/>
              <w:t>)</w:t>
            </w:r>
            <w:bookmarkStart w:id="145" w:name="xdx_40B_eus-gaap--ProvisionForLoanAndLea"/>
            <w:bookmarkEnd w:id="145"/>
          </w:p>
        </w:tc>
      </w:tr>
      <w:tr>
        <w:trPr/>
        <w:tc>
          <w:tcPr>
            <w:tcW w:w="7625" w:type="dxa"/>
            <w:tcBorders/>
            <w:shd w:fill="FFFFFF" w:val="clear"/>
            <w:vAlign w:val="center"/>
          </w:tcPr>
          <w:p>
            <w:pPr>
              <w:pStyle w:val="TableContents"/>
              <w:bidi w:val="0"/>
              <w:spacing w:before="0" w:after="283"/>
              <w:jc w:val="left"/>
              <w:rPr/>
            </w:pPr>
            <w:r>
              <w:rPr/>
              <w:t>Provision for credit losses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(20,700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(23,400</w:t>
            </w:r>
          </w:p>
        </w:tc>
        <w:tc>
          <w:tcPr>
            <w:tcW w:w="110" w:type="dxa"/>
            <w:tcBorders/>
            <w:shd w:fill="FFFFFF" w:val="clear"/>
            <w:vAlign w:val="center"/>
          </w:tcPr>
          <w:p>
            <w:pPr>
              <w:pStyle w:val="TableContents"/>
              <w:bidi w:val="0"/>
              <w:spacing w:before="0" w:after="283"/>
              <w:jc w:val="left"/>
              <w:rPr/>
            </w:pPr>
            <w:r>
              <w:rPr/>
              <w:t>)</w:t>
            </w:r>
            <w:bookmarkStart w:id="146" w:name="xdx_40D_eus-gaap--AllocatedShareBasedCom"/>
            <w:bookmarkEnd w:id="146"/>
          </w:p>
        </w:tc>
      </w:tr>
      <w:tr>
        <w:trPr/>
        <w:tc>
          <w:tcPr>
            <w:tcW w:w="7625" w:type="dxa"/>
            <w:tcBorders/>
            <w:shd w:fill="EEEEEE" w:val="clear"/>
            <w:vAlign w:val="center"/>
          </w:tcPr>
          <w:p>
            <w:pPr>
              <w:pStyle w:val="TableContents"/>
              <w:bidi w:val="0"/>
              <w:spacing w:before="0" w:after="283"/>
              <w:jc w:val="left"/>
              <w:rPr/>
            </w:pPr>
            <w:r>
              <w:rPr/>
              <w:t>Stock-based compensation expense</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75" w:type="dxa"/>
            <w:tcBorders/>
            <w:shd w:fill="EEEEEE" w:val="clear"/>
            <w:vAlign w:val="center"/>
          </w:tcPr>
          <w:p>
            <w:pPr>
              <w:pStyle w:val="TableContents"/>
              <w:bidi w:val="0"/>
              <w:spacing w:before="0" w:after="283"/>
              <w:jc w:val="right"/>
              <w:rPr/>
            </w:pPr>
            <w:r>
              <w:rPr/>
              <w:t>2,634</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2,966</w:t>
            </w:r>
          </w:p>
        </w:tc>
        <w:tc>
          <w:tcPr>
            <w:tcW w:w="110" w:type="dxa"/>
            <w:tcBorders/>
            <w:shd w:fill="EEEEEE" w:val="clear"/>
            <w:vAlign w:val="center"/>
          </w:tcPr>
          <w:p>
            <w:pPr>
              <w:pStyle w:val="TableContents"/>
              <w:bidi w:val="0"/>
              <w:spacing w:before="0" w:after="283"/>
              <w:jc w:val="left"/>
              <w:rPr/>
            </w:pPr>
            <w:r>
              <w:rPr/>
              <w:t> </w:t>
            </w:r>
            <w:bookmarkStart w:id="147" w:name="xdx_401_eus-gaap--IncreaseDecreaseInOper"/>
            <w:bookmarkEnd w:id="147"/>
          </w:p>
        </w:tc>
      </w:tr>
      <w:tr>
        <w:trPr/>
        <w:tc>
          <w:tcPr>
            <w:tcW w:w="7625" w:type="dxa"/>
            <w:tcBorders/>
            <w:shd w:fill="FFFFFF" w:val="clear"/>
            <w:vAlign w:val="center"/>
          </w:tcPr>
          <w:p>
            <w:pPr>
              <w:pStyle w:val="TableContents"/>
              <w:bidi w:val="0"/>
              <w:spacing w:before="0" w:after="283"/>
              <w:jc w:val="left"/>
              <w:rPr/>
            </w:pPr>
            <w:r>
              <w:rPr/>
              <w:t>Changes in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8" w:name="xdx_406_eus-gaap--IncreaseDecreaseInPrep"/>
            <w:bookmarkEnd w:id="148"/>
          </w:p>
        </w:tc>
      </w:tr>
      <w:tr>
        <w:trPr/>
        <w:tc>
          <w:tcPr>
            <w:tcW w:w="7625" w:type="dxa"/>
            <w:tcBorders/>
            <w:shd w:fill="EEEEEE" w:val="clear"/>
            <w:vAlign w:val="center"/>
          </w:tcPr>
          <w:p>
            <w:pPr>
              <w:pStyle w:val="TableContents"/>
              <w:bidi w:val="0"/>
              <w:spacing w:before="0" w:after="283"/>
              <w:jc w:val="left"/>
              <w:rPr/>
            </w:pPr>
            <w:r>
              <w:rPr/>
              <w:t>Deferred tax assets, net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75" w:type="dxa"/>
            <w:tcBorders/>
            <w:shd w:fill="EEEEEE" w:val="clear"/>
            <w:vAlign w:val="center"/>
          </w:tcPr>
          <w:p>
            <w:pPr>
              <w:pStyle w:val="TableContents"/>
              <w:bidi w:val="0"/>
              <w:spacing w:before="0" w:after="283"/>
              <w:jc w:val="right"/>
              <w:rPr/>
            </w:pPr>
            <w:r>
              <w:rPr/>
              <w:t>4,414</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5,005</w:t>
            </w:r>
          </w:p>
        </w:tc>
        <w:tc>
          <w:tcPr>
            <w:tcW w:w="110" w:type="dxa"/>
            <w:tcBorders/>
            <w:shd w:fill="EEEEEE" w:val="clear"/>
            <w:vAlign w:val="center"/>
          </w:tcPr>
          <w:p>
            <w:pPr>
              <w:pStyle w:val="TableContents"/>
              <w:bidi w:val="0"/>
              <w:spacing w:before="0" w:after="283"/>
              <w:jc w:val="left"/>
              <w:rPr/>
            </w:pPr>
            <w:r>
              <w:rPr/>
              <w:t> </w:t>
            </w:r>
            <w:bookmarkStart w:id="149" w:name="xdx_401_eus-gaap--IncreaseDecreaseInOthe"/>
            <w:bookmarkEnd w:id="149"/>
          </w:p>
        </w:tc>
      </w:tr>
      <w:tr>
        <w:trPr/>
        <w:tc>
          <w:tcPr>
            <w:tcW w:w="7625"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4,671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5,252</w:t>
            </w:r>
          </w:p>
        </w:tc>
        <w:tc>
          <w:tcPr>
            <w:tcW w:w="110" w:type="dxa"/>
            <w:tcBorders/>
            <w:shd w:fill="FFFFFF" w:val="clear"/>
            <w:vAlign w:val="center"/>
          </w:tcPr>
          <w:p>
            <w:pPr>
              <w:pStyle w:val="TableContents"/>
              <w:bidi w:val="0"/>
              <w:spacing w:before="0" w:after="283"/>
              <w:jc w:val="left"/>
              <w:rPr/>
            </w:pPr>
            <w:r>
              <w:rPr/>
              <w:t> </w:t>
            </w:r>
            <w:bookmarkStart w:id="150" w:name="xdx_404_eus-gaap--IncreaseDecreaseInAcco"/>
            <w:bookmarkEnd w:id="150"/>
          </w:p>
        </w:tc>
      </w:tr>
      <w:tr>
        <w:trPr/>
        <w:tc>
          <w:tcPr>
            <w:tcW w:w="7625" w:type="dxa"/>
            <w:tcBorders/>
            <w:shd w:fill="EEEEEE" w:val="clear"/>
            <w:vAlign w:val="center"/>
          </w:tcPr>
          <w:p>
            <w:pPr>
              <w:pStyle w:val="TableContents"/>
              <w:bidi w:val="0"/>
              <w:spacing w:before="0" w:after="283"/>
              <w:jc w:val="left"/>
              <w:rPr/>
            </w:pPr>
            <w:r>
              <w:rPr/>
              <w:t>Accounts payable and accrued expenses</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EEEEEE" w:val="clear"/>
            <w:tcMar>
              <w:bottom w:w="28" w:type="dxa"/>
            </w:tcMar>
            <w:vAlign w:val="center"/>
          </w:tcPr>
          <w:p>
            <w:pPr>
              <w:pStyle w:val="TableContents"/>
              <w:bidi w:val="0"/>
              <w:spacing w:before="0" w:after="283"/>
              <w:jc w:val="right"/>
              <w:rPr/>
            </w:pPr>
            <w:r>
              <w:rPr/>
              <w:t>6,888</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EEEEEE" w:val="clear"/>
            <w:tcMar>
              <w:bottom w:w="28" w:type="dxa"/>
            </w:tcMar>
            <w:vAlign w:val="center"/>
          </w:tcPr>
          <w:p>
            <w:pPr>
              <w:pStyle w:val="TableContents"/>
              <w:bidi w:val="0"/>
              <w:spacing w:before="0" w:after="283"/>
              <w:jc w:val="right"/>
              <w:rPr/>
            </w:pPr>
            <w:r>
              <w:rPr/>
              <w:t>13,827</w:t>
            </w:r>
          </w:p>
        </w:tc>
        <w:tc>
          <w:tcPr>
            <w:tcW w:w="110" w:type="dxa"/>
            <w:tcBorders/>
            <w:shd w:fill="EEEEEE" w:val="clear"/>
            <w:vAlign w:val="center"/>
          </w:tcPr>
          <w:p>
            <w:pPr>
              <w:pStyle w:val="TableContents"/>
              <w:bidi w:val="0"/>
              <w:spacing w:before="0" w:after="283"/>
              <w:jc w:val="left"/>
              <w:rPr/>
            </w:pPr>
            <w:r>
              <w:rPr/>
              <w:t> </w:t>
            </w:r>
            <w:bookmarkStart w:id="151" w:name="xdx_40C_eus-gaap--NetCashProvidedByUsedI"/>
            <w:bookmarkEnd w:id="151"/>
          </w:p>
        </w:tc>
      </w:tr>
      <w:tr>
        <w:trPr/>
        <w:tc>
          <w:tcPr>
            <w:tcW w:w="7625" w:type="dxa"/>
            <w:tcBorders/>
            <w:shd w:fill="FFFFFF" w:val="clear"/>
            <w:vAlign w:val="center"/>
          </w:tcPr>
          <w:p>
            <w:pPr>
              <w:pStyle w:val="TableContents"/>
              <w:bidi w:val="0"/>
              <w:spacing w:before="0" w:after="283"/>
              <w:jc w:val="left"/>
              <w:rPr/>
            </w:pPr>
            <w:r>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181,918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164,744</w:t>
            </w:r>
          </w:p>
        </w:tc>
        <w:tc>
          <w:tcPr>
            <w:tcW w:w="110" w:type="dxa"/>
            <w:tcBorders/>
            <w:shd w:fill="FFFFFF" w:val="clear"/>
            <w:vAlign w:val="center"/>
          </w:tcPr>
          <w:p>
            <w:pPr>
              <w:pStyle w:val="TableContents"/>
              <w:bidi w:val="0"/>
              <w:spacing w:before="0" w:after="283"/>
              <w:jc w:val="left"/>
              <w:rPr/>
            </w:pPr>
            <w:r>
              <w:rPr/>
              <w:t> </w:t>
            </w:r>
          </w:p>
        </w:tc>
      </w:tr>
      <w:tr>
        <w:trPr/>
        <w:tc>
          <w:tcPr>
            <w:tcW w:w="7625"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75"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bookmarkStart w:id="152" w:name="xdx_40E_eus-gaap--NetCashProvidedByUsedI"/>
            <w:bookmarkEnd w:id="152"/>
          </w:p>
        </w:tc>
      </w:tr>
      <w:tr>
        <w:trPr/>
        <w:tc>
          <w:tcPr>
            <w:tcW w:w="7625" w:type="dxa"/>
            <w:tcBorders/>
            <w:shd w:fill="FFFFFF" w:val="clear"/>
            <w:vAlign w:val="center"/>
          </w:tcPr>
          <w:p>
            <w:pPr>
              <w:pStyle w:val="TableContents"/>
              <w:bidi w:val="0"/>
              <w:spacing w:before="0" w:after="283"/>
              <w:jc w:val="left"/>
              <w:rPr>
                <w:i/>
              </w:rPr>
            </w:pPr>
            <w:r>
              <w:rPr>
                <w:i/>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3" w:name="xdx_406_eus-gaap--PaymentsForProceedsFro"/>
            <w:bookmarkEnd w:id="153"/>
          </w:p>
        </w:tc>
      </w:tr>
      <w:tr>
        <w:trPr/>
        <w:tc>
          <w:tcPr>
            <w:tcW w:w="7625" w:type="dxa"/>
            <w:tcBorders/>
            <w:shd w:fill="EEEEEE" w:val="clear"/>
            <w:vAlign w:val="center"/>
          </w:tcPr>
          <w:p>
            <w:pPr>
              <w:pStyle w:val="TableContents"/>
              <w:bidi w:val="0"/>
              <w:spacing w:before="0" w:after="283"/>
              <w:jc w:val="left"/>
              <w:rPr/>
            </w:pPr>
            <w:r>
              <w:rPr/>
              <w:t>Payments received on finance receivables held for investment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75" w:type="dxa"/>
            <w:tcBorders/>
            <w:shd w:fill="EEEEEE" w:val="clear"/>
            <w:vAlign w:val="center"/>
          </w:tcPr>
          <w:p>
            <w:pPr>
              <w:pStyle w:val="TableContents"/>
              <w:bidi w:val="0"/>
              <w:spacing w:before="0" w:after="283"/>
              <w:jc w:val="right"/>
              <w:rPr/>
            </w:pPr>
            <w:r>
              <w:rPr/>
              <w:t>56,986</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109,894</w:t>
            </w:r>
          </w:p>
        </w:tc>
        <w:tc>
          <w:tcPr>
            <w:tcW w:w="110" w:type="dxa"/>
            <w:tcBorders/>
            <w:shd w:fill="EEEEEE" w:val="clear"/>
            <w:vAlign w:val="center"/>
          </w:tcPr>
          <w:p>
            <w:pPr>
              <w:pStyle w:val="TableContents"/>
              <w:bidi w:val="0"/>
              <w:spacing w:before="0" w:after="283"/>
              <w:jc w:val="left"/>
              <w:rPr/>
            </w:pPr>
            <w:r>
              <w:rPr/>
              <w:t> </w:t>
            </w:r>
            <w:bookmarkStart w:id="154" w:name="xdx_409_eus-gaap--PaymentsToAcquireFinan"/>
            <w:bookmarkEnd w:id="154"/>
          </w:p>
        </w:tc>
      </w:tr>
      <w:tr>
        <w:trPr/>
        <w:tc>
          <w:tcPr>
            <w:tcW w:w="7625" w:type="dxa"/>
            <w:tcBorders/>
            <w:shd w:fill="FFFFFF" w:val="clear"/>
            <w:vAlign w:val="center"/>
          </w:tcPr>
          <w:p>
            <w:pPr>
              <w:pStyle w:val="TableContents"/>
              <w:bidi w:val="0"/>
              <w:spacing w:before="0" w:after="283"/>
              <w:jc w:val="left"/>
              <w:rPr/>
            </w:pPr>
            <w:r>
              <w:rPr/>
              <w:t>Purchases of finance receivables measured at fair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(958,587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(1,311,735</w:t>
            </w:r>
          </w:p>
        </w:tc>
        <w:tc>
          <w:tcPr>
            <w:tcW w:w="110" w:type="dxa"/>
            <w:tcBorders/>
            <w:shd w:fill="FFFFFF" w:val="clear"/>
            <w:vAlign w:val="center"/>
          </w:tcPr>
          <w:p>
            <w:pPr>
              <w:pStyle w:val="TableContents"/>
              <w:bidi w:val="0"/>
              <w:spacing w:before="0" w:after="283"/>
              <w:jc w:val="left"/>
              <w:rPr/>
            </w:pPr>
            <w:r>
              <w:rPr/>
              <w:t>)</w:t>
            </w:r>
            <w:bookmarkStart w:id="155" w:name="xdx_40D_eus-gaap--ProceedsFromCollection"/>
            <w:bookmarkEnd w:id="155"/>
          </w:p>
        </w:tc>
      </w:tr>
      <w:tr>
        <w:trPr/>
        <w:tc>
          <w:tcPr>
            <w:tcW w:w="7625" w:type="dxa"/>
            <w:tcBorders/>
            <w:shd w:fill="EEEEEE" w:val="clear"/>
            <w:vAlign w:val="center"/>
          </w:tcPr>
          <w:p>
            <w:pPr>
              <w:pStyle w:val="TableContents"/>
              <w:bidi w:val="0"/>
              <w:spacing w:before="0" w:after="283"/>
              <w:jc w:val="left"/>
              <w:rPr/>
            </w:pPr>
            <w:r>
              <w:rPr/>
              <w:t>Payments received on finance receivables at fair value</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75" w:type="dxa"/>
            <w:tcBorders/>
            <w:shd w:fill="EEEEEE" w:val="clear"/>
            <w:vAlign w:val="center"/>
          </w:tcPr>
          <w:p>
            <w:pPr>
              <w:pStyle w:val="TableContents"/>
              <w:bidi w:val="0"/>
              <w:spacing w:before="0" w:after="283"/>
              <w:jc w:val="right"/>
              <w:rPr/>
            </w:pPr>
            <w:r>
              <w:rPr/>
              <w:t>625,715</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635,401</w:t>
            </w:r>
          </w:p>
        </w:tc>
        <w:tc>
          <w:tcPr>
            <w:tcW w:w="110" w:type="dxa"/>
            <w:tcBorders/>
            <w:shd w:fill="EEEEEE" w:val="clear"/>
            <w:vAlign w:val="center"/>
          </w:tcPr>
          <w:p>
            <w:pPr>
              <w:pStyle w:val="TableContents"/>
              <w:bidi w:val="0"/>
              <w:spacing w:before="0" w:after="283"/>
              <w:jc w:val="left"/>
              <w:rPr/>
            </w:pPr>
            <w:r>
              <w:rPr/>
              <w:t> </w:t>
            </w:r>
            <w:bookmarkStart w:id="156" w:name="xdx_402_ecustom--ChangeInRepossessionsIn"/>
            <w:bookmarkEnd w:id="156"/>
          </w:p>
        </w:tc>
      </w:tr>
      <w:tr>
        <w:trPr/>
        <w:tc>
          <w:tcPr>
            <w:tcW w:w="7625" w:type="dxa"/>
            <w:tcBorders/>
            <w:shd w:fill="FFFFFF" w:val="clear"/>
            <w:vAlign w:val="center"/>
          </w:tcPr>
          <w:p>
            <w:pPr>
              <w:pStyle w:val="TableContents"/>
              <w:bidi w:val="0"/>
              <w:spacing w:before="0" w:after="283"/>
              <w:jc w:val="left"/>
              <w:rPr/>
            </w:pPr>
            <w:r>
              <w:rPr/>
              <w:t>Change in repossessions held in 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1,694</w:t>
            </w:r>
          </w:p>
        </w:tc>
        <w:tc>
          <w:tcPr>
            <w:tcW w:w="110" w:type="dxa"/>
            <w:tcBorders/>
            <w:shd w:fill="FFFFFF" w:val="clear"/>
            <w:vAlign w:val="center"/>
          </w:tcPr>
          <w:p>
            <w:pPr>
              <w:pStyle w:val="TableContents"/>
              <w:bidi w:val="0"/>
              <w:spacing w:before="0" w:after="283"/>
              <w:jc w:val="left"/>
              <w:rPr/>
            </w:pPr>
            <w:r>
              <w:rPr/>
              <w:t> </w:t>
            </w:r>
            <w:bookmarkStart w:id="157" w:name="xdx_406_eus-gaap--PaymentsToAcquirePrope"/>
            <w:bookmarkEnd w:id="157"/>
          </w:p>
        </w:tc>
      </w:tr>
      <w:tr>
        <w:trPr/>
        <w:tc>
          <w:tcPr>
            <w:tcW w:w="7625" w:type="dxa"/>
            <w:tcBorders/>
            <w:shd w:fill="EEEEEE" w:val="clear"/>
            <w:vAlign w:val="center"/>
          </w:tcPr>
          <w:p>
            <w:pPr>
              <w:pStyle w:val="TableContents"/>
              <w:bidi w:val="0"/>
              <w:spacing w:before="0" w:after="283"/>
              <w:jc w:val="left"/>
              <w:rPr/>
            </w:pPr>
            <w:r>
              <w:rPr/>
              <w:t>Purchase of furniture and equipment</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EEEEEE" w:val="clear"/>
            <w:tcMar>
              <w:bottom w:w="28" w:type="dxa"/>
            </w:tcMar>
            <w:vAlign w:val="center"/>
          </w:tcPr>
          <w:p>
            <w:pPr>
              <w:pStyle w:val="TableContents"/>
              <w:bidi w:val="0"/>
              <w:spacing w:before="0" w:after="283"/>
              <w:jc w:val="right"/>
              <w:rPr/>
            </w:pPr>
            <w:r>
              <w:rPr/>
              <w:t>(277</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EEEEEE" w:val="clear"/>
            <w:tcMar>
              <w:bottom w:w="28" w:type="dxa"/>
            </w:tcMar>
            <w:vAlign w:val="center"/>
          </w:tcPr>
          <w:p>
            <w:pPr>
              <w:pStyle w:val="TableContents"/>
              <w:bidi w:val="0"/>
              <w:spacing w:before="0" w:after="283"/>
              <w:jc w:val="right"/>
              <w:rPr/>
            </w:pPr>
            <w:r>
              <w:rPr/>
              <w:t>(1,778</w:t>
            </w:r>
          </w:p>
        </w:tc>
        <w:tc>
          <w:tcPr>
            <w:tcW w:w="110" w:type="dxa"/>
            <w:tcBorders/>
            <w:shd w:fill="EEEEEE" w:val="clear"/>
            <w:vAlign w:val="center"/>
          </w:tcPr>
          <w:p>
            <w:pPr>
              <w:pStyle w:val="TableContents"/>
              <w:bidi w:val="0"/>
              <w:spacing w:before="0" w:after="283"/>
              <w:jc w:val="left"/>
              <w:rPr/>
            </w:pPr>
            <w:r>
              <w:rPr/>
              <w:t>)</w:t>
            </w:r>
            <w:bookmarkStart w:id="158" w:name="xdx_402_eus-gaap--NetCashProvidedByUsedI"/>
            <w:bookmarkEnd w:id="158"/>
          </w:p>
        </w:tc>
      </w:tr>
      <w:tr>
        <w:trPr/>
        <w:tc>
          <w:tcPr>
            <w:tcW w:w="7625"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(275,752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(566,524</w:t>
            </w:r>
          </w:p>
        </w:tc>
        <w:tc>
          <w:tcPr>
            <w:tcW w:w="110" w:type="dxa"/>
            <w:tcBorders/>
            <w:shd w:fill="FFFFFF" w:val="clear"/>
            <w:vAlign w:val="center"/>
          </w:tcPr>
          <w:p>
            <w:pPr>
              <w:pStyle w:val="TableContents"/>
              <w:bidi w:val="0"/>
              <w:spacing w:before="0" w:after="283"/>
              <w:jc w:val="left"/>
              <w:rPr/>
            </w:pPr>
            <w:r>
              <w:rPr/>
              <w:t>)</w:t>
            </w:r>
          </w:p>
        </w:tc>
      </w:tr>
      <w:tr>
        <w:trPr/>
        <w:tc>
          <w:tcPr>
            <w:tcW w:w="762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75"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bookmarkStart w:id="159" w:name="xdx_400_eus-gaap--NetCashProvidedByUsedI"/>
            <w:bookmarkEnd w:id="159"/>
          </w:p>
        </w:tc>
      </w:tr>
      <w:tr>
        <w:trPr/>
        <w:tc>
          <w:tcPr>
            <w:tcW w:w="7625" w:type="dxa"/>
            <w:tcBorders/>
            <w:shd w:fill="FFFFFF" w:val="clear"/>
            <w:vAlign w:val="center"/>
          </w:tcPr>
          <w:p>
            <w:pPr>
              <w:pStyle w:val="TableContents"/>
              <w:bidi w:val="0"/>
              <w:spacing w:before="0" w:after="283"/>
              <w:jc w:val="left"/>
              <w:rPr>
                <w:i/>
              </w:rPr>
            </w:pPr>
            <w:r>
              <w:rPr>
                <w:i/>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0" w:name="xdx_40D_eus-gaap--ProceedsFromIssuanceOf"/>
            <w:bookmarkEnd w:id="160"/>
          </w:p>
        </w:tc>
      </w:tr>
      <w:tr>
        <w:trPr/>
        <w:tc>
          <w:tcPr>
            <w:tcW w:w="7625" w:type="dxa"/>
            <w:tcBorders/>
            <w:shd w:fill="EEEEEE" w:val="clear"/>
            <w:vAlign w:val="center"/>
          </w:tcPr>
          <w:p>
            <w:pPr>
              <w:pStyle w:val="TableContents"/>
              <w:bidi w:val="0"/>
              <w:spacing w:before="0" w:after="283"/>
              <w:jc w:val="left"/>
              <w:rPr/>
            </w:pPr>
            <w:r>
              <w:rPr/>
              <w:t>Proceeds from issuance of securitization trust debt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75" w:type="dxa"/>
            <w:tcBorders/>
            <w:shd w:fill="EEEEEE" w:val="clear"/>
            <w:vAlign w:val="center"/>
          </w:tcPr>
          <w:p>
            <w:pPr>
              <w:pStyle w:val="TableContents"/>
              <w:bidi w:val="0"/>
              <w:spacing w:before="0" w:after="283"/>
              <w:jc w:val="right"/>
              <w:rPr/>
            </w:pPr>
            <w:r>
              <w:rPr/>
              <w:t>949,385</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1,104,000</w:t>
            </w:r>
          </w:p>
        </w:tc>
        <w:tc>
          <w:tcPr>
            <w:tcW w:w="110" w:type="dxa"/>
            <w:tcBorders/>
            <w:shd w:fill="EEEEEE" w:val="clear"/>
            <w:vAlign w:val="center"/>
          </w:tcPr>
          <w:p>
            <w:pPr>
              <w:pStyle w:val="TableContents"/>
              <w:bidi w:val="0"/>
              <w:spacing w:before="0" w:after="283"/>
              <w:jc w:val="left"/>
              <w:rPr/>
            </w:pPr>
            <w:r>
              <w:rPr/>
              <w:t> </w:t>
            </w:r>
            <w:bookmarkStart w:id="161" w:name="xdx_405_eus-gaap--ProceedsFromIssuanceOf"/>
            <w:bookmarkEnd w:id="161"/>
          </w:p>
        </w:tc>
      </w:tr>
      <w:tr>
        <w:trPr/>
        <w:tc>
          <w:tcPr>
            <w:tcW w:w="7625" w:type="dxa"/>
            <w:tcBorders/>
            <w:shd w:fill="FFFFFF" w:val="clear"/>
            <w:vAlign w:val="center"/>
          </w:tcPr>
          <w:p>
            <w:pPr>
              <w:pStyle w:val="TableContents"/>
              <w:bidi w:val="0"/>
              <w:spacing w:before="0" w:after="283"/>
              <w:jc w:val="left"/>
              <w:rPr/>
            </w:pPr>
            <w:r>
              <w:rPr/>
              <w:t>Proceeds from issuance of subordinated renewable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4,004</w:t>
            </w:r>
          </w:p>
        </w:tc>
        <w:tc>
          <w:tcPr>
            <w:tcW w:w="110" w:type="dxa"/>
            <w:tcBorders/>
            <w:shd w:fill="FFFFFF" w:val="clear"/>
            <w:vAlign w:val="center"/>
          </w:tcPr>
          <w:p>
            <w:pPr>
              <w:pStyle w:val="TableContents"/>
              <w:bidi w:val="0"/>
              <w:spacing w:before="0" w:after="283"/>
              <w:jc w:val="left"/>
              <w:rPr/>
            </w:pPr>
            <w:r>
              <w:rPr/>
              <w:t> </w:t>
            </w:r>
            <w:bookmarkStart w:id="162" w:name="xdx_405_eus-gaap--RepaymentsOfMediumTerm"/>
            <w:bookmarkEnd w:id="162"/>
          </w:p>
        </w:tc>
      </w:tr>
      <w:tr>
        <w:trPr/>
        <w:tc>
          <w:tcPr>
            <w:tcW w:w="7625" w:type="dxa"/>
            <w:tcBorders/>
            <w:shd w:fill="EEEEEE" w:val="clear"/>
            <w:vAlign w:val="center"/>
          </w:tcPr>
          <w:p>
            <w:pPr>
              <w:pStyle w:val="TableContents"/>
              <w:bidi w:val="0"/>
              <w:spacing w:before="0" w:after="283"/>
              <w:jc w:val="left"/>
              <w:rPr/>
            </w:pPr>
            <w:r>
              <w:rPr/>
              <w:t>Payments on subordinated renewable notes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75" w:type="dxa"/>
            <w:tcBorders/>
            <w:shd w:fill="EEEEEE" w:val="clear"/>
            <w:vAlign w:val="center"/>
          </w:tcPr>
          <w:p>
            <w:pPr>
              <w:pStyle w:val="TableContents"/>
              <w:bidi w:val="0"/>
              <w:spacing w:before="0" w:after="283"/>
              <w:jc w:val="right"/>
              <w:rPr/>
            </w:pPr>
            <w:r>
              <w:rPr/>
              <w:t>(6,100</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(3,214</w:t>
            </w:r>
          </w:p>
        </w:tc>
        <w:tc>
          <w:tcPr>
            <w:tcW w:w="110" w:type="dxa"/>
            <w:tcBorders/>
            <w:shd w:fill="EEEEEE" w:val="clear"/>
            <w:vAlign w:val="center"/>
          </w:tcPr>
          <w:p>
            <w:pPr>
              <w:pStyle w:val="TableContents"/>
              <w:bidi w:val="0"/>
              <w:spacing w:before="0" w:after="283"/>
              <w:jc w:val="left"/>
              <w:rPr/>
            </w:pPr>
            <w:r>
              <w:rPr/>
              <w:t>)</w:t>
            </w:r>
            <w:bookmarkStart w:id="163" w:name="xdx_400_eus-gaap--ProceedsFromRepayments"/>
            <w:bookmarkEnd w:id="163"/>
          </w:p>
        </w:tc>
      </w:tr>
      <w:tr>
        <w:trPr/>
        <w:tc>
          <w:tcPr>
            <w:tcW w:w="7625" w:type="dxa"/>
            <w:tcBorders/>
            <w:shd w:fill="FFFFFF" w:val="clear"/>
            <w:vAlign w:val="center"/>
          </w:tcPr>
          <w:p>
            <w:pPr>
              <w:pStyle w:val="TableContents"/>
              <w:bidi w:val="0"/>
              <w:spacing w:before="0" w:after="283"/>
              <w:jc w:val="left"/>
              <w:rPr/>
            </w:pPr>
            <w:r>
              <w:rPr/>
              <w:t>Net proceeds from (repayments of) warehouse lines of credit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(46,407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139,477</w:t>
            </w:r>
          </w:p>
        </w:tc>
        <w:tc>
          <w:tcPr>
            <w:tcW w:w="110" w:type="dxa"/>
            <w:tcBorders/>
            <w:shd w:fill="FFFFFF" w:val="clear"/>
            <w:vAlign w:val="center"/>
          </w:tcPr>
          <w:p>
            <w:pPr>
              <w:pStyle w:val="TableContents"/>
              <w:bidi w:val="0"/>
              <w:spacing w:before="0" w:after="283"/>
              <w:jc w:val="left"/>
              <w:rPr/>
            </w:pPr>
            <w:r>
              <w:rPr/>
              <w:t> </w:t>
            </w:r>
            <w:bookmarkStart w:id="164" w:name="xdx_404_ecustom--NetProceedsFromRepaymen"/>
            <w:bookmarkEnd w:id="164"/>
          </w:p>
        </w:tc>
      </w:tr>
      <w:tr>
        <w:trPr/>
        <w:tc>
          <w:tcPr>
            <w:tcW w:w="7625" w:type="dxa"/>
            <w:tcBorders/>
            <w:shd w:fill="EEEEEE" w:val="clear"/>
            <w:vAlign w:val="center"/>
          </w:tcPr>
          <w:p>
            <w:pPr>
              <w:pStyle w:val="TableContents"/>
              <w:bidi w:val="0"/>
              <w:spacing w:before="0" w:after="283"/>
              <w:jc w:val="left"/>
              <w:rPr/>
            </w:pPr>
            <w:r>
              <w:rPr/>
              <w:t>Net proceeds from (repayment of) residual interest financing debt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75"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(4,311</w:t>
            </w:r>
          </w:p>
        </w:tc>
        <w:tc>
          <w:tcPr>
            <w:tcW w:w="110" w:type="dxa"/>
            <w:tcBorders/>
            <w:shd w:fill="EEEEEE" w:val="clear"/>
            <w:vAlign w:val="center"/>
          </w:tcPr>
          <w:p>
            <w:pPr>
              <w:pStyle w:val="TableContents"/>
              <w:bidi w:val="0"/>
              <w:spacing w:before="0" w:after="283"/>
              <w:jc w:val="left"/>
              <w:rPr/>
            </w:pPr>
            <w:r>
              <w:rPr/>
              <w:t>)</w:t>
            </w:r>
            <w:bookmarkStart w:id="165" w:name="xdx_407_eus-gaap--RepaymentsOfSecuredDeb"/>
            <w:bookmarkEnd w:id="165"/>
          </w:p>
        </w:tc>
      </w:tr>
      <w:tr>
        <w:trPr/>
        <w:tc>
          <w:tcPr>
            <w:tcW w:w="7625" w:type="dxa"/>
            <w:tcBorders/>
            <w:shd w:fill="FFFFFF" w:val="clear"/>
            <w:vAlign w:val="center"/>
          </w:tcPr>
          <w:p>
            <w:pPr>
              <w:pStyle w:val="TableContents"/>
              <w:bidi w:val="0"/>
              <w:spacing w:before="0" w:after="283"/>
              <w:jc w:val="left"/>
              <w:rPr/>
            </w:pPr>
            <w:r>
              <w:rPr/>
              <w:t>Repayment of securitization trust debt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(814,473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(804,774</w:t>
            </w:r>
          </w:p>
        </w:tc>
        <w:tc>
          <w:tcPr>
            <w:tcW w:w="110" w:type="dxa"/>
            <w:tcBorders/>
            <w:shd w:fill="FFFFFF" w:val="clear"/>
            <w:vAlign w:val="center"/>
          </w:tcPr>
          <w:p>
            <w:pPr>
              <w:pStyle w:val="TableContents"/>
              <w:bidi w:val="0"/>
              <w:spacing w:before="0" w:after="283"/>
              <w:jc w:val="left"/>
              <w:rPr/>
            </w:pPr>
            <w:r>
              <w:rPr/>
              <w:t>)</w:t>
            </w:r>
            <w:bookmarkStart w:id="166" w:name="xdx_403_eus-gaap--PaymentsOfFinancingCos"/>
            <w:bookmarkEnd w:id="166"/>
          </w:p>
        </w:tc>
      </w:tr>
      <w:tr>
        <w:trPr/>
        <w:tc>
          <w:tcPr>
            <w:tcW w:w="7625" w:type="dxa"/>
            <w:tcBorders/>
            <w:shd w:fill="EEEEEE" w:val="clear"/>
            <w:vAlign w:val="center"/>
          </w:tcPr>
          <w:p>
            <w:pPr>
              <w:pStyle w:val="TableContents"/>
              <w:bidi w:val="0"/>
              <w:spacing w:before="0" w:after="283"/>
              <w:jc w:val="left"/>
              <w:rPr/>
            </w:pPr>
            <w:r>
              <w:rPr/>
              <w:t>Payment of financing costs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75" w:type="dxa"/>
            <w:tcBorders/>
            <w:shd w:fill="EEEEEE" w:val="clear"/>
            <w:vAlign w:val="center"/>
          </w:tcPr>
          <w:p>
            <w:pPr>
              <w:pStyle w:val="TableContents"/>
              <w:bidi w:val="0"/>
              <w:spacing w:before="0" w:after="283"/>
              <w:jc w:val="right"/>
              <w:rPr/>
            </w:pPr>
            <w:r>
              <w:rPr/>
              <w:t>(5,984</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(10,407</w:t>
            </w:r>
          </w:p>
        </w:tc>
        <w:tc>
          <w:tcPr>
            <w:tcW w:w="110" w:type="dxa"/>
            <w:tcBorders/>
            <w:shd w:fill="EEEEEE" w:val="clear"/>
            <w:vAlign w:val="center"/>
          </w:tcPr>
          <w:p>
            <w:pPr>
              <w:pStyle w:val="TableContents"/>
              <w:bidi w:val="0"/>
              <w:spacing w:before="0" w:after="283"/>
              <w:jc w:val="left"/>
              <w:rPr/>
            </w:pPr>
            <w:r>
              <w:rPr/>
              <w:t>)</w:t>
            </w:r>
            <w:bookmarkStart w:id="167" w:name="xdx_407_eus-gaap--PaymentsForRepurchaseO"/>
            <w:bookmarkEnd w:id="167"/>
          </w:p>
        </w:tc>
      </w:tr>
      <w:tr>
        <w:trPr/>
        <w:tc>
          <w:tcPr>
            <w:tcW w:w="7625" w:type="dxa"/>
            <w:tcBorders/>
            <w:shd w:fill="FFFFFF" w:val="clear"/>
            <w:vAlign w:val="center"/>
          </w:tcPr>
          <w:p>
            <w:pPr>
              <w:pStyle w:val="TableContents"/>
              <w:bidi w:val="0"/>
              <w:spacing w:before="0" w:after="283"/>
              <w:jc w:val="left"/>
              <w:rPr/>
            </w:pPr>
            <w:r>
              <w:rPr/>
              <w:t>Purchase of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(19,116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(41,535</w:t>
            </w:r>
          </w:p>
        </w:tc>
        <w:tc>
          <w:tcPr>
            <w:tcW w:w="110" w:type="dxa"/>
            <w:tcBorders/>
            <w:shd w:fill="FFFFFF" w:val="clear"/>
            <w:vAlign w:val="center"/>
          </w:tcPr>
          <w:p>
            <w:pPr>
              <w:pStyle w:val="TableContents"/>
              <w:bidi w:val="0"/>
              <w:spacing w:before="0" w:after="283"/>
              <w:jc w:val="left"/>
              <w:rPr/>
            </w:pPr>
            <w:r>
              <w:rPr/>
              <w:t>)</w:t>
            </w:r>
            <w:bookmarkStart w:id="168" w:name="xdx_408_eus-gaap--ProceedsFromStockOptio"/>
            <w:bookmarkEnd w:id="168"/>
          </w:p>
        </w:tc>
      </w:tr>
      <w:tr>
        <w:trPr/>
        <w:tc>
          <w:tcPr>
            <w:tcW w:w="7625" w:type="dxa"/>
            <w:tcBorders/>
            <w:shd w:fill="EEEEEE" w:val="clear"/>
            <w:vAlign w:val="center"/>
          </w:tcPr>
          <w:p>
            <w:pPr>
              <w:pStyle w:val="TableContents"/>
              <w:bidi w:val="0"/>
              <w:spacing w:before="0" w:after="283"/>
              <w:jc w:val="left"/>
              <w:rPr/>
            </w:pPr>
            <w:r>
              <w:rPr/>
              <w:t>Exercise of options and warrants</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EEEEEE" w:val="clear"/>
            <w:tcMar>
              <w:bottom w:w="28" w:type="dxa"/>
            </w:tcMar>
            <w:vAlign w:val="center"/>
          </w:tcPr>
          <w:p>
            <w:pPr>
              <w:pStyle w:val="TableContents"/>
              <w:bidi w:val="0"/>
              <w:spacing w:before="0" w:after="283"/>
              <w:jc w:val="right"/>
              <w:rPr/>
            </w:pPr>
            <w:r>
              <w:rPr/>
              <w:t>15,833</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EEEEEE" w:val="clear"/>
            <w:tcMar>
              <w:bottom w:w="28" w:type="dxa"/>
            </w:tcMar>
            <w:vAlign w:val="center"/>
          </w:tcPr>
          <w:p>
            <w:pPr>
              <w:pStyle w:val="TableContents"/>
              <w:bidi w:val="0"/>
              <w:spacing w:before="0" w:after="283"/>
              <w:jc w:val="right"/>
              <w:rPr/>
            </w:pPr>
            <w:r>
              <w:rPr/>
              <w:t>14,698</w:t>
            </w:r>
          </w:p>
        </w:tc>
        <w:tc>
          <w:tcPr>
            <w:tcW w:w="110" w:type="dxa"/>
            <w:tcBorders/>
            <w:shd w:fill="EEEEEE" w:val="clear"/>
            <w:vAlign w:val="center"/>
          </w:tcPr>
          <w:p>
            <w:pPr>
              <w:pStyle w:val="TableContents"/>
              <w:bidi w:val="0"/>
              <w:spacing w:before="0" w:after="283"/>
              <w:jc w:val="left"/>
              <w:rPr/>
            </w:pPr>
            <w:r>
              <w:rPr/>
              <w:t> </w:t>
            </w:r>
            <w:bookmarkStart w:id="169" w:name="xdx_40F_eus-gaap--NetCashProvidedByUsedI"/>
            <w:bookmarkEnd w:id="169"/>
          </w:p>
        </w:tc>
      </w:tr>
      <w:tr>
        <w:trPr/>
        <w:tc>
          <w:tcPr>
            <w:tcW w:w="7625"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73,138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397,938</w:t>
            </w:r>
          </w:p>
        </w:tc>
        <w:tc>
          <w:tcPr>
            <w:tcW w:w="110" w:type="dxa"/>
            <w:tcBorders/>
            <w:shd w:fill="FFFFFF" w:val="clear"/>
            <w:vAlign w:val="center"/>
          </w:tcPr>
          <w:p>
            <w:pPr>
              <w:pStyle w:val="TableContents"/>
              <w:bidi w:val="0"/>
              <w:spacing w:before="0" w:after="283"/>
              <w:jc w:val="left"/>
              <w:rPr/>
            </w:pPr>
            <w:r>
              <w:rPr/>
              <w:t> </w:t>
            </w:r>
            <w:bookmarkStart w:id="170" w:name="xdx_404_eus-gaap--CashCashEquivalentsRes"/>
            <w:bookmarkEnd w:id="170"/>
          </w:p>
        </w:tc>
      </w:tr>
      <w:tr>
        <w:trPr/>
        <w:tc>
          <w:tcPr>
            <w:tcW w:w="7625" w:type="dxa"/>
            <w:tcBorders/>
            <w:shd w:fill="EEEEEE" w:val="clear"/>
            <w:vAlign w:val="center"/>
          </w:tcPr>
          <w:p>
            <w:pPr>
              <w:pStyle w:val="TableContents"/>
              <w:bidi w:val="0"/>
              <w:spacing w:before="0" w:after="283"/>
              <w:jc w:val="left"/>
              <w:rPr/>
            </w:pPr>
            <w:r>
              <w:rPr/>
              <w:t>Increase in cash and cash equivalents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75" w:type="dxa"/>
            <w:tcBorders/>
            <w:shd w:fill="EEEEEE" w:val="clear"/>
            <w:vAlign w:val="center"/>
          </w:tcPr>
          <w:p>
            <w:pPr>
              <w:pStyle w:val="TableContents"/>
              <w:bidi w:val="0"/>
              <w:spacing w:before="0" w:after="283"/>
              <w:jc w:val="right"/>
              <w:rPr/>
            </w:pPr>
            <w:r>
              <w:rPr/>
              <w:t>(20,696</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(3,842</w:t>
            </w:r>
          </w:p>
        </w:tc>
        <w:tc>
          <w:tcPr>
            <w:tcW w:w="110" w:type="dxa"/>
            <w:tcBorders/>
            <w:shd w:fill="EEEEEE" w:val="clear"/>
            <w:vAlign w:val="center"/>
          </w:tcPr>
          <w:p>
            <w:pPr>
              <w:pStyle w:val="TableContents"/>
              <w:bidi w:val="0"/>
              <w:spacing w:before="0" w:after="283"/>
              <w:jc w:val="left"/>
              <w:rPr/>
            </w:pPr>
            <w:r>
              <w:rPr/>
              <w:t>)</w:t>
            </w:r>
            <w:bookmarkStart w:id="171" w:name="xdx_401_eus-gaap--CashCashEquivalentsRes"/>
            <w:bookmarkEnd w:id="171"/>
          </w:p>
        </w:tc>
      </w:tr>
      <w:tr>
        <w:trPr/>
        <w:tc>
          <w:tcPr>
            <w:tcW w:w="7625" w:type="dxa"/>
            <w:tcBorders/>
            <w:shd w:fill="FFFFFF" w:val="clear"/>
            <w:vAlign w:val="center"/>
          </w:tcPr>
          <w:p>
            <w:pPr>
              <w:pStyle w:val="TableContents"/>
              <w:bidi w:val="0"/>
              <w:spacing w:before="0" w:after="283"/>
              <w:jc w:val="left"/>
              <w:rPr/>
            </w:pPr>
            <w:r>
              <w:rPr/>
              <w:t>Cash and restricted cash at beginning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162,789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176,548</w:t>
            </w:r>
          </w:p>
        </w:tc>
        <w:tc>
          <w:tcPr>
            <w:tcW w:w="110" w:type="dxa"/>
            <w:tcBorders/>
            <w:shd w:fill="FFFFFF" w:val="clear"/>
            <w:vAlign w:val="center"/>
          </w:tcPr>
          <w:p>
            <w:pPr>
              <w:pStyle w:val="TableContents"/>
              <w:bidi w:val="0"/>
              <w:spacing w:before="0" w:after="283"/>
              <w:jc w:val="left"/>
              <w:rPr/>
            </w:pPr>
            <w:r>
              <w:rPr/>
              <w:t> </w:t>
            </w:r>
            <w:bookmarkStart w:id="172" w:name="xdx_404_eus-gaap--CashCashEquivalentsRes"/>
            <w:bookmarkEnd w:id="172"/>
          </w:p>
        </w:tc>
      </w:tr>
      <w:tr>
        <w:trPr/>
        <w:tc>
          <w:tcPr>
            <w:tcW w:w="7625" w:type="dxa"/>
            <w:tcBorders/>
            <w:shd w:fill="EEEEEE" w:val="clear"/>
            <w:vAlign w:val="center"/>
          </w:tcPr>
          <w:p>
            <w:pPr>
              <w:pStyle w:val="TableContents"/>
              <w:bidi w:val="0"/>
              <w:spacing w:before="0" w:after="283"/>
              <w:jc w:val="left"/>
              <w:rPr/>
            </w:pPr>
            <w:r>
              <w:rPr/>
              <w:t>Cash and restricted cash at end of period</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EEEEEE" w:val="clear"/>
            <w:tcMar>
              <w:bottom w:w="28" w:type="dxa"/>
            </w:tcMar>
            <w:vAlign w:val="center"/>
          </w:tcPr>
          <w:p>
            <w:pPr>
              <w:pStyle w:val="TableContents"/>
              <w:bidi w:val="0"/>
              <w:spacing w:before="0" w:after="283"/>
              <w:jc w:val="right"/>
              <w:rPr/>
            </w:pPr>
            <w:r>
              <w:rPr/>
              <w:t>142,093</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EEEEEE" w:val="clear"/>
            <w:tcMar>
              <w:bottom w:w="28" w:type="dxa"/>
            </w:tcMar>
            <w:vAlign w:val="center"/>
          </w:tcPr>
          <w:p>
            <w:pPr>
              <w:pStyle w:val="TableContents"/>
              <w:bidi w:val="0"/>
              <w:spacing w:before="0" w:after="283"/>
              <w:jc w:val="right"/>
              <w:rPr/>
            </w:pPr>
            <w:r>
              <w:rPr/>
              <w:t>172,706</w:t>
            </w:r>
          </w:p>
        </w:tc>
        <w:tc>
          <w:tcPr>
            <w:tcW w:w="110" w:type="dxa"/>
            <w:tcBorders/>
            <w:shd w:fill="EEEEEE"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73" w:name="xdx_400_eus-gaap--SupplementalCashFlowIn"/>
            <w:bookmarkEnd w:id="173"/>
          </w:p>
        </w:tc>
      </w:tr>
      <w:tr>
        <w:trPr/>
        <w:tc>
          <w:tcPr>
            <w:tcW w:w="7625" w:type="dxa"/>
            <w:tcBorders/>
            <w:shd w:fill="EEEEEE" w:val="clear"/>
            <w:vAlign w:val="center"/>
          </w:tcPr>
          <w:p>
            <w:pPr>
              <w:pStyle w:val="TableContents"/>
              <w:bidi w:val="0"/>
              <w:spacing w:before="0" w:after="283"/>
              <w:jc w:val="left"/>
              <w:rPr/>
            </w:pPr>
            <w:r>
              <w:rPr/>
              <w:t>Supplemental disclosure of cash flow information:</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75"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bookmarkStart w:id="174" w:name="xdx_40A_ecustom--CashPaidReceivedDuringT"/>
            <w:bookmarkEnd w:id="174"/>
          </w:p>
        </w:tc>
      </w:tr>
      <w:tr>
        <w:trPr/>
        <w:tc>
          <w:tcPr>
            <w:tcW w:w="7625" w:type="dxa"/>
            <w:tcBorders/>
            <w:shd w:fill="FFFFFF" w:val="clear"/>
            <w:vAlign w:val="center"/>
          </w:tcPr>
          <w:p>
            <w:pPr>
              <w:pStyle w:val="TableContents"/>
              <w:bidi w:val="0"/>
              <w:spacing w:before="0" w:after="283"/>
              <w:jc w:val="left"/>
              <w:rPr/>
            </w:pPr>
            <w:r>
              <w:rPr/>
              <w:t>Cash paid during the period for: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75" w:name="xdx_408_eus-gaap--InterestPaidNet_i02_zc"/>
            <w:bookmarkEnd w:id="175"/>
          </w:p>
        </w:tc>
      </w:tr>
      <w:tr>
        <w:trPr/>
        <w:tc>
          <w:tcPr>
            <w:tcW w:w="7625" w:type="dxa"/>
            <w:tcBorders/>
            <w:shd w:fill="EEEEEE" w:val="clear"/>
            <w:vAlign w:val="center"/>
          </w:tcPr>
          <w:p>
            <w:pPr>
              <w:pStyle w:val="TableContents"/>
              <w:bidi w:val="0"/>
              <w:spacing w:before="0" w:after="283"/>
              <w:jc w:val="left"/>
              <w:rPr/>
            </w:pPr>
            <w:r>
              <w:rPr/>
              <w:t>Interest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875" w:type="dxa"/>
            <w:tcBorders/>
            <w:shd w:fill="EEEEEE" w:val="clear"/>
            <w:vAlign w:val="center"/>
          </w:tcPr>
          <w:p>
            <w:pPr>
              <w:pStyle w:val="TableContents"/>
              <w:bidi w:val="0"/>
              <w:spacing w:before="0" w:after="283"/>
              <w:jc w:val="right"/>
              <w:rPr/>
            </w:pPr>
            <w:r>
              <w:rPr/>
              <w:t>97,812</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1055" w:type="dxa"/>
            <w:tcBorders/>
            <w:shd w:fill="EEEEEE" w:val="clear"/>
            <w:vAlign w:val="center"/>
          </w:tcPr>
          <w:p>
            <w:pPr>
              <w:pStyle w:val="TableContents"/>
              <w:bidi w:val="0"/>
              <w:spacing w:before="0" w:after="283"/>
              <w:jc w:val="right"/>
              <w:rPr/>
            </w:pPr>
            <w:r>
              <w:rPr/>
              <w:t>51,300</w:t>
            </w:r>
          </w:p>
        </w:tc>
        <w:tc>
          <w:tcPr>
            <w:tcW w:w="110" w:type="dxa"/>
            <w:tcBorders/>
            <w:shd w:fill="EEEEEE" w:val="clear"/>
            <w:vAlign w:val="center"/>
          </w:tcPr>
          <w:p>
            <w:pPr>
              <w:pStyle w:val="TableContents"/>
              <w:bidi w:val="0"/>
              <w:spacing w:before="0" w:after="283"/>
              <w:jc w:val="left"/>
              <w:rPr/>
            </w:pPr>
            <w:r>
              <w:rPr/>
              <w:t> </w:t>
            </w:r>
            <w:bookmarkStart w:id="176" w:name="xdx_403_eus-gaap--IncomeTaxesPaidNet_i02"/>
            <w:bookmarkEnd w:id="176"/>
          </w:p>
        </w:tc>
      </w:tr>
      <w:tr>
        <w:trPr/>
        <w:tc>
          <w:tcPr>
            <w:tcW w:w="7625" w:type="dxa"/>
            <w:tcBorders/>
            <w:shd w:fill="FFFFFF" w:val="clear"/>
            <w:vAlign w:val="center"/>
          </w:tcPr>
          <w:p>
            <w:pPr>
              <w:pStyle w:val="TableContents"/>
              <w:bidi w:val="0"/>
              <w:spacing w:before="0" w:after="283"/>
              <w:jc w:val="left"/>
              <w:rPr/>
            </w:pPr>
            <w:r>
              <w:rPr/>
              <w:t>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4,389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13,977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CONSUMER PORTFOLIO SERVICES,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7" w:name="q3_008"/>
      <w:bookmarkEnd w:id="177"/>
      <w:r>
        <w:rPr>
          <w:rFonts w:ascii="Times New Roman;Times;Serif" w:hAnsi="Times New Roman;Times;Serif"/>
          <w:b/>
          <w:i w:val="false"/>
          <w:caps w:val="false"/>
          <w:smallCaps w:val="false"/>
          <w:sz w:val="20"/>
        </w:rPr>
        <w:t>UNAUDITED CONDENSED CONSOLIDATED STATEMENTS OF SHAREHOLDERS’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178" w:name="xdx_30D_114_pn3n3_zAYmlZOqyZW7"/>
      <w:bookmarkStart w:id="179" w:name="xdx_30D_114_pn3n3_zAYmlZOqyZW7"/>
      <w:bookmarkEnd w:id="179"/>
    </w:p>
    <w:tbl>
      <w:tblPr>
        <w:tblW w:w="10205" w:type="dxa"/>
        <w:jc w:val="left"/>
        <w:tblInd w:w="0" w:type="dxa"/>
        <w:tblLayout w:type="fixed"/>
        <w:tblCellMar>
          <w:top w:w="0" w:type="dxa"/>
          <w:left w:w="0" w:type="dxa"/>
          <w:bottom w:w="0" w:type="dxa"/>
          <w:right w:w="0" w:type="dxa"/>
        </w:tblCellMar>
      </w:tblPr>
      <w:tblGrid>
        <w:gridCol w:w="5608"/>
        <w:gridCol w:w="60"/>
        <w:gridCol w:w="151"/>
        <w:gridCol w:w="865"/>
        <w:gridCol w:w="102"/>
        <w:gridCol w:w="64"/>
        <w:gridCol w:w="151"/>
        <w:gridCol w:w="865"/>
        <w:gridCol w:w="95"/>
        <w:gridCol w:w="60"/>
        <w:gridCol w:w="141"/>
        <w:gridCol w:w="814"/>
        <w:gridCol w:w="95"/>
        <w:gridCol w:w="60"/>
        <w:gridCol w:w="141"/>
        <w:gridCol w:w="814"/>
        <w:gridCol w:w="119"/>
      </w:tblGrid>
      <w:tr>
        <w:trPr/>
        <w:tc>
          <w:tcPr>
            <w:tcW w:w="560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center"/>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center"/>
              <w:rPr/>
            </w:pPr>
            <w:r>
              <w:rPr/>
              <w:t> </w:t>
            </w:r>
          </w:p>
        </w:tc>
        <w:tc>
          <w:tcPr>
            <w:tcW w:w="119" w:type="dxa"/>
            <w:tcBorders/>
            <w:shd w:fill="FFFFFF" w:val="clear"/>
            <w:vAlign w:val="center"/>
          </w:tcPr>
          <w:p>
            <w:pPr>
              <w:pStyle w:val="TableContents"/>
              <w:bidi w:val="0"/>
              <w:spacing w:before="0" w:after="283"/>
              <w:jc w:val="left"/>
              <w:rPr/>
            </w:pPr>
            <w:r>
              <w:rPr/>
              <w:t> </w:t>
            </w:r>
          </w:p>
        </w:tc>
      </w:tr>
      <w:tr>
        <w:trPr/>
        <w:tc>
          <w:tcPr>
            <w:tcW w:w="56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8" w:type="dxa"/>
            <w:gridSpan w:val="6"/>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5" w:type="dxa"/>
            <w:gridSpan w:val="6"/>
            <w:tcBorders/>
            <w:vAlign w:val="center"/>
          </w:tcPr>
          <w:p>
            <w:pPr>
              <w:pStyle w:val="TableContents"/>
              <w:bidi w:val="0"/>
              <w:spacing w:before="0" w:after="283"/>
              <w:jc w:val="center"/>
              <w:rPr>
                <w:b/>
              </w:rPr>
            </w:pPr>
            <w:r>
              <w:rPr>
                <w:b/>
              </w:rPr>
              <w:t>Nine Months Ended</w:t>
            </w:r>
          </w:p>
        </w:tc>
        <w:tc>
          <w:tcPr>
            <w:tcW w:w="119" w:type="dxa"/>
            <w:tcBorders/>
            <w:vAlign w:val="center"/>
          </w:tcPr>
          <w:p>
            <w:pPr>
              <w:pStyle w:val="TableContents"/>
              <w:bidi w:val="0"/>
              <w:spacing w:before="0" w:after="283"/>
              <w:jc w:val="left"/>
              <w:rPr/>
            </w:pPr>
            <w:r>
              <w:rPr/>
              <w:t> </w:t>
            </w:r>
          </w:p>
        </w:tc>
      </w:tr>
      <w:tr>
        <w:trPr/>
        <w:tc>
          <w:tcPr>
            <w:tcW w:w="56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119" w:type="dxa"/>
            <w:tcBorders/>
            <w:vAlign w:val="center"/>
          </w:tcPr>
          <w:p>
            <w:pPr>
              <w:pStyle w:val="TableContents"/>
              <w:bidi w:val="0"/>
              <w:spacing w:before="0" w:after="283"/>
              <w:jc w:val="left"/>
              <w:rPr/>
            </w:pPr>
            <w:r>
              <w:rPr/>
              <w:t> </w:t>
            </w:r>
          </w:p>
        </w:tc>
      </w:tr>
      <w:tr>
        <w:trPr/>
        <w:tc>
          <w:tcPr>
            <w:tcW w:w="56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1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19" w:type="dxa"/>
            <w:tcBorders/>
            <w:vAlign w:val="center"/>
          </w:tcPr>
          <w:p>
            <w:pPr>
              <w:pStyle w:val="TableContents"/>
              <w:bidi w:val="0"/>
              <w:spacing w:before="0" w:after="283"/>
              <w:jc w:val="left"/>
              <w:rPr/>
            </w:pPr>
            <w:r>
              <w:rPr/>
              <w:t> </w:t>
            </w:r>
          </w:p>
        </w:tc>
      </w:tr>
      <w:tr>
        <w:trPr/>
        <w:tc>
          <w:tcPr>
            <w:tcW w:w="5608" w:type="dxa"/>
            <w:tcBorders/>
            <w:shd w:fill="EEEEEE" w:val="clear"/>
            <w:vAlign w:val="center"/>
          </w:tcPr>
          <w:p>
            <w:pPr>
              <w:pStyle w:val="TableContents"/>
              <w:bidi w:val="0"/>
              <w:spacing w:before="0" w:after="283"/>
              <w:jc w:val="left"/>
              <w:rPr>
                <w:b/>
              </w:rPr>
            </w:pPr>
            <w:r>
              <w:rPr>
                <w:b/>
              </w:rPr>
              <w:t>Common Stock (Shares Outstanding)</w:t>
            </w:r>
          </w:p>
        </w:tc>
        <w:tc>
          <w:tcPr>
            <w:tcW w:w="60" w:type="dxa"/>
            <w:tcBorders/>
            <w:shd w:fill="EEEEEE" w:val="clear"/>
            <w:vAlign w:val="center"/>
          </w:tcPr>
          <w:p>
            <w:pPr>
              <w:pStyle w:val="TableContents"/>
              <w:bidi w:val="0"/>
              <w:spacing w:before="0" w:after="283"/>
              <w:jc w:val="left"/>
              <w:rPr/>
            </w:pPr>
            <w:r>
              <w:rPr/>
              <w:t> </w:t>
            </w:r>
          </w:p>
        </w:tc>
        <w:tc>
          <w:tcPr>
            <w:tcW w:w="151" w:type="dxa"/>
            <w:tcBorders/>
            <w:shd w:fill="EEEEEE" w:val="clear"/>
            <w:vAlign w:val="center"/>
          </w:tcPr>
          <w:p>
            <w:pPr>
              <w:pStyle w:val="TableContents"/>
              <w:bidi w:val="0"/>
              <w:spacing w:before="0" w:after="283"/>
              <w:jc w:val="left"/>
              <w:rPr/>
            </w:pPr>
            <w:r>
              <w:rPr/>
              <w:t> </w:t>
            </w:r>
          </w:p>
        </w:tc>
        <w:tc>
          <w:tcPr>
            <w:tcW w:w="865" w:type="dxa"/>
            <w:tcBorders/>
            <w:shd w:fill="EEEEEE" w:val="clear"/>
            <w:vAlign w:val="center"/>
          </w:tcPr>
          <w:p>
            <w:pPr>
              <w:pStyle w:val="TableContents"/>
              <w:bidi w:val="0"/>
              <w:spacing w:before="0" w:after="283"/>
              <w:jc w:val="right"/>
              <w:rPr/>
            </w:pPr>
            <w:r>
              <w:rPr/>
              <w:t> </w:t>
            </w:r>
          </w:p>
        </w:tc>
        <w:tc>
          <w:tcPr>
            <w:tcW w:w="102" w:type="dxa"/>
            <w:tcBorders/>
            <w:shd w:fill="EEEEEE" w:val="clear"/>
            <w:vAlign w:val="center"/>
          </w:tcPr>
          <w:p>
            <w:pPr>
              <w:pStyle w:val="TableContents"/>
              <w:bidi w:val="0"/>
              <w:spacing w:before="0" w:after="283"/>
              <w:jc w:val="left"/>
              <w:rPr/>
            </w:pPr>
            <w:r>
              <w:rPr/>
              <w:t> </w:t>
            </w:r>
          </w:p>
        </w:tc>
        <w:tc>
          <w:tcPr>
            <w:tcW w:w="64" w:type="dxa"/>
            <w:tcBorders/>
            <w:shd w:fill="EEEEEE" w:val="clear"/>
            <w:vAlign w:val="center"/>
          </w:tcPr>
          <w:p>
            <w:pPr>
              <w:pStyle w:val="TableContents"/>
              <w:bidi w:val="0"/>
              <w:spacing w:before="0" w:after="283"/>
              <w:jc w:val="left"/>
              <w:rPr/>
            </w:pPr>
            <w:r>
              <w:rPr/>
              <w:t> </w:t>
            </w:r>
          </w:p>
        </w:tc>
        <w:tc>
          <w:tcPr>
            <w:tcW w:w="151" w:type="dxa"/>
            <w:tcBorders/>
            <w:shd w:fill="EEEEEE" w:val="clear"/>
            <w:vAlign w:val="center"/>
          </w:tcPr>
          <w:p>
            <w:pPr>
              <w:pStyle w:val="TableContents"/>
              <w:bidi w:val="0"/>
              <w:spacing w:before="0" w:after="283"/>
              <w:jc w:val="left"/>
              <w:rPr/>
            </w:pPr>
            <w:r>
              <w:rPr/>
              <w:t> </w:t>
            </w:r>
          </w:p>
        </w:tc>
        <w:tc>
          <w:tcPr>
            <w:tcW w:w="865"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814"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814" w:type="dxa"/>
            <w:tcBorders/>
            <w:shd w:fill="EEEEEE" w:val="clear"/>
            <w:vAlign w:val="center"/>
          </w:tcPr>
          <w:p>
            <w:pPr>
              <w:pStyle w:val="TableContents"/>
              <w:bidi w:val="0"/>
              <w:spacing w:before="0" w:after="283"/>
              <w:jc w:val="right"/>
              <w:rPr/>
            </w:pPr>
            <w:r>
              <w:rPr/>
              <w:t> </w:t>
            </w:r>
          </w:p>
        </w:tc>
        <w:tc>
          <w:tcPr>
            <w:tcW w:w="119" w:type="dxa"/>
            <w:tcBorders/>
            <w:shd w:fill="EEEEEE" w:val="clear"/>
            <w:vAlign w:val="center"/>
          </w:tcPr>
          <w:p>
            <w:pPr>
              <w:pStyle w:val="TableContents"/>
              <w:bidi w:val="0"/>
              <w:spacing w:before="0" w:after="283"/>
              <w:jc w:val="left"/>
              <w:rPr/>
            </w:pPr>
            <w:r>
              <w:rPr/>
              <w:t> </w:t>
            </w:r>
          </w:p>
        </w:tc>
      </w:tr>
      <w:tr>
        <w:trPr/>
        <w:tc>
          <w:tcPr>
            <w:tcW w:w="5608" w:type="dxa"/>
            <w:tcBorders/>
            <w:shd w:fill="FFFFFF" w:val="clear"/>
            <w:vAlign w:val="center"/>
          </w:tcPr>
          <w:p>
            <w:pPr>
              <w:pStyle w:val="TableContents"/>
              <w:bidi w:val="0"/>
              <w:spacing w:before="0" w:after="283"/>
              <w:jc w:val="left"/>
              <w:rPr/>
            </w:pPr>
            <w:r>
              <w:rPr/>
              <w:t>Balance, beginning of period</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bookmarkStart w:id="180" w:name="xdx_988_eus-gaap--SharesOutstanding_iS_p"/>
            <w:bookmarkEnd w:id="180"/>
          </w:p>
        </w:tc>
        <w:tc>
          <w:tcPr>
            <w:tcW w:w="865" w:type="dxa"/>
            <w:tcBorders/>
            <w:shd w:fill="FFFFFF" w:val="clear"/>
            <w:vAlign w:val="center"/>
          </w:tcPr>
          <w:p>
            <w:pPr>
              <w:pStyle w:val="TableContents"/>
              <w:bidi w:val="0"/>
              <w:spacing w:before="0" w:after="283"/>
              <w:jc w:val="right"/>
              <w:rPr/>
            </w:pPr>
            <w:r>
              <w:rPr/>
              <w:t>21,152</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bookmarkStart w:id="181" w:name="xdx_987_eus-gaap--SharesOutstanding_iS_p"/>
            <w:bookmarkEnd w:id="181"/>
          </w:p>
        </w:tc>
        <w:tc>
          <w:tcPr>
            <w:tcW w:w="865" w:type="dxa"/>
            <w:tcBorders/>
            <w:shd w:fill="FFFFFF" w:val="clear"/>
            <w:vAlign w:val="center"/>
          </w:tcPr>
          <w:p>
            <w:pPr>
              <w:pStyle w:val="TableContents"/>
              <w:bidi w:val="0"/>
              <w:spacing w:before="0" w:after="283"/>
              <w:jc w:val="right"/>
              <w:rPr/>
            </w:pPr>
            <w:r>
              <w:rPr/>
              <w:t>21,207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bookmarkStart w:id="182" w:name="xdx_983_eus-gaap--SharesOutstanding_iS_p"/>
            <w:bookmarkEnd w:id="182"/>
          </w:p>
        </w:tc>
        <w:tc>
          <w:tcPr>
            <w:tcW w:w="814" w:type="dxa"/>
            <w:tcBorders/>
            <w:shd w:fill="FFFFFF" w:val="clear"/>
            <w:vAlign w:val="center"/>
          </w:tcPr>
          <w:p>
            <w:pPr>
              <w:pStyle w:val="TableContents"/>
              <w:bidi w:val="0"/>
              <w:spacing w:before="0" w:after="283"/>
              <w:jc w:val="right"/>
              <w:rPr/>
            </w:pPr>
            <w:r>
              <w:rPr/>
              <w:t>20,131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bookmarkStart w:id="183" w:name="xdx_98B_eus-gaap--SharesOutstanding_iS_p"/>
            <w:bookmarkEnd w:id="183"/>
          </w:p>
        </w:tc>
        <w:tc>
          <w:tcPr>
            <w:tcW w:w="814" w:type="dxa"/>
            <w:tcBorders/>
            <w:shd w:fill="FFFFFF" w:val="clear"/>
            <w:vAlign w:val="center"/>
          </w:tcPr>
          <w:p>
            <w:pPr>
              <w:pStyle w:val="TableContents"/>
              <w:bidi w:val="0"/>
              <w:spacing w:before="0" w:after="283"/>
              <w:jc w:val="right"/>
              <w:rPr/>
            </w:pPr>
            <w:r>
              <w:rPr/>
              <w:t>21,144</w:t>
            </w:r>
          </w:p>
        </w:tc>
        <w:tc>
          <w:tcPr>
            <w:tcW w:w="119" w:type="dxa"/>
            <w:tcBorders/>
            <w:shd w:fill="FFFFFF" w:val="clear"/>
            <w:vAlign w:val="center"/>
          </w:tcPr>
          <w:p>
            <w:pPr>
              <w:pStyle w:val="TableContents"/>
              <w:bidi w:val="0"/>
              <w:spacing w:before="0" w:after="283"/>
              <w:ind w:left="0" w:right="0" w:hanging="200"/>
              <w:jc w:val="left"/>
              <w:rPr/>
            </w:pPr>
            <w:r>
              <w:rPr/>
              <w:t> </w:t>
            </w:r>
          </w:p>
        </w:tc>
      </w:tr>
      <w:tr>
        <w:trPr/>
        <w:tc>
          <w:tcPr>
            <w:tcW w:w="5608" w:type="dxa"/>
            <w:tcBorders/>
            <w:shd w:fill="EEEEEE" w:val="clear"/>
            <w:vAlign w:val="center"/>
          </w:tcPr>
          <w:p>
            <w:pPr>
              <w:pStyle w:val="TableContents"/>
              <w:bidi w:val="0"/>
              <w:spacing w:before="0" w:after="283"/>
              <w:jc w:val="left"/>
              <w:rPr/>
            </w:pPr>
            <w:r>
              <w:rPr/>
              <w:t>Common stock issued upon exercise of options and warrants</w:t>
            </w:r>
          </w:p>
        </w:tc>
        <w:tc>
          <w:tcPr>
            <w:tcW w:w="60" w:type="dxa"/>
            <w:tcBorders/>
            <w:shd w:fill="EEEEEE" w:val="clear"/>
            <w:vAlign w:val="center"/>
          </w:tcPr>
          <w:p>
            <w:pPr>
              <w:pStyle w:val="TableContents"/>
              <w:bidi w:val="0"/>
              <w:spacing w:before="0" w:after="283"/>
              <w:jc w:val="left"/>
              <w:rPr/>
            </w:pPr>
            <w:r>
              <w:rPr/>
              <w:t> </w:t>
            </w:r>
          </w:p>
        </w:tc>
        <w:tc>
          <w:tcPr>
            <w:tcW w:w="151" w:type="dxa"/>
            <w:tcBorders/>
            <w:shd w:fill="EEEEEE" w:val="clear"/>
            <w:vAlign w:val="center"/>
          </w:tcPr>
          <w:p>
            <w:pPr>
              <w:pStyle w:val="TableContents"/>
              <w:bidi w:val="0"/>
              <w:spacing w:before="0" w:after="283"/>
              <w:jc w:val="left"/>
              <w:rPr/>
            </w:pPr>
            <w:r>
              <w:rPr/>
              <w:t> </w:t>
            </w:r>
            <w:bookmarkStart w:id="184" w:name="xdx_984_eus-gaap--StockIssuedDuringPerio"/>
            <w:bookmarkEnd w:id="184"/>
          </w:p>
        </w:tc>
        <w:tc>
          <w:tcPr>
            <w:tcW w:w="865" w:type="dxa"/>
            <w:tcBorders/>
            <w:shd w:fill="EEEEEE" w:val="clear"/>
            <w:vAlign w:val="center"/>
          </w:tcPr>
          <w:p>
            <w:pPr>
              <w:pStyle w:val="TableContents"/>
              <w:bidi w:val="0"/>
              <w:spacing w:before="0" w:after="283"/>
              <w:jc w:val="right"/>
              <w:rPr/>
            </w:pPr>
            <w:r>
              <w:rPr/>
              <w:t>27</w:t>
            </w:r>
          </w:p>
        </w:tc>
        <w:tc>
          <w:tcPr>
            <w:tcW w:w="102" w:type="dxa"/>
            <w:tcBorders/>
            <w:shd w:fill="EEEEEE" w:val="clear"/>
            <w:vAlign w:val="center"/>
          </w:tcPr>
          <w:p>
            <w:pPr>
              <w:pStyle w:val="TableContents"/>
              <w:bidi w:val="0"/>
              <w:spacing w:before="0" w:after="283"/>
              <w:jc w:val="left"/>
              <w:rPr/>
            </w:pPr>
            <w:r>
              <w:rPr/>
              <w:t> </w:t>
            </w:r>
          </w:p>
        </w:tc>
        <w:tc>
          <w:tcPr>
            <w:tcW w:w="64" w:type="dxa"/>
            <w:tcBorders/>
            <w:shd w:fill="EEEEEE" w:val="clear"/>
            <w:vAlign w:val="center"/>
          </w:tcPr>
          <w:p>
            <w:pPr>
              <w:pStyle w:val="TableContents"/>
              <w:bidi w:val="0"/>
              <w:spacing w:before="0" w:after="283"/>
              <w:jc w:val="left"/>
              <w:rPr/>
            </w:pPr>
            <w:r>
              <w:rPr/>
              <w:t> </w:t>
            </w:r>
          </w:p>
        </w:tc>
        <w:tc>
          <w:tcPr>
            <w:tcW w:w="151" w:type="dxa"/>
            <w:tcBorders/>
            <w:shd w:fill="EEEEEE" w:val="clear"/>
            <w:vAlign w:val="center"/>
          </w:tcPr>
          <w:p>
            <w:pPr>
              <w:pStyle w:val="TableContents"/>
              <w:bidi w:val="0"/>
              <w:spacing w:before="0" w:after="283"/>
              <w:jc w:val="left"/>
              <w:rPr/>
            </w:pPr>
            <w:r>
              <w:rPr/>
              <w:t> </w:t>
            </w:r>
            <w:bookmarkStart w:id="185" w:name="xdx_98B_eus-gaap--StockIssuedDuringPerio"/>
            <w:bookmarkEnd w:id="185"/>
          </w:p>
        </w:tc>
        <w:tc>
          <w:tcPr>
            <w:tcW w:w="865" w:type="dxa"/>
            <w:tcBorders/>
            <w:shd w:fill="EEEEEE" w:val="clear"/>
            <w:vAlign w:val="center"/>
          </w:tcPr>
          <w:p>
            <w:pPr>
              <w:pStyle w:val="TableContents"/>
              <w:bidi w:val="0"/>
              <w:spacing w:before="0" w:after="283"/>
              <w:jc w:val="right"/>
              <w:rPr/>
            </w:pPr>
            <w:r>
              <w:rPr/>
              <w:t>79</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bookmarkStart w:id="186" w:name="xdx_980_eus-gaap--StockIssuedDuringPerio"/>
            <w:bookmarkEnd w:id="186"/>
          </w:p>
        </w:tc>
        <w:tc>
          <w:tcPr>
            <w:tcW w:w="814" w:type="dxa"/>
            <w:tcBorders/>
            <w:shd w:fill="EEEEEE" w:val="clear"/>
            <w:vAlign w:val="center"/>
          </w:tcPr>
          <w:p>
            <w:pPr>
              <w:pStyle w:val="TableContents"/>
              <w:bidi w:val="0"/>
              <w:spacing w:before="0" w:after="283"/>
              <w:jc w:val="right"/>
              <w:rPr/>
            </w:pPr>
            <w:r>
              <w:rPr/>
              <w:t>2,832</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bookmarkStart w:id="187" w:name="xdx_986_eus-gaap--StockIssuedDuringPerio"/>
            <w:bookmarkEnd w:id="187"/>
          </w:p>
        </w:tc>
        <w:tc>
          <w:tcPr>
            <w:tcW w:w="814" w:type="dxa"/>
            <w:tcBorders/>
            <w:shd w:fill="EEEEEE" w:val="clear"/>
            <w:vAlign w:val="center"/>
          </w:tcPr>
          <w:p>
            <w:pPr>
              <w:pStyle w:val="TableContents"/>
              <w:bidi w:val="0"/>
              <w:spacing w:before="0" w:after="283"/>
              <w:jc w:val="right"/>
              <w:rPr/>
            </w:pPr>
            <w:r>
              <w:rPr/>
              <w:t>2,974</w:t>
            </w:r>
          </w:p>
        </w:tc>
        <w:tc>
          <w:tcPr>
            <w:tcW w:w="119" w:type="dxa"/>
            <w:tcBorders/>
            <w:shd w:fill="EEEEEE" w:val="clear"/>
            <w:vAlign w:val="center"/>
          </w:tcPr>
          <w:p>
            <w:pPr>
              <w:pStyle w:val="TableContents"/>
              <w:bidi w:val="0"/>
              <w:spacing w:before="0" w:after="283"/>
              <w:jc w:val="left"/>
              <w:rPr/>
            </w:pPr>
            <w:r>
              <w:rPr/>
              <w:t> </w:t>
            </w:r>
          </w:p>
        </w:tc>
      </w:tr>
      <w:tr>
        <w:trPr/>
        <w:tc>
          <w:tcPr>
            <w:tcW w:w="5608" w:type="dxa"/>
            <w:tcBorders/>
            <w:shd w:fill="FFFFFF" w:val="clear"/>
            <w:vAlign w:val="center"/>
          </w:tcPr>
          <w:p>
            <w:pPr>
              <w:pStyle w:val="TableContents"/>
              <w:bidi w:val="0"/>
              <w:spacing w:before="0" w:after="283"/>
              <w:jc w:val="left"/>
              <w:rPr/>
            </w:pPr>
            <w:r>
              <w:rPr/>
              <w:t>Repurchase of common stock</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88" w:name="xdx_989_eus-gaap--StockRepurchasedDuring"/>
            <w:bookmarkEnd w:id="188"/>
          </w:p>
        </w:tc>
        <w:tc>
          <w:tcPr>
            <w:tcW w:w="865" w:type="dxa"/>
            <w:tcBorders>
              <w:bottom w:val="single" w:sz="8" w:space="0" w:color="000000"/>
            </w:tcBorders>
            <w:shd w:fill="FFFFFF" w:val="clear"/>
            <w:tcMar>
              <w:bottom w:w="28" w:type="dxa"/>
            </w:tcMar>
            <w:vAlign w:val="center"/>
          </w:tcPr>
          <w:p>
            <w:pPr>
              <w:pStyle w:val="TableContents"/>
              <w:bidi w:val="0"/>
              <w:spacing w:before="0" w:after="283"/>
              <w:jc w:val="right"/>
              <w:rPr/>
            </w:pPr>
            <w:r>
              <w:rPr/>
              <w:t>(66</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89" w:name="xdx_98B_eus-gaap--StockRepurchasedDuring"/>
            <w:bookmarkEnd w:id="189"/>
          </w:p>
        </w:tc>
        <w:tc>
          <w:tcPr>
            <w:tcW w:w="865" w:type="dxa"/>
            <w:tcBorders>
              <w:bottom w:val="single" w:sz="8" w:space="0" w:color="000000"/>
            </w:tcBorders>
            <w:shd w:fill="FFFFFF" w:val="clear"/>
            <w:tcMar>
              <w:bottom w:w="28" w:type="dxa"/>
            </w:tcMar>
            <w:vAlign w:val="center"/>
          </w:tcPr>
          <w:p>
            <w:pPr>
              <w:pStyle w:val="TableContents"/>
              <w:bidi w:val="0"/>
              <w:spacing w:before="0" w:after="283"/>
              <w:jc w:val="right"/>
              <w:rPr/>
            </w:pPr>
            <w:r>
              <w:rPr/>
              <w:t>(679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90" w:name="xdx_98D_eus-gaap--StockRepurchasedDuring"/>
            <w:bookmarkEnd w:id="190"/>
          </w:p>
        </w:tc>
        <w:tc>
          <w:tcPr>
            <w:tcW w:w="814" w:type="dxa"/>
            <w:tcBorders>
              <w:bottom w:val="single" w:sz="8" w:space="0" w:color="000000"/>
            </w:tcBorders>
            <w:shd w:fill="FFFFFF" w:val="clear"/>
            <w:tcMar>
              <w:bottom w:w="28" w:type="dxa"/>
            </w:tcMar>
            <w:vAlign w:val="center"/>
          </w:tcPr>
          <w:p>
            <w:pPr>
              <w:pStyle w:val="TableContents"/>
              <w:bidi w:val="0"/>
              <w:spacing w:before="0" w:after="283"/>
              <w:jc w:val="right"/>
              <w:rPr/>
            </w:pPr>
            <w:r>
              <w:rPr/>
              <w:t>(1,850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91" w:name="xdx_98A_eus-gaap--StockRepurchasedDuring"/>
            <w:bookmarkEnd w:id="191"/>
          </w:p>
        </w:tc>
        <w:tc>
          <w:tcPr>
            <w:tcW w:w="814" w:type="dxa"/>
            <w:tcBorders>
              <w:bottom w:val="single" w:sz="8" w:space="0" w:color="000000"/>
            </w:tcBorders>
            <w:shd w:fill="FFFFFF" w:val="clear"/>
            <w:tcMar>
              <w:bottom w:w="28" w:type="dxa"/>
            </w:tcMar>
            <w:vAlign w:val="center"/>
          </w:tcPr>
          <w:p>
            <w:pPr>
              <w:pStyle w:val="TableContents"/>
              <w:bidi w:val="0"/>
              <w:spacing w:before="0" w:after="283"/>
              <w:jc w:val="right"/>
              <w:rPr/>
            </w:pPr>
            <w:r>
              <w:rPr/>
              <w:t>(3,511</w:t>
            </w:r>
          </w:p>
        </w:tc>
        <w:tc>
          <w:tcPr>
            <w:tcW w:w="119" w:type="dxa"/>
            <w:tcBorders/>
            <w:shd w:fill="FFFFFF" w:val="clear"/>
            <w:vAlign w:val="center"/>
          </w:tcPr>
          <w:p>
            <w:pPr>
              <w:pStyle w:val="TableContents"/>
              <w:bidi w:val="0"/>
              <w:spacing w:before="0" w:after="283"/>
              <w:jc w:val="left"/>
              <w:rPr/>
            </w:pPr>
            <w:r>
              <w:rPr/>
              <w:t>)</w:t>
            </w:r>
          </w:p>
        </w:tc>
      </w:tr>
      <w:tr>
        <w:trPr/>
        <w:tc>
          <w:tcPr>
            <w:tcW w:w="5608" w:type="dxa"/>
            <w:tcBorders/>
            <w:shd w:fill="EEEEEE" w:val="clear"/>
            <w:vAlign w:val="center"/>
          </w:tcPr>
          <w:p>
            <w:pPr>
              <w:pStyle w:val="TableContents"/>
              <w:bidi w:val="0"/>
              <w:spacing w:before="0" w:after="283"/>
              <w:jc w:val="left"/>
              <w:rPr/>
            </w:pPr>
            <w:r>
              <w:rPr/>
              <w:t>Balance, end of period</w:t>
            </w:r>
          </w:p>
        </w:tc>
        <w:tc>
          <w:tcPr>
            <w:tcW w:w="60" w:type="dxa"/>
            <w:tcBorders/>
            <w:shd w:fill="EEEEEE" w:val="clear"/>
            <w:vAlign w:val="center"/>
          </w:tcPr>
          <w:p>
            <w:pPr>
              <w:pStyle w:val="TableContents"/>
              <w:bidi w:val="0"/>
              <w:spacing w:before="0" w:after="283"/>
              <w:jc w:val="left"/>
              <w:rPr/>
            </w:pPr>
            <w:r>
              <w:rPr/>
              <w:t> </w:t>
            </w:r>
          </w:p>
        </w:tc>
        <w:tc>
          <w:tcPr>
            <w:tcW w:w="15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192" w:name="xdx_981_eus-gaap--SharesOutstanding_iE_p"/>
            <w:bookmarkEnd w:id="192"/>
          </w:p>
        </w:tc>
        <w:tc>
          <w:tcPr>
            <w:tcW w:w="865" w:type="dxa"/>
            <w:tcBorders>
              <w:bottom w:val="single" w:sz="8" w:space="0" w:color="000000"/>
            </w:tcBorders>
            <w:shd w:fill="EEEEEE" w:val="clear"/>
            <w:tcMar>
              <w:bottom w:w="28" w:type="dxa"/>
            </w:tcMar>
            <w:vAlign w:val="center"/>
          </w:tcPr>
          <w:p>
            <w:pPr>
              <w:pStyle w:val="TableContents"/>
              <w:bidi w:val="0"/>
              <w:spacing w:before="0" w:after="283"/>
              <w:jc w:val="right"/>
              <w:rPr/>
            </w:pPr>
            <w:r>
              <w:rPr/>
              <w:t>21,113</w:t>
            </w:r>
          </w:p>
        </w:tc>
        <w:tc>
          <w:tcPr>
            <w:tcW w:w="102" w:type="dxa"/>
            <w:tcBorders/>
            <w:shd w:fill="EEEEEE" w:val="clear"/>
            <w:vAlign w:val="center"/>
          </w:tcPr>
          <w:p>
            <w:pPr>
              <w:pStyle w:val="TableContents"/>
              <w:bidi w:val="0"/>
              <w:spacing w:before="0" w:after="283"/>
              <w:jc w:val="left"/>
              <w:rPr/>
            </w:pPr>
            <w:r>
              <w:rPr/>
              <w:t> </w:t>
            </w:r>
          </w:p>
        </w:tc>
        <w:tc>
          <w:tcPr>
            <w:tcW w:w="64" w:type="dxa"/>
            <w:tcBorders/>
            <w:shd w:fill="EEEEEE" w:val="clear"/>
            <w:vAlign w:val="center"/>
          </w:tcPr>
          <w:p>
            <w:pPr>
              <w:pStyle w:val="TableContents"/>
              <w:bidi w:val="0"/>
              <w:spacing w:before="0" w:after="283"/>
              <w:jc w:val="left"/>
              <w:rPr/>
            </w:pPr>
            <w:r>
              <w:rPr/>
              <w:t> </w:t>
            </w:r>
          </w:p>
        </w:tc>
        <w:tc>
          <w:tcPr>
            <w:tcW w:w="15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193" w:name="xdx_988_eus-gaap--SharesOutstanding_iE_p"/>
            <w:bookmarkEnd w:id="193"/>
          </w:p>
        </w:tc>
        <w:tc>
          <w:tcPr>
            <w:tcW w:w="865" w:type="dxa"/>
            <w:tcBorders>
              <w:bottom w:val="single" w:sz="8" w:space="0" w:color="000000"/>
            </w:tcBorders>
            <w:shd w:fill="EEEEEE" w:val="clear"/>
            <w:tcMar>
              <w:bottom w:w="28" w:type="dxa"/>
            </w:tcMar>
            <w:vAlign w:val="center"/>
          </w:tcPr>
          <w:p>
            <w:pPr>
              <w:pStyle w:val="TableContents"/>
              <w:bidi w:val="0"/>
              <w:spacing w:before="0" w:after="283"/>
              <w:jc w:val="right"/>
              <w:rPr/>
            </w:pPr>
            <w:r>
              <w:rPr/>
              <w:t>20,607</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194" w:name="xdx_983_eus-gaap--SharesOutstanding_iE_p"/>
            <w:bookmarkEnd w:id="194"/>
          </w:p>
        </w:tc>
        <w:tc>
          <w:tcPr>
            <w:tcW w:w="814" w:type="dxa"/>
            <w:tcBorders>
              <w:bottom w:val="single" w:sz="8" w:space="0" w:color="000000"/>
            </w:tcBorders>
            <w:shd w:fill="EEEEEE" w:val="clear"/>
            <w:tcMar>
              <w:bottom w:w="28" w:type="dxa"/>
            </w:tcMar>
            <w:vAlign w:val="center"/>
          </w:tcPr>
          <w:p>
            <w:pPr>
              <w:pStyle w:val="TableContents"/>
              <w:bidi w:val="0"/>
              <w:spacing w:before="0" w:after="283"/>
              <w:jc w:val="right"/>
              <w:rPr/>
            </w:pPr>
            <w:r>
              <w:rPr/>
              <w:t>21,113</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195" w:name="xdx_983_eus-gaap--SharesOutstanding_iE_p"/>
            <w:bookmarkEnd w:id="195"/>
          </w:p>
        </w:tc>
        <w:tc>
          <w:tcPr>
            <w:tcW w:w="814" w:type="dxa"/>
            <w:tcBorders>
              <w:bottom w:val="single" w:sz="8" w:space="0" w:color="000000"/>
            </w:tcBorders>
            <w:shd w:fill="EEEEEE" w:val="clear"/>
            <w:tcMar>
              <w:bottom w:w="28" w:type="dxa"/>
            </w:tcMar>
            <w:vAlign w:val="center"/>
          </w:tcPr>
          <w:p>
            <w:pPr>
              <w:pStyle w:val="TableContents"/>
              <w:bidi w:val="0"/>
              <w:spacing w:before="0" w:after="283"/>
              <w:jc w:val="right"/>
              <w:rPr/>
            </w:pPr>
            <w:r>
              <w:rPr/>
              <w:t>20,607</w:t>
            </w:r>
          </w:p>
        </w:tc>
        <w:tc>
          <w:tcPr>
            <w:tcW w:w="119" w:type="dxa"/>
            <w:tcBorders/>
            <w:shd w:fill="EEEEEE" w:val="clear"/>
            <w:vAlign w:val="center"/>
          </w:tcPr>
          <w:p>
            <w:pPr>
              <w:pStyle w:val="TableContents"/>
              <w:bidi w:val="0"/>
              <w:spacing w:before="0" w:after="283"/>
              <w:jc w:val="left"/>
              <w:rPr/>
            </w:pPr>
            <w:r>
              <w:rPr/>
              <w:t> </w:t>
            </w:r>
          </w:p>
        </w:tc>
      </w:tr>
      <w:tr>
        <w:trPr/>
        <w:tc>
          <w:tcPr>
            <w:tcW w:w="560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r>
      <w:tr>
        <w:trPr/>
        <w:tc>
          <w:tcPr>
            <w:tcW w:w="5608" w:type="dxa"/>
            <w:tcBorders/>
            <w:shd w:fill="EEEEEE" w:val="clear"/>
            <w:vAlign w:val="center"/>
          </w:tcPr>
          <w:p>
            <w:pPr>
              <w:pStyle w:val="TableContents"/>
              <w:bidi w:val="0"/>
              <w:spacing w:before="0" w:after="283"/>
              <w:jc w:val="left"/>
              <w:rPr>
                <w:b/>
              </w:rPr>
            </w:pPr>
            <w:r>
              <w:rPr>
                <w:b/>
              </w:rPr>
              <w:t>Common Stock</w:t>
            </w:r>
          </w:p>
        </w:tc>
        <w:tc>
          <w:tcPr>
            <w:tcW w:w="60" w:type="dxa"/>
            <w:tcBorders/>
            <w:shd w:fill="EEEEEE" w:val="clear"/>
            <w:vAlign w:val="center"/>
          </w:tcPr>
          <w:p>
            <w:pPr>
              <w:pStyle w:val="TableContents"/>
              <w:bidi w:val="0"/>
              <w:spacing w:before="0" w:after="283"/>
              <w:jc w:val="left"/>
              <w:rPr/>
            </w:pPr>
            <w:r>
              <w:rPr/>
              <w:t> </w:t>
            </w:r>
          </w:p>
        </w:tc>
        <w:tc>
          <w:tcPr>
            <w:tcW w:w="151" w:type="dxa"/>
            <w:tcBorders/>
            <w:shd w:fill="EEEEEE" w:val="clear"/>
            <w:vAlign w:val="center"/>
          </w:tcPr>
          <w:p>
            <w:pPr>
              <w:pStyle w:val="TableContents"/>
              <w:bidi w:val="0"/>
              <w:spacing w:before="0" w:after="283"/>
              <w:jc w:val="left"/>
              <w:rPr/>
            </w:pPr>
            <w:r>
              <w:rPr/>
              <w:t> </w:t>
            </w:r>
          </w:p>
        </w:tc>
        <w:tc>
          <w:tcPr>
            <w:tcW w:w="865" w:type="dxa"/>
            <w:tcBorders/>
            <w:shd w:fill="EEEEEE" w:val="clear"/>
            <w:vAlign w:val="center"/>
          </w:tcPr>
          <w:p>
            <w:pPr>
              <w:pStyle w:val="TableContents"/>
              <w:bidi w:val="0"/>
              <w:spacing w:before="0" w:after="283"/>
              <w:jc w:val="right"/>
              <w:rPr/>
            </w:pPr>
            <w:r>
              <w:rPr/>
              <w:t> </w:t>
            </w:r>
          </w:p>
        </w:tc>
        <w:tc>
          <w:tcPr>
            <w:tcW w:w="102" w:type="dxa"/>
            <w:tcBorders/>
            <w:shd w:fill="EEEEEE" w:val="clear"/>
            <w:vAlign w:val="center"/>
          </w:tcPr>
          <w:p>
            <w:pPr>
              <w:pStyle w:val="TableContents"/>
              <w:bidi w:val="0"/>
              <w:spacing w:before="0" w:after="283"/>
              <w:jc w:val="left"/>
              <w:rPr/>
            </w:pPr>
            <w:r>
              <w:rPr/>
              <w:t> </w:t>
            </w:r>
          </w:p>
        </w:tc>
        <w:tc>
          <w:tcPr>
            <w:tcW w:w="64" w:type="dxa"/>
            <w:tcBorders/>
            <w:shd w:fill="EEEEEE" w:val="clear"/>
            <w:vAlign w:val="center"/>
          </w:tcPr>
          <w:p>
            <w:pPr>
              <w:pStyle w:val="TableContents"/>
              <w:bidi w:val="0"/>
              <w:spacing w:before="0" w:after="283"/>
              <w:jc w:val="left"/>
              <w:rPr/>
            </w:pPr>
            <w:r>
              <w:rPr/>
              <w:t> </w:t>
            </w:r>
          </w:p>
        </w:tc>
        <w:tc>
          <w:tcPr>
            <w:tcW w:w="151" w:type="dxa"/>
            <w:tcBorders/>
            <w:shd w:fill="EEEEEE" w:val="clear"/>
            <w:vAlign w:val="center"/>
          </w:tcPr>
          <w:p>
            <w:pPr>
              <w:pStyle w:val="TableContents"/>
              <w:bidi w:val="0"/>
              <w:spacing w:before="0" w:after="283"/>
              <w:jc w:val="left"/>
              <w:rPr/>
            </w:pPr>
            <w:r>
              <w:rPr/>
              <w:t> </w:t>
            </w:r>
          </w:p>
        </w:tc>
        <w:tc>
          <w:tcPr>
            <w:tcW w:w="865"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814"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814" w:type="dxa"/>
            <w:tcBorders/>
            <w:shd w:fill="EEEEEE" w:val="clear"/>
            <w:vAlign w:val="center"/>
          </w:tcPr>
          <w:p>
            <w:pPr>
              <w:pStyle w:val="TableContents"/>
              <w:bidi w:val="0"/>
              <w:spacing w:before="0" w:after="283"/>
              <w:jc w:val="right"/>
              <w:rPr/>
            </w:pPr>
            <w:r>
              <w:rPr/>
              <w:t> </w:t>
            </w:r>
          </w:p>
        </w:tc>
        <w:tc>
          <w:tcPr>
            <w:tcW w:w="119" w:type="dxa"/>
            <w:tcBorders/>
            <w:shd w:fill="EEEEEE" w:val="clear"/>
            <w:vAlign w:val="center"/>
          </w:tcPr>
          <w:p>
            <w:pPr>
              <w:pStyle w:val="TableContents"/>
              <w:bidi w:val="0"/>
              <w:spacing w:before="0" w:after="283"/>
              <w:jc w:val="left"/>
              <w:rPr/>
            </w:pPr>
            <w:r>
              <w:rPr/>
              <w:t> </w:t>
            </w:r>
          </w:p>
        </w:tc>
      </w:tr>
      <w:tr>
        <w:trPr/>
        <w:tc>
          <w:tcPr>
            <w:tcW w:w="5608" w:type="dxa"/>
            <w:tcBorders/>
            <w:shd w:fill="FFFFFF" w:val="clear"/>
            <w:vAlign w:val="center"/>
          </w:tcPr>
          <w:p>
            <w:pPr>
              <w:pStyle w:val="TableContents"/>
              <w:bidi w:val="0"/>
              <w:spacing w:before="0" w:after="283"/>
              <w:jc w:val="left"/>
              <w:rPr/>
            </w:pPr>
            <w:r>
              <w:rPr/>
              <w:t>Balance, beginning of period</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bookmarkStart w:id="196" w:name="xdx_985_eus-gaap--StockholdersEquity_iS_"/>
            <w:bookmarkEnd w:id="196"/>
          </w:p>
        </w:tc>
        <w:tc>
          <w:tcPr>
            <w:tcW w:w="865" w:type="dxa"/>
            <w:tcBorders/>
            <w:shd w:fill="FFFFFF" w:val="clear"/>
            <w:vAlign w:val="center"/>
          </w:tcPr>
          <w:p>
            <w:pPr>
              <w:pStyle w:val="TableContents"/>
              <w:bidi w:val="0"/>
              <w:spacing w:before="0" w:after="283"/>
              <w:jc w:val="right"/>
              <w:rPr/>
            </w:pPr>
            <w:r>
              <w:rPr/>
              <w:t>27,937</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bookmarkStart w:id="197" w:name="xdx_98E_eus-gaap--StockholdersEquity_iS_"/>
            <w:bookmarkEnd w:id="197"/>
          </w:p>
        </w:tc>
        <w:tc>
          <w:tcPr>
            <w:tcW w:w="865" w:type="dxa"/>
            <w:tcBorders/>
            <w:shd w:fill="FFFFFF" w:val="clear"/>
            <w:vAlign w:val="center"/>
          </w:tcPr>
          <w:p>
            <w:pPr>
              <w:pStyle w:val="TableContents"/>
              <w:bidi w:val="0"/>
              <w:spacing w:before="0" w:after="283"/>
              <w:jc w:val="right"/>
              <w:rPr/>
            </w:pPr>
            <w:r>
              <w:rPr/>
              <w:t>36,947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bookmarkStart w:id="198" w:name="xdx_984_eus-gaap--StockholdersEquity_iS_"/>
            <w:bookmarkEnd w:id="198"/>
          </w:p>
        </w:tc>
        <w:tc>
          <w:tcPr>
            <w:tcW w:w="814" w:type="dxa"/>
            <w:tcBorders/>
            <w:shd w:fill="FFFFFF" w:val="clear"/>
            <w:vAlign w:val="center"/>
          </w:tcPr>
          <w:p>
            <w:pPr>
              <w:pStyle w:val="TableContents"/>
              <w:bidi w:val="0"/>
              <w:spacing w:before="0" w:after="283"/>
              <w:jc w:val="right"/>
              <w:rPr/>
            </w:pPr>
            <w:r>
              <w:rPr/>
              <w:t>28,906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bookmarkStart w:id="199" w:name="xdx_98F_eus-gaap--StockholdersEquity_iS_"/>
            <w:bookmarkEnd w:id="199"/>
          </w:p>
        </w:tc>
        <w:tc>
          <w:tcPr>
            <w:tcW w:w="814" w:type="dxa"/>
            <w:tcBorders/>
            <w:shd w:fill="FFFFFF" w:val="clear"/>
            <w:vAlign w:val="center"/>
          </w:tcPr>
          <w:p>
            <w:pPr>
              <w:pStyle w:val="TableContents"/>
              <w:bidi w:val="0"/>
              <w:spacing w:before="0" w:after="283"/>
              <w:jc w:val="right"/>
              <w:rPr/>
            </w:pPr>
            <w:r>
              <w:rPr/>
              <w:t>55,298</w:t>
            </w:r>
          </w:p>
        </w:tc>
        <w:tc>
          <w:tcPr>
            <w:tcW w:w="119" w:type="dxa"/>
            <w:tcBorders/>
            <w:shd w:fill="FFFFFF" w:val="clear"/>
            <w:vAlign w:val="center"/>
          </w:tcPr>
          <w:p>
            <w:pPr>
              <w:pStyle w:val="TableContents"/>
              <w:bidi w:val="0"/>
              <w:spacing w:before="0" w:after="283"/>
              <w:ind w:left="0" w:right="0" w:hanging="200"/>
              <w:jc w:val="left"/>
              <w:rPr/>
            </w:pPr>
            <w:r>
              <w:rPr/>
              <w:t> </w:t>
            </w:r>
          </w:p>
        </w:tc>
      </w:tr>
      <w:tr>
        <w:trPr/>
        <w:tc>
          <w:tcPr>
            <w:tcW w:w="5608" w:type="dxa"/>
            <w:tcBorders/>
            <w:shd w:fill="EEEEEE" w:val="clear"/>
            <w:vAlign w:val="center"/>
          </w:tcPr>
          <w:p>
            <w:pPr>
              <w:pStyle w:val="TableContents"/>
              <w:bidi w:val="0"/>
              <w:spacing w:before="0" w:after="283"/>
              <w:jc w:val="left"/>
              <w:rPr/>
            </w:pPr>
            <w:r>
              <w:rPr/>
              <w:t>Common stock issued upon exercise of options and warrants</w:t>
            </w:r>
          </w:p>
        </w:tc>
        <w:tc>
          <w:tcPr>
            <w:tcW w:w="60" w:type="dxa"/>
            <w:tcBorders/>
            <w:shd w:fill="EEEEEE" w:val="clear"/>
            <w:vAlign w:val="center"/>
          </w:tcPr>
          <w:p>
            <w:pPr>
              <w:pStyle w:val="TableContents"/>
              <w:bidi w:val="0"/>
              <w:spacing w:before="0" w:after="283"/>
              <w:jc w:val="left"/>
              <w:rPr/>
            </w:pPr>
            <w:r>
              <w:rPr/>
              <w:t> </w:t>
            </w:r>
          </w:p>
        </w:tc>
        <w:tc>
          <w:tcPr>
            <w:tcW w:w="151" w:type="dxa"/>
            <w:tcBorders/>
            <w:shd w:fill="EEEEEE" w:val="clear"/>
            <w:vAlign w:val="center"/>
          </w:tcPr>
          <w:p>
            <w:pPr>
              <w:pStyle w:val="TableContents"/>
              <w:bidi w:val="0"/>
              <w:spacing w:before="0" w:after="283"/>
              <w:jc w:val="left"/>
              <w:rPr/>
            </w:pPr>
            <w:r>
              <w:rPr/>
              <w:t> </w:t>
            </w:r>
            <w:bookmarkStart w:id="200" w:name="xdx_983_eus-gaap--StockIssuedDuringPerio"/>
            <w:bookmarkEnd w:id="200"/>
          </w:p>
        </w:tc>
        <w:tc>
          <w:tcPr>
            <w:tcW w:w="865" w:type="dxa"/>
            <w:tcBorders/>
            <w:shd w:fill="EEEEEE" w:val="clear"/>
            <w:vAlign w:val="center"/>
          </w:tcPr>
          <w:p>
            <w:pPr>
              <w:pStyle w:val="TableContents"/>
              <w:bidi w:val="0"/>
              <w:spacing w:before="0" w:after="283"/>
              <w:jc w:val="right"/>
              <w:rPr/>
            </w:pPr>
            <w:r>
              <w:rPr/>
              <w:t>155</w:t>
            </w:r>
          </w:p>
        </w:tc>
        <w:tc>
          <w:tcPr>
            <w:tcW w:w="102" w:type="dxa"/>
            <w:tcBorders/>
            <w:shd w:fill="EEEEEE" w:val="clear"/>
            <w:vAlign w:val="center"/>
          </w:tcPr>
          <w:p>
            <w:pPr>
              <w:pStyle w:val="TableContents"/>
              <w:bidi w:val="0"/>
              <w:spacing w:before="0" w:after="283"/>
              <w:jc w:val="left"/>
              <w:rPr/>
            </w:pPr>
            <w:r>
              <w:rPr/>
              <w:t> </w:t>
            </w:r>
          </w:p>
        </w:tc>
        <w:tc>
          <w:tcPr>
            <w:tcW w:w="64" w:type="dxa"/>
            <w:tcBorders/>
            <w:shd w:fill="EEEEEE" w:val="clear"/>
            <w:vAlign w:val="center"/>
          </w:tcPr>
          <w:p>
            <w:pPr>
              <w:pStyle w:val="TableContents"/>
              <w:bidi w:val="0"/>
              <w:spacing w:before="0" w:after="283"/>
              <w:jc w:val="left"/>
              <w:rPr/>
            </w:pPr>
            <w:r>
              <w:rPr/>
              <w:t> </w:t>
            </w:r>
          </w:p>
        </w:tc>
        <w:tc>
          <w:tcPr>
            <w:tcW w:w="151" w:type="dxa"/>
            <w:tcBorders/>
            <w:shd w:fill="EEEEEE" w:val="clear"/>
            <w:vAlign w:val="center"/>
          </w:tcPr>
          <w:p>
            <w:pPr>
              <w:pStyle w:val="TableContents"/>
              <w:bidi w:val="0"/>
              <w:spacing w:before="0" w:after="283"/>
              <w:jc w:val="left"/>
              <w:rPr/>
            </w:pPr>
            <w:r>
              <w:rPr/>
              <w:t> </w:t>
            </w:r>
            <w:bookmarkStart w:id="201" w:name="xdx_98B_eus-gaap--StockIssuedDuringPerio"/>
            <w:bookmarkEnd w:id="201"/>
          </w:p>
        </w:tc>
        <w:tc>
          <w:tcPr>
            <w:tcW w:w="865" w:type="dxa"/>
            <w:tcBorders/>
            <w:shd w:fill="EEEEEE" w:val="clear"/>
            <w:vAlign w:val="center"/>
          </w:tcPr>
          <w:p>
            <w:pPr>
              <w:pStyle w:val="TableContents"/>
              <w:bidi w:val="0"/>
              <w:spacing w:before="0" w:after="283"/>
              <w:jc w:val="right"/>
              <w:rPr/>
            </w:pPr>
            <w:r>
              <w:rPr/>
              <w:t>282</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bookmarkStart w:id="202" w:name="xdx_984_eus-gaap--StockIssuedDuringPerio"/>
            <w:bookmarkEnd w:id="202"/>
          </w:p>
        </w:tc>
        <w:tc>
          <w:tcPr>
            <w:tcW w:w="814" w:type="dxa"/>
            <w:tcBorders/>
            <w:shd w:fill="EEEEEE" w:val="clear"/>
            <w:vAlign w:val="center"/>
          </w:tcPr>
          <w:p>
            <w:pPr>
              <w:pStyle w:val="TableContents"/>
              <w:bidi w:val="0"/>
              <w:spacing w:before="0" w:after="283"/>
              <w:jc w:val="right"/>
              <w:rPr/>
            </w:pPr>
            <w:r>
              <w:rPr/>
              <w:t>15,833</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bookmarkStart w:id="203" w:name="xdx_987_eus-gaap--StockIssuedDuringPerio"/>
            <w:bookmarkEnd w:id="203"/>
          </w:p>
        </w:tc>
        <w:tc>
          <w:tcPr>
            <w:tcW w:w="814" w:type="dxa"/>
            <w:tcBorders/>
            <w:shd w:fill="EEEEEE" w:val="clear"/>
            <w:vAlign w:val="center"/>
          </w:tcPr>
          <w:p>
            <w:pPr>
              <w:pStyle w:val="TableContents"/>
              <w:bidi w:val="0"/>
              <w:spacing w:before="0" w:after="283"/>
              <w:jc w:val="right"/>
              <w:rPr/>
            </w:pPr>
            <w:r>
              <w:rPr/>
              <w:t>14,698</w:t>
            </w:r>
          </w:p>
        </w:tc>
        <w:tc>
          <w:tcPr>
            <w:tcW w:w="119" w:type="dxa"/>
            <w:tcBorders/>
            <w:shd w:fill="EEEEEE" w:val="clear"/>
            <w:vAlign w:val="center"/>
          </w:tcPr>
          <w:p>
            <w:pPr>
              <w:pStyle w:val="TableContents"/>
              <w:bidi w:val="0"/>
              <w:spacing w:before="0" w:after="283"/>
              <w:jc w:val="left"/>
              <w:rPr/>
            </w:pPr>
            <w:r>
              <w:rPr/>
              <w:t> </w:t>
            </w:r>
          </w:p>
        </w:tc>
      </w:tr>
      <w:tr>
        <w:trPr/>
        <w:tc>
          <w:tcPr>
            <w:tcW w:w="5608" w:type="dxa"/>
            <w:tcBorders/>
            <w:shd w:fill="FFFFFF" w:val="clear"/>
            <w:vAlign w:val="center"/>
          </w:tcPr>
          <w:p>
            <w:pPr>
              <w:pStyle w:val="TableContents"/>
              <w:bidi w:val="0"/>
              <w:spacing w:before="0" w:after="283"/>
              <w:jc w:val="left"/>
              <w:rPr/>
            </w:pPr>
            <w:r>
              <w:rPr/>
              <w:t>Repurchase of common stock</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bookmarkStart w:id="204" w:name="xdx_980_eus-gaap--StockRepurchasedDuring"/>
            <w:bookmarkEnd w:id="204"/>
          </w:p>
        </w:tc>
        <w:tc>
          <w:tcPr>
            <w:tcW w:w="865" w:type="dxa"/>
            <w:tcBorders/>
            <w:shd w:fill="FFFFFF" w:val="clear"/>
            <w:vAlign w:val="center"/>
          </w:tcPr>
          <w:p>
            <w:pPr>
              <w:pStyle w:val="TableContents"/>
              <w:bidi w:val="0"/>
              <w:spacing w:before="0" w:after="283"/>
              <w:jc w:val="right"/>
              <w:rPr/>
            </w:pPr>
            <w:r>
              <w:rPr/>
              <w:t>(652</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bookmarkStart w:id="205" w:name="xdx_98D_eus-gaap--StockRepurchasedDuring"/>
            <w:bookmarkEnd w:id="205"/>
          </w:p>
        </w:tc>
        <w:tc>
          <w:tcPr>
            <w:tcW w:w="865" w:type="dxa"/>
            <w:tcBorders/>
            <w:shd w:fill="FFFFFF" w:val="clear"/>
            <w:vAlign w:val="center"/>
          </w:tcPr>
          <w:p>
            <w:pPr>
              <w:pStyle w:val="TableContents"/>
              <w:bidi w:val="0"/>
              <w:spacing w:before="0" w:after="283"/>
              <w:jc w:val="right"/>
              <w:rPr/>
            </w:pPr>
            <w:r>
              <w:rPr/>
              <w:t>(7,250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bookmarkStart w:id="206" w:name="xdx_98D_eus-gaap--StockRepurchasedDuring"/>
            <w:bookmarkEnd w:id="206"/>
          </w:p>
        </w:tc>
        <w:tc>
          <w:tcPr>
            <w:tcW w:w="814" w:type="dxa"/>
            <w:tcBorders/>
            <w:shd w:fill="FFFFFF" w:val="clear"/>
            <w:vAlign w:val="center"/>
          </w:tcPr>
          <w:p>
            <w:pPr>
              <w:pStyle w:val="TableContents"/>
              <w:bidi w:val="0"/>
              <w:spacing w:before="0" w:after="283"/>
              <w:jc w:val="right"/>
              <w:rPr/>
            </w:pPr>
            <w:r>
              <w:rPr/>
              <w:t>(19,116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bookmarkStart w:id="207" w:name="xdx_985_eus-gaap--StockRepurchasedDuring"/>
            <w:bookmarkEnd w:id="207"/>
          </w:p>
        </w:tc>
        <w:tc>
          <w:tcPr>
            <w:tcW w:w="814" w:type="dxa"/>
            <w:tcBorders/>
            <w:shd w:fill="FFFFFF" w:val="clear"/>
            <w:vAlign w:val="center"/>
          </w:tcPr>
          <w:p>
            <w:pPr>
              <w:pStyle w:val="TableContents"/>
              <w:bidi w:val="0"/>
              <w:spacing w:before="0" w:after="283"/>
              <w:jc w:val="right"/>
              <w:rPr/>
            </w:pPr>
            <w:r>
              <w:rPr/>
              <w:t>(41,535</w:t>
            </w:r>
          </w:p>
        </w:tc>
        <w:tc>
          <w:tcPr>
            <w:tcW w:w="119" w:type="dxa"/>
            <w:tcBorders/>
            <w:shd w:fill="FFFFFF" w:val="clear"/>
            <w:vAlign w:val="center"/>
          </w:tcPr>
          <w:p>
            <w:pPr>
              <w:pStyle w:val="TableContents"/>
              <w:bidi w:val="0"/>
              <w:spacing w:before="0" w:after="283"/>
              <w:jc w:val="left"/>
              <w:rPr/>
            </w:pPr>
            <w:r>
              <w:rPr/>
              <w:t>)</w:t>
            </w:r>
          </w:p>
        </w:tc>
      </w:tr>
      <w:tr>
        <w:trPr/>
        <w:tc>
          <w:tcPr>
            <w:tcW w:w="5608" w:type="dxa"/>
            <w:tcBorders/>
            <w:shd w:fill="EEEEEE" w:val="clear"/>
            <w:vAlign w:val="center"/>
          </w:tcPr>
          <w:p>
            <w:pPr>
              <w:pStyle w:val="TableContents"/>
              <w:bidi w:val="0"/>
              <w:spacing w:before="0" w:after="283"/>
              <w:jc w:val="left"/>
              <w:rPr/>
            </w:pPr>
            <w:r>
              <w:rPr/>
              <w:t>Stock-based compensation</w:t>
            </w:r>
          </w:p>
        </w:tc>
        <w:tc>
          <w:tcPr>
            <w:tcW w:w="60" w:type="dxa"/>
            <w:tcBorders/>
            <w:shd w:fill="EEEEEE" w:val="clear"/>
            <w:vAlign w:val="center"/>
          </w:tcPr>
          <w:p>
            <w:pPr>
              <w:pStyle w:val="TableContents"/>
              <w:bidi w:val="0"/>
              <w:spacing w:before="0" w:after="283"/>
              <w:jc w:val="left"/>
              <w:rPr/>
            </w:pPr>
            <w:r>
              <w:rPr/>
              <w:t> </w:t>
            </w:r>
          </w:p>
        </w:tc>
        <w:tc>
          <w:tcPr>
            <w:tcW w:w="15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208" w:name="xdx_987_eus-gaap--AdjustmentsToAdditiona"/>
            <w:bookmarkEnd w:id="208"/>
          </w:p>
        </w:tc>
        <w:tc>
          <w:tcPr>
            <w:tcW w:w="865" w:type="dxa"/>
            <w:tcBorders>
              <w:bottom w:val="single" w:sz="8" w:space="0" w:color="000000"/>
            </w:tcBorders>
            <w:shd w:fill="EEEEEE" w:val="clear"/>
            <w:tcMar>
              <w:bottom w:w="28" w:type="dxa"/>
            </w:tcMar>
            <w:vAlign w:val="center"/>
          </w:tcPr>
          <w:p>
            <w:pPr>
              <w:pStyle w:val="TableContents"/>
              <w:bidi w:val="0"/>
              <w:spacing w:before="0" w:after="283"/>
              <w:jc w:val="right"/>
              <w:rPr/>
            </w:pPr>
            <w:r>
              <w:rPr/>
              <w:t>817</w:t>
            </w:r>
          </w:p>
        </w:tc>
        <w:tc>
          <w:tcPr>
            <w:tcW w:w="102" w:type="dxa"/>
            <w:tcBorders/>
            <w:shd w:fill="EEEEEE" w:val="clear"/>
            <w:vAlign w:val="center"/>
          </w:tcPr>
          <w:p>
            <w:pPr>
              <w:pStyle w:val="TableContents"/>
              <w:bidi w:val="0"/>
              <w:spacing w:before="0" w:after="283"/>
              <w:jc w:val="left"/>
              <w:rPr/>
            </w:pPr>
            <w:r>
              <w:rPr/>
              <w:t> </w:t>
            </w:r>
          </w:p>
        </w:tc>
        <w:tc>
          <w:tcPr>
            <w:tcW w:w="64" w:type="dxa"/>
            <w:tcBorders/>
            <w:shd w:fill="EEEEEE" w:val="clear"/>
            <w:vAlign w:val="center"/>
          </w:tcPr>
          <w:p>
            <w:pPr>
              <w:pStyle w:val="TableContents"/>
              <w:bidi w:val="0"/>
              <w:spacing w:before="0" w:after="283"/>
              <w:jc w:val="left"/>
              <w:rPr/>
            </w:pPr>
            <w:r>
              <w:rPr/>
              <w:t> </w:t>
            </w:r>
          </w:p>
        </w:tc>
        <w:tc>
          <w:tcPr>
            <w:tcW w:w="15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209" w:name="xdx_98D_eus-gaap--AdjustmentsToAdditiona"/>
            <w:bookmarkEnd w:id="209"/>
          </w:p>
        </w:tc>
        <w:tc>
          <w:tcPr>
            <w:tcW w:w="865" w:type="dxa"/>
            <w:tcBorders>
              <w:bottom w:val="single" w:sz="8" w:space="0" w:color="000000"/>
            </w:tcBorders>
            <w:shd w:fill="EEEEEE" w:val="clear"/>
            <w:tcMar>
              <w:bottom w:w="28" w:type="dxa"/>
            </w:tcMar>
            <w:vAlign w:val="center"/>
          </w:tcPr>
          <w:p>
            <w:pPr>
              <w:pStyle w:val="TableContents"/>
              <w:bidi w:val="0"/>
              <w:spacing w:before="0" w:after="283"/>
              <w:jc w:val="right"/>
              <w:rPr/>
            </w:pPr>
            <w:r>
              <w:rPr/>
              <w:t>1,448</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210" w:name="xdx_987_eus-gaap--AdjustmentsToAdditiona"/>
            <w:bookmarkEnd w:id="210"/>
          </w:p>
        </w:tc>
        <w:tc>
          <w:tcPr>
            <w:tcW w:w="814" w:type="dxa"/>
            <w:tcBorders>
              <w:bottom w:val="single" w:sz="8" w:space="0" w:color="000000"/>
            </w:tcBorders>
            <w:shd w:fill="EEEEEE" w:val="clear"/>
            <w:tcMar>
              <w:bottom w:w="28" w:type="dxa"/>
            </w:tcMar>
            <w:vAlign w:val="center"/>
          </w:tcPr>
          <w:p>
            <w:pPr>
              <w:pStyle w:val="TableContents"/>
              <w:bidi w:val="0"/>
              <w:spacing w:before="0" w:after="283"/>
              <w:jc w:val="right"/>
              <w:rPr/>
            </w:pPr>
            <w:r>
              <w:rPr/>
              <w:t>2,634</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211" w:name="xdx_985_eus-gaap--AdjustmentsToAdditiona"/>
            <w:bookmarkEnd w:id="211"/>
          </w:p>
        </w:tc>
        <w:tc>
          <w:tcPr>
            <w:tcW w:w="814" w:type="dxa"/>
            <w:tcBorders>
              <w:bottom w:val="single" w:sz="8" w:space="0" w:color="000000"/>
            </w:tcBorders>
            <w:shd w:fill="EEEEEE" w:val="clear"/>
            <w:tcMar>
              <w:bottom w:w="28" w:type="dxa"/>
            </w:tcMar>
            <w:vAlign w:val="center"/>
          </w:tcPr>
          <w:p>
            <w:pPr>
              <w:pStyle w:val="TableContents"/>
              <w:bidi w:val="0"/>
              <w:spacing w:before="0" w:after="283"/>
              <w:jc w:val="right"/>
              <w:rPr/>
            </w:pPr>
            <w:r>
              <w:rPr/>
              <w:t>2,966</w:t>
            </w:r>
          </w:p>
        </w:tc>
        <w:tc>
          <w:tcPr>
            <w:tcW w:w="119" w:type="dxa"/>
            <w:tcBorders/>
            <w:shd w:fill="EEEEEE" w:val="clear"/>
            <w:vAlign w:val="center"/>
          </w:tcPr>
          <w:p>
            <w:pPr>
              <w:pStyle w:val="TableContents"/>
              <w:bidi w:val="0"/>
              <w:spacing w:before="0" w:after="283"/>
              <w:jc w:val="left"/>
              <w:rPr/>
            </w:pPr>
            <w:r>
              <w:rPr/>
              <w:t> </w:t>
            </w:r>
          </w:p>
        </w:tc>
      </w:tr>
      <w:tr>
        <w:trPr/>
        <w:tc>
          <w:tcPr>
            <w:tcW w:w="5608" w:type="dxa"/>
            <w:tcBorders/>
            <w:shd w:fill="FFFFFF" w:val="clear"/>
            <w:vAlign w:val="center"/>
          </w:tcPr>
          <w:p>
            <w:pPr>
              <w:pStyle w:val="TableContents"/>
              <w:bidi w:val="0"/>
              <w:spacing w:before="0" w:after="283"/>
              <w:jc w:val="left"/>
              <w:rPr/>
            </w:pPr>
            <w:r>
              <w:rPr/>
              <w:t>Balance, end of period</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212" w:name="xdx_983_eus-gaap--StockholdersEquity_iE_"/>
            <w:bookmarkEnd w:id="212"/>
          </w:p>
        </w:tc>
        <w:tc>
          <w:tcPr>
            <w:tcW w:w="865" w:type="dxa"/>
            <w:tcBorders>
              <w:bottom w:val="single" w:sz="8" w:space="0" w:color="000000"/>
            </w:tcBorders>
            <w:shd w:fill="FFFFFF" w:val="clear"/>
            <w:tcMar>
              <w:bottom w:w="28" w:type="dxa"/>
            </w:tcMar>
            <w:vAlign w:val="center"/>
          </w:tcPr>
          <w:p>
            <w:pPr>
              <w:pStyle w:val="TableContents"/>
              <w:bidi w:val="0"/>
              <w:spacing w:before="0" w:after="283"/>
              <w:jc w:val="right"/>
              <w:rPr/>
            </w:pPr>
            <w:r>
              <w:rPr/>
              <w:t>28,257</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213" w:name="xdx_984_eus-gaap--StockholdersEquity_iE_"/>
            <w:bookmarkEnd w:id="213"/>
          </w:p>
        </w:tc>
        <w:tc>
          <w:tcPr>
            <w:tcW w:w="865" w:type="dxa"/>
            <w:tcBorders>
              <w:bottom w:val="single" w:sz="8" w:space="0" w:color="000000"/>
            </w:tcBorders>
            <w:shd w:fill="FFFFFF" w:val="clear"/>
            <w:tcMar>
              <w:bottom w:w="28" w:type="dxa"/>
            </w:tcMar>
            <w:vAlign w:val="center"/>
          </w:tcPr>
          <w:p>
            <w:pPr>
              <w:pStyle w:val="TableContents"/>
              <w:bidi w:val="0"/>
              <w:spacing w:before="0" w:after="283"/>
              <w:jc w:val="right"/>
              <w:rPr/>
            </w:pPr>
            <w:r>
              <w:rPr/>
              <w:t>31,427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214" w:name="xdx_982_eus-gaap--StockholdersEquity_iE_"/>
            <w:bookmarkEnd w:id="214"/>
          </w:p>
        </w:tc>
        <w:tc>
          <w:tcPr>
            <w:tcW w:w="814" w:type="dxa"/>
            <w:tcBorders>
              <w:bottom w:val="single" w:sz="8" w:space="0" w:color="000000"/>
            </w:tcBorders>
            <w:shd w:fill="FFFFFF" w:val="clear"/>
            <w:tcMar>
              <w:bottom w:w="28" w:type="dxa"/>
            </w:tcMar>
            <w:vAlign w:val="center"/>
          </w:tcPr>
          <w:p>
            <w:pPr>
              <w:pStyle w:val="TableContents"/>
              <w:bidi w:val="0"/>
              <w:spacing w:before="0" w:after="283"/>
              <w:jc w:val="right"/>
              <w:rPr/>
            </w:pPr>
            <w:r>
              <w:rPr/>
              <w:t>28,257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215" w:name="xdx_986_eus-gaap--StockholdersEquity_iE_"/>
            <w:bookmarkEnd w:id="215"/>
          </w:p>
        </w:tc>
        <w:tc>
          <w:tcPr>
            <w:tcW w:w="814" w:type="dxa"/>
            <w:tcBorders>
              <w:bottom w:val="single" w:sz="8" w:space="0" w:color="000000"/>
            </w:tcBorders>
            <w:shd w:fill="FFFFFF" w:val="clear"/>
            <w:tcMar>
              <w:bottom w:w="28" w:type="dxa"/>
            </w:tcMar>
            <w:vAlign w:val="center"/>
          </w:tcPr>
          <w:p>
            <w:pPr>
              <w:pStyle w:val="TableContents"/>
              <w:bidi w:val="0"/>
              <w:spacing w:before="0" w:after="283"/>
              <w:jc w:val="right"/>
              <w:rPr/>
            </w:pPr>
            <w:r>
              <w:rPr/>
              <w:t>31,427</w:t>
            </w:r>
          </w:p>
        </w:tc>
        <w:tc>
          <w:tcPr>
            <w:tcW w:w="119" w:type="dxa"/>
            <w:tcBorders/>
            <w:shd w:fill="FFFFFF" w:val="clear"/>
            <w:vAlign w:val="center"/>
          </w:tcPr>
          <w:p>
            <w:pPr>
              <w:pStyle w:val="TableContents"/>
              <w:bidi w:val="0"/>
              <w:spacing w:before="0" w:after="283"/>
              <w:jc w:val="left"/>
              <w:rPr/>
            </w:pPr>
            <w:r>
              <w:rPr/>
              <w:t> </w:t>
            </w:r>
          </w:p>
        </w:tc>
      </w:tr>
      <w:tr>
        <w:trPr/>
        <w:tc>
          <w:tcPr>
            <w:tcW w:w="5608"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151" w:type="dxa"/>
            <w:tcBorders/>
            <w:shd w:fill="EEEEEE" w:val="clear"/>
            <w:vAlign w:val="center"/>
          </w:tcPr>
          <w:p>
            <w:pPr>
              <w:pStyle w:val="TableContents"/>
              <w:bidi w:val="0"/>
              <w:spacing w:before="0" w:after="283"/>
              <w:jc w:val="left"/>
              <w:rPr/>
            </w:pPr>
            <w:r>
              <w:rPr/>
              <w:t> </w:t>
            </w:r>
          </w:p>
        </w:tc>
        <w:tc>
          <w:tcPr>
            <w:tcW w:w="865" w:type="dxa"/>
            <w:tcBorders/>
            <w:shd w:fill="EEEEEE" w:val="clear"/>
            <w:vAlign w:val="center"/>
          </w:tcPr>
          <w:p>
            <w:pPr>
              <w:pStyle w:val="TableContents"/>
              <w:bidi w:val="0"/>
              <w:spacing w:before="0" w:after="283"/>
              <w:jc w:val="right"/>
              <w:rPr/>
            </w:pPr>
            <w:r>
              <w:rPr/>
              <w:t> </w:t>
            </w:r>
          </w:p>
        </w:tc>
        <w:tc>
          <w:tcPr>
            <w:tcW w:w="102" w:type="dxa"/>
            <w:tcBorders/>
            <w:shd w:fill="EEEEEE" w:val="clear"/>
            <w:vAlign w:val="center"/>
          </w:tcPr>
          <w:p>
            <w:pPr>
              <w:pStyle w:val="TableContents"/>
              <w:bidi w:val="0"/>
              <w:spacing w:before="0" w:after="283"/>
              <w:jc w:val="left"/>
              <w:rPr/>
            </w:pPr>
            <w:r>
              <w:rPr/>
              <w:t> </w:t>
            </w:r>
          </w:p>
        </w:tc>
        <w:tc>
          <w:tcPr>
            <w:tcW w:w="64" w:type="dxa"/>
            <w:tcBorders/>
            <w:shd w:fill="EEEEEE" w:val="clear"/>
            <w:vAlign w:val="center"/>
          </w:tcPr>
          <w:p>
            <w:pPr>
              <w:pStyle w:val="TableContents"/>
              <w:bidi w:val="0"/>
              <w:spacing w:before="0" w:after="283"/>
              <w:jc w:val="left"/>
              <w:rPr/>
            </w:pPr>
            <w:r>
              <w:rPr/>
              <w:t> </w:t>
            </w:r>
          </w:p>
        </w:tc>
        <w:tc>
          <w:tcPr>
            <w:tcW w:w="151" w:type="dxa"/>
            <w:tcBorders/>
            <w:shd w:fill="EEEEEE" w:val="clear"/>
            <w:vAlign w:val="center"/>
          </w:tcPr>
          <w:p>
            <w:pPr>
              <w:pStyle w:val="TableContents"/>
              <w:bidi w:val="0"/>
              <w:spacing w:before="0" w:after="283"/>
              <w:jc w:val="left"/>
              <w:rPr/>
            </w:pPr>
            <w:r>
              <w:rPr/>
              <w:t> </w:t>
            </w:r>
          </w:p>
        </w:tc>
        <w:tc>
          <w:tcPr>
            <w:tcW w:w="865"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814"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814" w:type="dxa"/>
            <w:tcBorders/>
            <w:shd w:fill="EEEEEE" w:val="clear"/>
            <w:vAlign w:val="center"/>
          </w:tcPr>
          <w:p>
            <w:pPr>
              <w:pStyle w:val="TableContents"/>
              <w:bidi w:val="0"/>
              <w:spacing w:before="0" w:after="283"/>
              <w:jc w:val="right"/>
              <w:rPr/>
            </w:pPr>
            <w:r>
              <w:rPr/>
              <w:t> </w:t>
            </w:r>
          </w:p>
        </w:tc>
        <w:tc>
          <w:tcPr>
            <w:tcW w:w="119" w:type="dxa"/>
            <w:tcBorders/>
            <w:shd w:fill="EEEEEE" w:val="clear"/>
            <w:vAlign w:val="center"/>
          </w:tcPr>
          <w:p>
            <w:pPr>
              <w:pStyle w:val="TableContents"/>
              <w:bidi w:val="0"/>
              <w:spacing w:before="0" w:after="283"/>
              <w:jc w:val="left"/>
              <w:rPr/>
            </w:pPr>
            <w:r>
              <w:rPr/>
              <w:t> </w:t>
            </w:r>
          </w:p>
        </w:tc>
      </w:tr>
      <w:tr>
        <w:trPr/>
        <w:tc>
          <w:tcPr>
            <w:tcW w:w="5608" w:type="dxa"/>
            <w:tcBorders/>
            <w:shd w:fill="FFFFFF" w:val="clear"/>
            <w:vAlign w:val="center"/>
          </w:tcPr>
          <w:p>
            <w:pPr>
              <w:pStyle w:val="TableContents"/>
              <w:bidi w:val="0"/>
              <w:spacing w:before="0" w:after="283"/>
              <w:jc w:val="left"/>
              <w:rPr>
                <w:b/>
              </w:rPr>
            </w:pPr>
            <w:r>
              <w:rPr>
                <w:b/>
              </w:rPr>
              <w:t>Retained Earnings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r>
      <w:tr>
        <w:trPr/>
        <w:tc>
          <w:tcPr>
            <w:tcW w:w="5608" w:type="dxa"/>
            <w:tcBorders/>
            <w:shd w:fill="EEEEEE" w:val="clear"/>
            <w:vAlign w:val="center"/>
          </w:tcPr>
          <w:p>
            <w:pPr>
              <w:pStyle w:val="TableContents"/>
              <w:bidi w:val="0"/>
              <w:spacing w:before="0" w:after="283"/>
              <w:jc w:val="left"/>
              <w:rPr/>
            </w:pPr>
            <w:r>
              <w:rPr/>
              <w:t>Balance, beginning of period</w:t>
            </w:r>
          </w:p>
        </w:tc>
        <w:tc>
          <w:tcPr>
            <w:tcW w:w="60" w:type="dxa"/>
            <w:tcBorders/>
            <w:shd w:fill="EEEEEE" w:val="clear"/>
            <w:vAlign w:val="center"/>
          </w:tcPr>
          <w:p>
            <w:pPr>
              <w:pStyle w:val="TableContents"/>
              <w:bidi w:val="0"/>
              <w:spacing w:before="0" w:after="283"/>
              <w:jc w:val="left"/>
              <w:rPr/>
            </w:pPr>
            <w:r>
              <w:rPr/>
              <w:t> </w:t>
            </w:r>
          </w:p>
        </w:tc>
        <w:tc>
          <w:tcPr>
            <w:tcW w:w="151" w:type="dxa"/>
            <w:tcBorders/>
            <w:shd w:fill="EEEEEE" w:val="clear"/>
            <w:vAlign w:val="center"/>
          </w:tcPr>
          <w:p>
            <w:pPr>
              <w:pStyle w:val="TableContents"/>
              <w:bidi w:val="0"/>
              <w:spacing w:before="0" w:after="283"/>
              <w:jc w:val="left"/>
              <w:rPr/>
            </w:pPr>
            <w:r>
              <w:rPr/>
              <w:t>$</w:t>
            </w:r>
            <w:bookmarkStart w:id="216" w:name="xdx_98E_eus-gaap--StockholdersEquity_iS_"/>
            <w:bookmarkEnd w:id="216"/>
          </w:p>
        </w:tc>
        <w:tc>
          <w:tcPr>
            <w:tcW w:w="865" w:type="dxa"/>
            <w:tcBorders/>
            <w:shd w:fill="EEEEEE" w:val="clear"/>
            <w:vAlign w:val="center"/>
          </w:tcPr>
          <w:p>
            <w:pPr>
              <w:pStyle w:val="TableContents"/>
              <w:bidi w:val="0"/>
              <w:spacing w:before="0" w:after="283"/>
              <w:jc w:val="right"/>
              <w:rPr/>
            </w:pPr>
            <w:r>
              <w:rPr/>
              <w:t>230,291</w:t>
            </w:r>
          </w:p>
        </w:tc>
        <w:tc>
          <w:tcPr>
            <w:tcW w:w="102" w:type="dxa"/>
            <w:tcBorders/>
            <w:shd w:fill="EEEEEE" w:val="clear"/>
            <w:vAlign w:val="center"/>
          </w:tcPr>
          <w:p>
            <w:pPr>
              <w:pStyle w:val="TableContents"/>
              <w:bidi w:val="0"/>
              <w:spacing w:before="0" w:after="283"/>
              <w:jc w:val="left"/>
              <w:rPr/>
            </w:pPr>
            <w:r>
              <w:rPr/>
              <w:t> </w:t>
            </w:r>
          </w:p>
        </w:tc>
        <w:tc>
          <w:tcPr>
            <w:tcW w:w="64" w:type="dxa"/>
            <w:tcBorders/>
            <w:shd w:fill="EEEEEE" w:val="clear"/>
            <w:vAlign w:val="center"/>
          </w:tcPr>
          <w:p>
            <w:pPr>
              <w:pStyle w:val="TableContents"/>
              <w:bidi w:val="0"/>
              <w:spacing w:before="0" w:after="283"/>
              <w:jc w:val="left"/>
              <w:rPr/>
            </w:pPr>
            <w:r>
              <w:rPr/>
              <w:t> </w:t>
            </w:r>
          </w:p>
        </w:tc>
        <w:tc>
          <w:tcPr>
            <w:tcW w:w="151" w:type="dxa"/>
            <w:tcBorders/>
            <w:shd w:fill="EEEEEE" w:val="clear"/>
            <w:vAlign w:val="center"/>
          </w:tcPr>
          <w:p>
            <w:pPr>
              <w:pStyle w:val="TableContents"/>
              <w:bidi w:val="0"/>
              <w:spacing w:before="0" w:after="283"/>
              <w:jc w:val="left"/>
              <w:rPr/>
            </w:pPr>
            <w:r>
              <w:rPr/>
              <w:t>$</w:t>
            </w:r>
            <w:bookmarkStart w:id="217" w:name="xdx_98D_eus-gaap--StockholdersEquity_iS_"/>
            <w:bookmarkEnd w:id="217"/>
          </w:p>
        </w:tc>
        <w:tc>
          <w:tcPr>
            <w:tcW w:w="865" w:type="dxa"/>
            <w:tcBorders/>
            <w:shd w:fill="EEEEEE" w:val="clear"/>
            <w:vAlign w:val="center"/>
          </w:tcPr>
          <w:p>
            <w:pPr>
              <w:pStyle w:val="TableContents"/>
              <w:bidi w:val="0"/>
              <w:spacing w:before="0" w:after="283"/>
              <w:jc w:val="right"/>
              <w:rPr/>
            </w:pPr>
            <w:r>
              <w:rPr/>
              <w:t>162,966</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w:t>
            </w:r>
            <w:bookmarkStart w:id="218" w:name="xdx_985_eus-gaap--StockholdersEquity_iS_"/>
            <w:bookmarkEnd w:id="218"/>
          </w:p>
        </w:tc>
        <w:tc>
          <w:tcPr>
            <w:tcW w:w="814" w:type="dxa"/>
            <w:tcBorders/>
            <w:shd w:fill="EEEEEE" w:val="clear"/>
            <w:vAlign w:val="center"/>
          </w:tcPr>
          <w:p>
            <w:pPr>
              <w:pStyle w:val="TableContents"/>
              <w:bidi w:val="0"/>
              <w:spacing w:before="0" w:after="283"/>
              <w:jc w:val="right"/>
              <w:rPr/>
            </w:pPr>
            <w:r>
              <w:rPr/>
              <w:t>202,514</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w:t>
            </w:r>
            <w:bookmarkStart w:id="219" w:name="xdx_98F_eus-gaap--StockholdersEquity_iS_"/>
            <w:bookmarkEnd w:id="219"/>
          </w:p>
        </w:tc>
        <w:tc>
          <w:tcPr>
            <w:tcW w:w="814" w:type="dxa"/>
            <w:tcBorders/>
            <w:shd w:fill="EEEEEE" w:val="clear"/>
            <w:vAlign w:val="center"/>
          </w:tcPr>
          <w:p>
            <w:pPr>
              <w:pStyle w:val="TableContents"/>
              <w:bidi w:val="0"/>
              <w:spacing w:before="0" w:after="283"/>
              <w:jc w:val="right"/>
              <w:rPr/>
            </w:pPr>
            <w:r>
              <w:rPr/>
              <w:t>116,531</w:t>
            </w:r>
          </w:p>
        </w:tc>
        <w:tc>
          <w:tcPr>
            <w:tcW w:w="119" w:type="dxa"/>
            <w:tcBorders/>
            <w:shd w:fill="EEEEEE" w:val="clear"/>
            <w:vAlign w:val="center"/>
          </w:tcPr>
          <w:p>
            <w:pPr>
              <w:pStyle w:val="TableContents"/>
              <w:bidi w:val="0"/>
              <w:spacing w:before="0" w:after="283"/>
              <w:jc w:val="left"/>
              <w:rPr/>
            </w:pPr>
            <w:r>
              <w:rPr/>
              <w:t> </w:t>
            </w:r>
          </w:p>
        </w:tc>
      </w:tr>
      <w:tr>
        <w:trPr/>
        <w:tc>
          <w:tcPr>
            <w:tcW w:w="5608"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20" w:name="xdx_983_eus-gaap--NetIncomeLoss_pn3n3_c2"/>
            <w:bookmarkEnd w:id="220"/>
          </w:p>
        </w:tc>
        <w:tc>
          <w:tcPr>
            <w:tcW w:w="865" w:type="dxa"/>
            <w:tcBorders>
              <w:bottom w:val="single" w:sz="8" w:space="0" w:color="000000"/>
            </w:tcBorders>
            <w:shd w:fill="FFFFFF" w:val="clear"/>
            <w:tcMar>
              <w:bottom w:w="28" w:type="dxa"/>
            </w:tcMar>
            <w:vAlign w:val="center"/>
          </w:tcPr>
          <w:p>
            <w:pPr>
              <w:pStyle w:val="TableContents"/>
              <w:bidi w:val="0"/>
              <w:spacing w:before="0" w:after="283"/>
              <w:jc w:val="right"/>
              <w:rPr/>
            </w:pPr>
            <w:r>
              <w:rPr/>
              <w:t>10,379</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21" w:name="xdx_983_eus-gaap--NetIncomeLoss_pn3n3_c2"/>
            <w:bookmarkEnd w:id="221"/>
          </w:p>
        </w:tc>
        <w:tc>
          <w:tcPr>
            <w:tcW w:w="865" w:type="dxa"/>
            <w:tcBorders>
              <w:bottom w:val="single" w:sz="8" w:space="0" w:color="000000"/>
            </w:tcBorders>
            <w:shd w:fill="FFFFFF" w:val="clear"/>
            <w:tcMar>
              <w:bottom w:w="28" w:type="dxa"/>
            </w:tcMar>
            <w:vAlign w:val="center"/>
          </w:tcPr>
          <w:p>
            <w:pPr>
              <w:pStyle w:val="TableContents"/>
              <w:bidi w:val="0"/>
              <w:spacing w:before="0" w:after="283"/>
              <w:jc w:val="right"/>
              <w:rPr/>
            </w:pPr>
            <w:r>
              <w:rPr/>
              <w:t>25,413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22" w:name="xdx_981_eus-gaap--NetIncomeLoss_pn3n3_c2"/>
            <w:bookmarkEnd w:id="222"/>
          </w:p>
        </w:tc>
        <w:tc>
          <w:tcPr>
            <w:tcW w:w="814" w:type="dxa"/>
            <w:tcBorders>
              <w:bottom w:val="single" w:sz="8" w:space="0" w:color="000000"/>
            </w:tcBorders>
            <w:shd w:fill="FFFFFF" w:val="clear"/>
            <w:tcMar>
              <w:bottom w:w="28" w:type="dxa"/>
            </w:tcMar>
            <w:vAlign w:val="center"/>
          </w:tcPr>
          <w:p>
            <w:pPr>
              <w:pStyle w:val="TableContents"/>
              <w:bidi w:val="0"/>
              <w:spacing w:before="0" w:after="283"/>
              <w:jc w:val="right"/>
              <w:rPr/>
            </w:pPr>
            <w:r>
              <w:rPr/>
              <w:t>38,156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23" w:name="xdx_988_eus-gaap--NetIncomeLoss_pn3n3_c2"/>
            <w:bookmarkEnd w:id="223"/>
          </w:p>
        </w:tc>
        <w:tc>
          <w:tcPr>
            <w:tcW w:w="814" w:type="dxa"/>
            <w:tcBorders>
              <w:bottom w:val="single" w:sz="8" w:space="0" w:color="000000"/>
            </w:tcBorders>
            <w:shd w:fill="FFFFFF" w:val="clear"/>
            <w:tcMar>
              <w:bottom w:w="28" w:type="dxa"/>
            </w:tcMar>
            <w:vAlign w:val="center"/>
          </w:tcPr>
          <w:p>
            <w:pPr>
              <w:pStyle w:val="TableContents"/>
              <w:bidi w:val="0"/>
              <w:spacing w:before="0" w:after="283"/>
              <w:jc w:val="right"/>
              <w:rPr/>
            </w:pPr>
            <w:r>
              <w:rPr/>
              <w:t>71,848</w:t>
            </w:r>
          </w:p>
        </w:tc>
        <w:tc>
          <w:tcPr>
            <w:tcW w:w="119" w:type="dxa"/>
            <w:tcBorders/>
            <w:shd w:fill="FFFFFF" w:val="clear"/>
            <w:vAlign w:val="center"/>
          </w:tcPr>
          <w:p>
            <w:pPr>
              <w:pStyle w:val="TableContents"/>
              <w:bidi w:val="0"/>
              <w:spacing w:before="0" w:after="283"/>
              <w:jc w:val="left"/>
              <w:rPr/>
            </w:pPr>
            <w:r>
              <w:rPr/>
              <w:t> </w:t>
            </w:r>
          </w:p>
        </w:tc>
      </w:tr>
      <w:tr>
        <w:trPr/>
        <w:tc>
          <w:tcPr>
            <w:tcW w:w="5608" w:type="dxa"/>
            <w:tcBorders/>
            <w:shd w:fill="EEEEEE" w:val="clear"/>
            <w:vAlign w:val="center"/>
          </w:tcPr>
          <w:p>
            <w:pPr>
              <w:pStyle w:val="TableContents"/>
              <w:bidi w:val="0"/>
              <w:spacing w:before="0" w:after="283"/>
              <w:jc w:val="left"/>
              <w:rPr/>
            </w:pPr>
            <w:r>
              <w:rPr/>
              <w:t>Balance, end of period</w:t>
            </w:r>
          </w:p>
        </w:tc>
        <w:tc>
          <w:tcPr>
            <w:tcW w:w="60" w:type="dxa"/>
            <w:tcBorders/>
            <w:shd w:fill="EEEEEE" w:val="clear"/>
            <w:vAlign w:val="center"/>
          </w:tcPr>
          <w:p>
            <w:pPr>
              <w:pStyle w:val="TableContents"/>
              <w:bidi w:val="0"/>
              <w:spacing w:before="0" w:after="283"/>
              <w:jc w:val="left"/>
              <w:rPr/>
            </w:pPr>
            <w:r>
              <w:rPr/>
              <w:t> </w:t>
            </w:r>
          </w:p>
        </w:tc>
        <w:tc>
          <w:tcPr>
            <w:tcW w:w="151" w:type="dxa"/>
            <w:tcBorders>
              <w:bottom w:val="single" w:sz="8" w:space="0" w:color="000000"/>
            </w:tcBorders>
            <w:shd w:fill="EEEEEE" w:val="clear"/>
            <w:tcMar>
              <w:bottom w:w="28" w:type="dxa"/>
            </w:tcMar>
            <w:vAlign w:val="center"/>
          </w:tcPr>
          <w:p>
            <w:pPr>
              <w:pStyle w:val="TableContents"/>
              <w:bidi w:val="0"/>
              <w:spacing w:before="0" w:after="283"/>
              <w:jc w:val="left"/>
              <w:rPr/>
            </w:pPr>
            <w:r>
              <w:rPr/>
              <w:t>$</w:t>
            </w:r>
            <w:bookmarkStart w:id="224" w:name="xdx_984_eus-gaap--StockholdersEquity_iE_"/>
            <w:bookmarkEnd w:id="224"/>
          </w:p>
        </w:tc>
        <w:tc>
          <w:tcPr>
            <w:tcW w:w="865" w:type="dxa"/>
            <w:tcBorders>
              <w:bottom w:val="single" w:sz="8" w:space="0" w:color="000000"/>
            </w:tcBorders>
            <w:shd w:fill="EEEEEE" w:val="clear"/>
            <w:tcMar>
              <w:bottom w:w="28" w:type="dxa"/>
            </w:tcMar>
            <w:vAlign w:val="center"/>
          </w:tcPr>
          <w:p>
            <w:pPr>
              <w:pStyle w:val="TableContents"/>
              <w:bidi w:val="0"/>
              <w:spacing w:before="0" w:after="283"/>
              <w:jc w:val="right"/>
              <w:rPr/>
            </w:pPr>
            <w:r>
              <w:rPr/>
              <w:t>240,670</w:t>
            </w:r>
          </w:p>
        </w:tc>
        <w:tc>
          <w:tcPr>
            <w:tcW w:w="102" w:type="dxa"/>
            <w:tcBorders/>
            <w:shd w:fill="EEEEEE" w:val="clear"/>
            <w:vAlign w:val="center"/>
          </w:tcPr>
          <w:p>
            <w:pPr>
              <w:pStyle w:val="TableContents"/>
              <w:bidi w:val="0"/>
              <w:spacing w:before="0" w:after="283"/>
              <w:jc w:val="left"/>
              <w:rPr/>
            </w:pPr>
            <w:r>
              <w:rPr/>
              <w:t> </w:t>
            </w:r>
          </w:p>
        </w:tc>
        <w:tc>
          <w:tcPr>
            <w:tcW w:w="64" w:type="dxa"/>
            <w:tcBorders/>
            <w:shd w:fill="EEEEEE" w:val="clear"/>
            <w:vAlign w:val="center"/>
          </w:tcPr>
          <w:p>
            <w:pPr>
              <w:pStyle w:val="TableContents"/>
              <w:bidi w:val="0"/>
              <w:spacing w:before="0" w:after="283"/>
              <w:jc w:val="left"/>
              <w:rPr/>
            </w:pPr>
            <w:r>
              <w:rPr/>
              <w:t> </w:t>
            </w:r>
          </w:p>
        </w:tc>
        <w:tc>
          <w:tcPr>
            <w:tcW w:w="151" w:type="dxa"/>
            <w:tcBorders>
              <w:bottom w:val="single" w:sz="8" w:space="0" w:color="000000"/>
            </w:tcBorders>
            <w:shd w:fill="EEEEEE" w:val="clear"/>
            <w:tcMar>
              <w:bottom w:w="28" w:type="dxa"/>
            </w:tcMar>
            <w:vAlign w:val="center"/>
          </w:tcPr>
          <w:p>
            <w:pPr>
              <w:pStyle w:val="TableContents"/>
              <w:bidi w:val="0"/>
              <w:spacing w:before="0" w:after="283"/>
              <w:jc w:val="left"/>
              <w:rPr/>
            </w:pPr>
            <w:r>
              <w:rPr/>
              <w:t>$</w:t>
            </w:r>
            <w:bookmarkStart w:id="225" w:name="xdx_987_eus-gaap--StockholdersEquity_iE_"/>
            <w:bookmarkEnd w:id="225"/>
          </w:p>
        </w:tc>
        <w:tc>
          <w:tcPr>
            <w:tcW w:w="865" w:type="dxa"/>
            <w:tcBorders>
              <w:bottom w:val="single" w:sz="8" w:space="0" w:color="000000"/>
            </w:tcBorders>
            <w:shd w:fill="EEEEEE" w:val="clear"/>
            <w:tcMar>
              <w:bottom w:w="28" w:type="dxa"/>
            </w:tcMar>
            <w:vAlign w:val="center"/>
          </w:tcPr>
          <w:p>
            <w:pPr>
              <w:pStyle w:val="TableContents"/>
              <w:bidi w:val="0"/>
              <w:spacing w:before="0" w:after="283"/>
              <w:jc w:val="right"/>
              <w:rPr/>
            </w:pPr>
            <w:r>
              <w:rPr/>
              <w:t>188,379</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bottom w:val="single" w:sz="8" w:space="0" w:color="000000"/>
            </w:tcBorders>
            <w:shd w:fill="EEEEEE" w:val="clear"/>
            <w:tcMar>
              <w:bottom w:w="28" w:type="dxa"/>
            </w:tcMar>
            <w:vAlign w:val="center"/>
          </w:tcPr>
          <w:p>
            <w:pPr>
              <w:pStyle w:val="TableContents"/>
              <w:bidi w:val="0"/>
              <w:spacing w:before="0" w:after="283"/>
              <w:jc w:val="left"/>
              <w:rPr/>
            </w:pPr>
            <w:r>
              <w:rPr/>
              <w:t>$</w:t>
            </w:r>
            <w:bookmarkStart w:id="226" w:name="xdx_988_eus-gaap--StockholdersEquity_iE_"/>
            <w:bookmarkEnd w:id="226"/>
          </w:p>
        </w:tc>
        <w:tc>
          <w:tcPr>
            <w:tcW w:w="814" w:type="dxa"/>
            <w:tcBorders>
              <w:bottom w:val="single" w:sz="8" w:space="0" w:color="000000"/>
            </w:tcBorders>
            <w:shd w:fill="EEEEEE" w:val="clear"/>
            <w:tcMar>
              <w:bottom w:w="28" w:type="dxa"/>
            </w:tcMar>
            <w:vAlign w:val="center"/>
          </w:tcPr>
          <w:p>
            <w:pPr>
              <w:pStyle w:val="TableContents"/>
              <w:bidi w:val="0"/>
              <w:spacing w:before="0" w:after="283"/>
              <w:jc w:val="right"/>
              <w:rPr/>
            </w:pPr>
            <w:r>
              <w:rPr/>
              <w:t>240,670</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bottom w:val="single" w:sz="8" w:space="0" w:color="000000"/>
            </w:tcBorders>
            <w:shd w:fill="EEEEEE" w:val="clear"/>
            <w:tcMar>
              <w:bottom w:w="28" w:type="dxa"/>
            </w:tcMar>
            <w:vAlign w:val="center"/>
          </w:tcPr>
          <w:p>
            <w:pPr>
              <w:pStyle w:val="TableContents"/>
              <w:bidi w:val="0"/>
              <w:spacing w:before="0" w:after="283"/>
              <w:jc w:val="left"/>
              <w:rPr/>
            </w:pPr>
            <w:r>
              <w:rPr/>
              <w:t>$</w:t>
            </w:r>
            <w:bookmarkStart w:id="227" w:name="xdx_980_eus-gaap--StockholdersEquity_iE_"/>
            <w:bookmarkEnd w:id="227"/>
          </w:p>
        </w:tc>
        <w:tc>
          <w:tcPr>
            <w:tcW w:w="814" w:type="dxa"/>
            <w:tcBorders>
              <w:bottom w:val="single" w:sz="8" w:space="0" w:color="000000"/>
            </w:tcBorders>
            <w:shd w:fill="EEEEEE" w:val="clear"/>
            <w:tcMar>
              <w:bottom w:w="28" w:type="dxa"/>
            </w:tcMar>
            <w:vAlign w:val="center"/>
          </w:tcPr>
          <w:p>
            <w:pPr>
              <w:pStyle w:val="TableContents"/>
              <w:bidi w:val="0"/>
              <w:spacing w:before="0" w:after="283"/>
              <w:jc w:val="right"/>
              <w:rPr/>
            </w:pPr>
            <w:r>
              <w:rPr/>
              <w:t>188,379</w:t>
            </w:r>
          </w:p>
        </w:tc>
        <w:tc>
          <w:tcPr>
            <w:tcW w:w="119" w:type="dxa"/>
            <w:tcBorders/>
            <w:shd w:fill="EEEEEE" w:val="clear"/>
            <w:vAlign w:val="center"/>
          </w:tcPr>
          <w:p>
            <w:pPr>
              <w:pStyle w:val="TableContents"/>
              <w:bidi w:val="0"/>
              <w:spacing w:before="0" w:after="283"/>
              <w:jc w:val="left"/>
              <w:rPr/>
            </w:pPr>
            <w:r>
              <w:rPr/>
              <w:t> </w:t>
            </w:r>
          </w:p>
        </w:tc>
      </w:tr>
      <w:tr>
        <w:trPr/>
        <w:tc>
          <w:tcPr>
            <w:tcW w:w="56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r>
      <w:tr>
        <w:trPr/>
        <w:tc>
          <w:tcPr>
            <w:tcW w:w="5608" w:type="dxa"/>
            <w:tcBorders/>
            <w:shd w:fill="EEEEEE" w:val="clear"/>
            <w:vAlign w:val="center"/>
          </w:tcPr>
          <w:p>
            <w:pPr>
              <w:pStyle w:val="TableContents"/>
              <w:bidi w:val="0"/>
              <w:spacing w:before="0" w:after="283"/>
              <w:jc w:val="left"/>
              <w:rPr>
                <w:b/>
              </w:rPr>
            </w:pPr>
            <w:r>
              <w:rPr>
                <w:b/>
              </w:rPr>
              <w:t>Accumulated Other Comprehensive Loss</w:t>
            </w:r>
          </w:p>
        </w:tc>
        <w:tc>
          <w:tcPr>
            <w:tcW w:w="60" w:type="dxa"/>
            <w:tcBorders/>
            <w:shd w:fill="EEEEEE" w:val="clear"/>
            <w:vAlign w:val="center"/>
          </w:tcPr>
          <w:p>
            <w:pPr>
              <w:pStyle w:val="TableContents"/>
              <w:bidi w:val="0"/>
              <w:spacing w:before="0" w:after="283"/>
              <w:jc w:val="left"/>
              <w:rPr/>
            </w:pPr>
            <w:r>
              <w:rPr/>
              <w:t> </w:t>
            </w:r>
          </w:p>
        </w:tc>
        <w:tc>
          <w:tcPr>
            <w:tcW w:w="151" w:type="dxa"/>
            <w:tcBorders/>
            <w:shd w:fill="EEEEEE" w:val="clear"/>
            <w:vAlign w:val="center"/>
          </w:tcPr>
          <w:p>
            <w:pPr>
              <w:pStyle w:val="TableContents"/>
              <w:bidi w:val="0"/>
              <w:spacing w:before="0" w:after="283"/>
              <w:jc w:val="left"/>
              <w:rPr/>
            </w:pPr>
            <w:r>
              <w:rPr/>
              <w:t> </w:t>
            </w:r>
          </w:p>
        </w:tc>
        <w:tc>
          <w:tcPr>
            <w:tcW w:w="865" w:type="dxa"/>
            <w:tcBorders/>
            <w:shd w:fill="EEEEEE" w:val="clear"/>
            <w:vAlign w:val="center"/>
          </w:tcPr>
          <w:p>
            <w:pPr>
              <w:pStyle w:val="TableContents"/>
              <w:bidi w:val="0"/>
              <w:spacing w:before="0" w:after="283"/>
              <w:jc w:val="right"/>
              <w:rPr/>
            </w:pPr>
            <w:r>
              <w:rPr/>
              <w:t> </w:t>
            </w:r>
          </w:p>
        </w:tc>
        <w:tc>
          <w:tcPr>
            <w:tcW w:w="102" w:type="dxa"/>
            <w:tcBorders/>
            <w:shd w:fill="EEEEEE" w:val="clear"/>
            <w:vAlign w:val="center"/>
          </w:tcPr>
          <w:p>
            <w:pPr>
              <w:pStyle w:val="TableContents"/>
              <w:bidi w:val="0"/>
              <w:spacing w:before="0" w:after="283"/>
              <w:jc w:val="left"/>
              <w:rPr/>
            </w:pPr>
            <w:r>
              <w:rPr/>
              <w:t> </w:t>
            </w:r>
          </w:p>
        </w:tc>
        <w:tc>
          <w:tcPr>
            <w:tcW w:w="64" w:type="dxa"/>
            <w:tcBorders/>
            <w:shd w:fill="EEEEEE" w:val="clear"/>
            <w:vAlign w:val="center"/>
          </w:tcPr>
          <w:p>
            <w:pPr>
              <w:pStyle w:val="TableContents"/>
              <w:bidi w:val="0"/>
              <w:spacing w:before="0" w:after="283"/>
              <w:jc w:val="left"/>
              <w:rPr/>
            </w:pPr>
            <w:r>
              <w:rPr/>
              <w:t> </w:t>
            </w:r>
          </w:p>
        </w:tc>
        <w:tc>
          <w:tcPr>
            <w:tcW w:w="151" w:type="dxa"/>
            <w:tcBorders/>
            <w:shd w:fill="EEEEEE" w:val="clear"/>
            <w:vAlign w:val="center"/>
          </w:tcPr>
          <w:p>
            <w:pPr>
              <w:pStyle w:val="TableContents"/>
              <w:bidi w:val="0"/>
              <w:spacing w:before="0" w:after="283"/>
              <w:jc w:val="left"/>
              <w:rPr/>
            </w:pPr>
            <w:r>
              <w:rPr/>
              <w:t> </w:t>
            </w:r>
          </w:p>
        </w:tc>
        <w:tc>
          <w:tcPr>
            <w:tcW w:w="865"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814"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814" w:type="dxa"/>
            <w:tcBorders/>
            <w:shd w:fill="EEEEEE" w:val="clear"/>
            <w:vAlign w:val="center"/>
          </w:tcPr>
          <w:p>
            <w:pPr>
              <w:pStyle w:val="TableContents"/>
              <w:bidi w:val="0"/>
              <w:spacing w:before="0" w:after="283"/>
              <w:jc w:val="right"/>
              <w:rPr/>
            </w:pPr>
            <w:r>
              <w:rPr/>
              <w:t> </w:t>
            </w:r>
          </w:p>
        </w:tc>
        <w:tc>
          <w:tcPr>
            <w:tcW w:w="119" w:type="dxa"/>
            <w:tcBorders/>
            <w:shd w:fill="EEEEEE" w:val="clear"/>
            <w:vAlign w:val="center"/>
          </w:tcPr>
          <w:p>
            <w:pPr>
              <w:pStyle w:val="TableContents"/>
              <w:bidi w:val="0"/>
              <w:spacing w:before="0" w:after="283"/>
              <w:jc w:val="left"/>
              <w:rPr/>
            </w:pPr>
            <w:r>
              <w:rPr/>
              <w:t> </w:t>
            </w:r>
          </w:p>
        </w:tc>
      </w:tr>
      <w:tr>
        <w:trPr/>
        <w:tc>
          <w:tcPr>
            <w:tcW w:w="5608" w:type="dxa"/>
            <w:tcBorders/>
            <w:shd w:fill="FFFFFF" w:val="clear"/>
            <w:vAlign w:val="center"/>
          </w:tcPr>
          <w:p>
            <w:pPr>
              <w:pStyle w:val="TableContents"/>
              <w:bidi w:val="0"/>
              <w:spacing w:before="0" w:after="283"/>
              <w:jc w:val="left"/>
              <w:rPr/>
            </w:pPr>
            <w:r>
              <w:rPr/>
              <w:t>Balance, beginning of period</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bookmarkStart w:id="228" w:name="xdx_98A_eus-gaap--StockholdersEquity_iS_"/>
            <w:bookmarkEnd w:id="228"/>
          </w:p>
        </w:tc>
        <w:tc>
          <w:tcPr>
            <w:tcW w:w="865" w:type="dxa"/>
            <w:tcBorders/>
            <w:shd w:fill="FFFFFF" w:val="clear"/>
            <w:vAlign w:val="center"/>
          </w:tcPr>
          <w:p>
            <w:pPr>
              <w:pStyle w:val="TableContents"/>
              <w:bidi w:val="0"/>
              <w:spacing w:before="0" w:after="283"/>
              <w:jc w:val="right"/>
              <w:rPr/>
            </w:pPr>
            <w:r>
              <w:rPr/>
              <w:t>(3,031</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bookmarkStart w:id="229" w:name="xdx_987_eus-gaap--StockholdersEquity_iS_"/>
            <w:bookmarkEnd w:id="229"/>
          </w:p>
        </w:tc>
        <w:tc>
          <w:tcPr>
            <w:tcW w:w="865" w:type="dxa"/>
            <w:tcBorders/>
            <w:shd w:fill="FFFFFF" w:val="clear"/>
            <w:vAlign w:val="center"/>
          </w:tcPr>
          <w:p>
            <w:pPr>
              <w:pStyle w:val="TableContents"/>
              <w:bidi w:val="0"/>
              <w:spacing w:before="0" w:after="283"/>
              <w:jc w:val="right"/>
              <w:rPr/>
            </w:pPr>
            <w:r>
              <w:rPr/>
              <w:t>(1,622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bookmarkStart w:id="230" w:name="xdx_98E_eus-gaap--StockholdersEquity_iS_"/>
            <w:bookmarkEnd w:id="230"/>
          </w:p>
        </w:tc>
        <w:tc>
          <w:tcPr>
            <w:tcW w:w="814" w:type="dxa"/>
            <w:tcBorders/>
            <w:shd w:fill="FFFFFF" w:val="clear"/>
            <w:vAlign w:val="center"/>
          </w:tcPr>
          <w:p>
            <w:pPr>
              <w:pStyle w:val="TableContents"/>
              <w:bidi w:val="0"/>
              <w:spacing w:before="0" w:after="283"/>
              <w:jc w:val="right"/>
              <w:rPr/>
            </w:pPr>
            <w:r>
              <w:rPr/>
              <w:t>(3,031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bookmarkStart w:id="231" w:name="xdx_98D_eus-gaap--StockholdersEquity_iS_"/>
            <w:bookmarkEnd w:id="231"/>
          </w:p>
        </w:tc>
        <w:tc>
          <w:tcPr>
            <w:tcW w:w="814" w:type="dxa"/>
            <w:tcBorders/>
            <w:shd w:fill="FFFFFF" w:val="clear"/>
            <w:vAlign w:val="center"/>
          </w:tcPr>
          <w:p>
            <w:pPr>
              <w:pStyle w:val="TableContents"/>
              <w:bidi w:val="0"/>
              <w:spacing w:before="0" w:after="283"/>
              <w:jc w:val="right"/>
              <w:rPr/>
            </w:pPr>
            <w:r>
              <w:rPr/>
              <w:t>(1,622</w:t>
            </w:r>
          </w:p>
        </w:tc>
        <w:tc>
          <w:tcPr>
            <w:tcW w:w="119" w:type="dxa"/>
            <w:tcBorders/>
            <w:shd w:fill="FFFFFF" w:val="clear"/>
            <w:vAlign w:val="center"/>
          </w:tcPr>
          <w:p>
            <w:pPr>
              <w:pStyle w:val="TableContents"/>
              <w:bidi w:val="0"/>
              <w:spacing w:before="0" w:after="283"/>
              <w:jc w:val="left"/>
              <w:rPr/>
            </w:pPr>
            <w:r>
              <w:rPr/>
              <w:t>)</w:t>
            </w:r>
          </w:p>
        </w:tc>
      </w:tr>
      <w:tr>
        <w:trPr/>
        <w:tc>
          <w:tcPr>
            <w:tcW w:w="5608" w:type="dxa"/>
            <w:tcBorders/>
            <w:shd w:fill="EEEEEE" w:val="clear"/>
            <w:vAlign w:val="center"/>
          </w:tcPr>
          <w:p>
            <w:pPr>
              <w:pStyle w:val="TableContents"/>
              <w:bidi w:val="0"/>
              <w:spacing w:before="0" w:after="283"/>
              <w:jc w:val="left"/>
              <w:rPr/>
            </w:pPr>
            <w:r>
              <w:rPr/>
              <w:t>Pension benefit obligation</w:t>
            </w:r>
          </w:p>
        </w:tc>
        <w:tc>
          <w:tcPr>
            <w:tcW w:w="60" w:type="dxa"/>
            <w:tcBorders/>
            <w:shd w:fill="EEEEEE" w:val="clear"/>
            <w:vAlign w:val="center"/>
          </w:tcPr>
          <w:p>
            <w:pPr>
              <w:pStyle w:val="TableContents"/>
              <w:bidi w:val="0"/>
              <w:spacing w:before="0" w:after="283"/>
              <w:jc w:val="left"/>
              <w:rPr/>
            </w:pPr>
            <w:r>
              <w:rPr/>
              <w:t> </w:t>
            </w:r>
          </w:p>
        </w:tc>
        <w:tc>
          <w:tcPr>
            <w:tcW w:w="15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232" w:name="xdx_989_ecustom--PensionBenefitObligatio"/>
            <w:bookmarkEnd w:id="232"/>
          </w:p>
        </w:tc>
        <w:tc>
          <w:tcPr>
            <w:tcW w:w="865"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102" w:type="dxa"/>
            <w:tcBorders/>
            <w:shd w:fill="EEEEEE" w:val="clear"/>
            <w:vAlign w:val="center"/>
          </w:tcPr>
          <w:p>
            <w:pPr>
              <w:pStyle w:val="TableContents"/>
              <w:bidi w:val="0"/>
              <w:spacing w:before="0" w:after="283"/>
              <w:jc w:val="left"/>
              <w:rPr/>
            </w:pPr>
            <w:r>
              <w:rPr/>
              <w:t> </w:t>
            </w:r>
          </w:p>
        </w:tc>
        <w:tc>
          <w:tcPr>
            <w:tcW w:w="64" w:type="dxa"/>
            <w:tcBorders/>
            <w:shd w:fill="EEEEEE" w:val="clear"/>
            <w:vAlign w:val="center"/>
          </w:tcPr>
          <w:p>
            <w:pPr>
              <w:pStyle w:val="TableContents"/>
              <w:bidi w:val="0"/>
              <w:spacing w:before="0" w:after="283"/>
              <w:jc w:val="left"/>
              <w:rPr/>
            </w:pPr>
            <w:r>
              <w:rPr/>
              <w:t> </w:t>
            </w:r>
          </w:p>
        </w:tc>
        <w:tc>
          <w:tcPr>
            <w:tcW w:w="15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233" w:name="xdx_982_ecustom--PensionBenefitObligatio"/>
            <w:bookmarkEnd w:id="233"/>
          </w:p>
        </w:tc>
        <w:tc>
          <w:tcPr>
            <w:tcW w:w="865"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234" w:name="xdx_98F_ecustom--PensionBenefitObligatio"/>
            <w:bookmarkEnd w:id="234"/>
          </w:p>
        </w:tc>
        <w:tc>
          <w:tcPr>
            <w:tcW w:w="814"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235" w:name="xdx_987_ecustom--PensionBenefitObligatio"/>
            <w:bookmarkEnd w:id="235"/>
          </w:p>
        </w:tc>
        <w:tc>
          <w:tcPr>
            <w:tcW w:w="814"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119" w:type="dxa"/>
            <w:tcBorders/>
            <w:shd w:fill="EEEEEE" w:val="clear"/>
            <w:vAlign w:val="center"/>
          </w:tcPr>
          <w:p>
            <w:pPr>
              <w:pStyle w:val="TableContents"/>
              <w:bidi w:val="0"/>
              <w:spacing w:before="0" w:after="283"/>
              <w:jc w:val="left"/>
              <w:rPr/>
            </w:pPr>
            <w:r>
              <w:rPr/>
              <w:t> </w:t>
            </w:r>
          </w:p>
        </w:tc>
      </w:tr>
      <w:tr>
        <w:trPr/>
        <w:tc>
          <w:tcPr>
            <w:tcW w:w="5608" w:type="dxa"/>
            <w:tcBorders/>
            <w:shd w:fill="FFFFFF" w:val="clear"/>
            <w:vAlign w:val="center"/>
          </w:tcPr>
          <w:p>
            <w:pPr>
              <w:pStyle w:val="TableContents"/>
              <w:bidi w:val="0"/>
              <w:spacing w:before="0" w:after="283"/>
              <w:jc w:val="left"/>
              <w:rPr/>
            </w:pPr>
            <w:r>
              <w:rPr/>
              <w:t>Balance, end of period</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236" w:name="xdx_98C_eus-gaap--StockholdersEquity_iE_"/>
            <w:bookmarkEnd w:id="236"/>
          </w:p>
        </w:tc>
        <w:tc>
          <w:tcPr>
            <w:tcW w:w="865" w:type="dxa"/>
            <w:tcBorders>
              <w:bottom w:val="single" w:sz="8" w:space="0" w:color="000000"/>
            </w:tcBorders>
            <w:shd w:fill="FFFFFF" w:val="clear"/>
            <w:tcMar>
              <w:bottom w:w="28" w:type="dxa"/>
            </w:tcMar>
            <w:vAlign w:val="center"/>
          </w:tcPr>
          <w:p>
            <w:pPr>
              <w:pStyle w:val="TableContents"/>
              <w:bidi w:val="0"/>
              <w:spacing w:before="0" w:after="283"/>
              <w:jc w:val="right"/>
              <w:rPr/>
            </w:pPr>
            <w:r>
              <w:rPr/>
              <w:t>(3,031</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237" w:name="xdx_985_eus-gaap--StockholdersEquity_iE_"/>
            <w:bookmarkEnd w:id="237"/>
          </w:p>
        </w:tc>
        <w:tc>
          <w:tcPr>
            <w:tcW w:w="865" w:type="dxa"/>
            <w:tcBorders>
              <w:bottom w:val="single" w:sz="8" w:space="0" w:color="000000"/>
            </w:tcBorders>
            <w:shd w:fill="FFFFFF" w:val="clear"/>
            <w:tcMar>
              <w:bottom w:w="28" w:type="dxa"/>
            </w:tcMar>
            <w:vAlign w:val="center"/>
          </w:tcPr>
          <w:p>
            <w:pPr>
              <w:pStyle w:val="TableContents"/>
              <w:bidi w:val="0"/>
              <w:spacing w:before="0" w:after="283"/>
              <w:jc w:val="right"/>
              <w:rPr/>
            </w:pPr>
            <w:r>
              <w:rPr/>
              <w:t>(1,622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238" w:name="xdx_989_eus-gaap--StockholdersEquity_iE_"/>
            <w:bookmarkEnd w:id="238"/>
          </w:p>
        </w:tc>
        <w:tc>
          <w:tcPr>
            <w:tcW w:w="814" w:type="dxa"/>
            <w:tcBorders>
              <w:bottom w:val="single" w:sz="8" w:space="0" w:color="000000"/>
            </w:tcBorders>
            <w:shd w:fill="FFFFFF" w:val="clear"/>
            <w:tcMar>
              <w:bottom w:w="28" w:type="dxa"/>
            </w:tcMar>
            <w:vAlign w:val="center"/>
          </w:tcPr>
          <w:p>
            <w:pPr>
              <w:pStyle w:val="TableContents"/>
              <w:bidi w:val="0"/>
              <w:spacing w:before="0" w:after="283"/>
              <w:jc w:val="right"/>
              <w:rPr/>
            </w:pPr>
            <w:r>
              <w:rPr/>
              <w:t>(3,031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239" w:name="xdx_98D_eus-gaap--StockholdersEquity_iE_"/>
            <w:bookmarkEnd w:id="239"/>
          </w:p>
        </w:tc>
        <w:tc>
          <w:tcPr>
            <w:tcW w:w="814" w:type="dxa"/>
            <w:tcBorders>
              <w:bottom w:val="single" w:sz="8" w:space="0" w:color="000000"/>
            </w:tcBorders>
            <w:shd w:fill="FFFFFF" w:val="clear"/>
            <w:tcMar>
              <w:bottom w:w="28" w:type="dxa"/>
            </w:tcMar>
            <w:vAlign w:val="center"/>
          </w:tcPr>
          <w:p>
            <w:pPr>
              <w:pStyle w:val="TableContents"/>
              <w:bidi w:val="0"/>
              <w:spacing w:before="0" w:after="283"/>
              <w:jc w:val="right"/>
              <w:rPr/>
            </w:pPr>
            <w:r>
              <w:rPr/>
              <w:t>(1,622</w:t>
            </w:r>
          </w:p>
        </w:tc>
        <w:tc>
          <w:tcPr>
            <w:tcW w:w="119" w:type="dxa"/>
            <w:tcBorders/>
            <w:shd w:fill="FFFFFF" w:val="clear"/>
            <w:vAlign w:val="center"/>
          </w:tcPr>
          <w:p>
            <w:pPr>
              <w:pStyle w:val="TableContents"/>
              <w:bidi w:val="0"/>
              <w:spacing w:before="0" w:after="283"/>
              <w:jc w:val="left"/>
              <w:rPr/>
            </w:pPr>
            <w:r>
              <w:rPr/>
              <w:t>)</w:t>
            </w:r>
          </w:p>
        </w:tc>
      </w:tr>
      <w:tr>
        <w:trPr/>
        <w:tc>
          <w:tcPr>
            <w:tcW w:w="5608" w:type="dxa"/>
            <w:tcBorders/>
            <w:shd w:fill="EEEEEE" w:val="clear"/>
            <w:vAlign w:val="center"/>
          </w:tcPr>
          <w:p>
            <w:pPr>
              <w:pStyle w:val="TableContents"/>
              <w:bidi w:val="0"/>
              <w:spacing w:before="0" w:after="283"/>
              <w:jc w:val="left"/>
              <w:rPr/>
            </w:pPr>
            <w:r>
              <w:rPr/>
              <w:t>Balance, beginning of period</w:t>
            </w:r>
          </w:p>
        </w:tc>
        <w:tc>
          <w:tcPr>
            <w:tcW w:w="60" w:type="dxa"/>
            <w:tcBorders/>
            <w:shd w:fill="EEEEEE" w:val="clear"/>
            <w:vAlign w:val="center"/>
          </w:tcPr>
          <w:p>
            <w:pPr>
              <w:pStyle w:val="TableContents"/>
              <w:bidi w:val="0"/>
              <w:spacing w:before="0" w:after="283"/>
              <w:jc w:val="left"/>
              <w:rPr/>
            </w:pPr>
            <w:r>
              <w:rPr/>
              <w:t> </w:t>
            </w:r>
          </w:p>
        </w:tc>
        <w:tc>
          <w:tcPr>
            <w:tcW w:w="151" w:type="dxa"/>
            <w:tcBorders/>
            <w:shd w:fill="EEEEEE" w:val="clear"/>
            <w:vAlign w:val="center"/>
          </w:tcPr>
          <w:p>
            <w:pPr>
              <w:pStyle w:val="TableContents"/>
              <w:bidi w:val="0"/>
              <w:spacing w:before="0" w:after="283"/>
              <w:jc w:val="left"/>
              <w:rPr/>
            </w:pPr>
            <w:r>
              <w:rPr/>
              <w:t> </w:t>
            </w:r>
            <w:bookmarkStart w:id="240" w:name="xdx_988_eus-gaap--StockholdersEquity_iS_"/>
            <w:bookmarkEnd w:id="240"/>
          </w:p>
        </w:tc>
        <w:tc>
          <w:tcPr>
            <w:tcW w:w="865" w:type="dxa"/>
            <w:tcBorders/>
            <w:shd w:fill="EEEEEE" w:val="clear"/>
            <w:vAlign w:val="center"/>
          </w:tcPr>
          <w:p>
            <w:pPr>
              <w:pStyle w:val="TableContents"/>
              <w:bidi w:val="0"/>
              <w:spacing w:before="0" w:after="283"/>
              <w:jc w:val="right"/>
              <w:rPr/>
            </w:pPr>
            <w:r>
              <w:rPr/>
              <w:t>–</w:t>
            </w:r>
          </w:p>
        </w:tc>
        <w:tc>
          <w:tcPr>
            <w:tcW w:w="102" w:type="dxa"/>
            <w:tcBorders/>
            <w:shd w:fill="EEEEEE" w:val="clear"/>
            <w:vAlign w:val="center"/>
          </w:tcPr>
          <w:p>
            <w:pPr>
              <w:pStyle w:val="TableContents"/>
              <w:bidi w:val="0"/>
              <w:spacing w:before="0" w:after="283"/>
              <w:jc w:val="left"/>
              <w:rPr/>
            </w:pPr>
            <w:r>
              <w:rPr/>
              <w:t> </w:t>
            </w:r>
          </w:p>
        </w:tc>
        <w:tc>
          <w:tcPr>
            <w:tcW w:w="64" w:type="dxa"/>
            <w:tcBorders/>
            <w:shd w:fill="EEEEEE" w:val="clear"/>
            <w:vAlign w:val="center"/>
          </w:tcPr>
          <w:p>
            <w:pPr>
              <w:pStyle w:val="TableContents"/>
              <w:bidi w:val="0"/>
              <w:spacing w:before="0" w:after="283"/>
              <w:jc w:val="left"/>
              <w:rPr/>
            </w:pPr>
            <w:r>
              <w:rPr/>
              <w:t> </w:t>
            </w:r>
          </w:p>
        </w:tc>
        <w:tc>
          <w:tcPr>
            <w:tcW w:w="151" w:type="dxa"/>
            <w:tcBorders/>
            <w:shd w:fill="EEEEEE" w:val="clear"/>
            <w:vAlign w:val="center"/>
          </w:tcPr>
          <w:p>
            <w:pPr>
              <w:pStyle w:val="TableContents"/>
              <w:bidi w:val="0"/>
              <w:spacing w:before="0" w:after="283"/>
              <w:jc w:val="left"/>
              <w:rPr/>
            </w:pPr>
            <w:r>
              <w:rPr/>
              <w:t> </w:t>
            </w:r>
            <w:bookmarkStart w:id="241" w:name="xdx_988_eus-gaap--StockholdersEquity_iS_"/>
            <w:bookmarkEnd w:id="241"/>
          </w:p>
        </w:tc>
        <w:tc>
          <w:tcPr>
            <w:tcW w:w="865"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bookmarkStart w:id="242" w:name="xdx_980_eus-gaap--StockholdersEquity_iS_"/>
            <w:bookmarkEnd w:id="242"/>
          </w:p>
        </w:tc>
        <w:tc>
          <w:tcPr>
            <w:tcW w:w="814" w:type="dxa"/>
            <w:tcBorders/>
            <w:shd w:fill="EEEEEE" w:val="clear"/>
            <w:vAlign w:val="center"/>
          </w:tcPr>
          <w:p>
            <w:pPr>
              <w:pStyle w:val="TableContents"/>
              <w:bidi w:val="0"/>
              <w:spacing w:before="0" w:after="283"/>
              <w:jc w:val="right"/>
              <w:rPr/>
            </w:pPr>
            <w:r>
              <w:rPr/>
              <w:t>228,389</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bookmarkStart w:id="243" w:name="xdx_98C_eus-gaap--StockholdersEquity_iS_"/>
            <w:bookmarkEnd w:id="243"/>
          </w:p>
        </w:tc>
        <w:tc>
          <w:tcPr>
            <w:tcW w:w="814" w:type="dxa"/>
            <w:tcBorders/>
            <w:shd w:fill="EEEEEE" w:val="clear"/>
            <w:vAlign w:val="center"/>
          </w:tcPr>
          <w:p>
            <w:pPr>
              <w:pStyle w:val="TableContents"/>
              <w:bidi w:val="0"/>
              <w:spacing w:before="0" w:after="283"/>
              <w:jc w:val="right"/>
              <w:rPr/>
            </w:pPr>
            <w:r>
              <w:rPr/>
              <w:t>–</w:t>
            </w:r>
          </w:p>
        </w:tc>
        <w:tc>
          <w:tcPr>
            <w:tcW w:w="119" w:type="dxa"/>
            <w:tcBorders/>
            <w:shd w:fill="EEEEEE" w:val="clear"/>
            <w:vAlign w:val="center"/>
          </w:tcPr>
          <w:p>
            <w:pPr>
              <w:pStyle w:val="TableContents"/>
              <w:bidi w:val="0"/>
              <w:spacing w:before="0" w:after="283"/>
              <w:jc w:val="left"/>
              <w:rPr/>
            </w:pPr>
            <w:r>
              <w:rPr/>
              <w:t> </w:t>
            </w:r>
          </w:p>
        </w:tc>
      </w:tr>
      <w:tr>
        <w:trPr/>
        <w:tc>
          <w:tcPr>
            <w:tcW w:w="5608" w:type="dxa"/>
            <w:tcBorders/>
            <w:shd w:fill="EEEEEE" w:val="clear"/>
            <w:vAlign w:val="center"/>
          </w:tcPr>
          <w:p>
            <w:pPr>
              <w:pStyle w:val="TableContents"/>
              <w:bidi w:val="0"/>
              <w:spacing w:before="0" w:after="283"/>
              <w:jc w:val="left"/>
              <w:rPr/>
            </w:pPr>
            <w:r>
              <w:rPr/>
              <w:t>Pension benefit obligation</w:t>
            </w:r>
          </w:p>
        </w:tc>
        <w:tc>
          <w:tcPr>
            <w:tcW w:w="60" w:type="dxa"/>
            <w:tcBorders/>
            <w:shd w:fill="EEEEEE" w:val="clear"/>
            <w:vAlign w:val="center"/>
          </w:tcPr>
          <w:p>
            <w:pPr>
              <w:pStyle w:val="TableContents"/>
              <w:bidi w:val="0"/>
              <w:spacing w:before="0" w:after="283"/>
              <w:jc w:val="left"/>
              <w:rPr/>
            </w:pPr>
            <w:r>
              <w:rPr/>
              <w:t> </w:t>
            </w:r>
          </w:p>
        </w:tc>
        <w:tc>
          <w:tcPr>
            <w:tcW w:w="151" w:type="dxa"/>
            <w:tcBorders/>
            <w:shd w:fill="EEEEEE" w:val="clear"/>
            <w:vAlign w:val="center"/>
          </w:tcPr>
          <w:p>
            <w:pPr>
              <w:pStyle w:val="TableContents"/>
              <w:bidi w:val="0"/>
              <w:spacing w:before="0" w:after="283"/>
              <w:jc w:val="left"/>
              <w:rPr/>
            </w:pPr>
            <w:r>
              <w:rPr/>
              <w:t> </w:t>
            </w:r>
            <w:bookmarkStart w:id="244" w:name="xdx_987_ecustom--PensionBenefitObligatio"/>
            <w:bookmarkEnd w:id="244"/>
          </w:p>
        </w:tc>
        <w:tc>
          <w:tcPr>
            <w:tcW w:w="865" w:type="dxa"/>
            <w:tcBorders/>
            <w:shd w:fill="EEEEEE" w:val="clear"/>
            <w:vAlign w:val="center"/>
          </w:tcPr>
          <w:p>
            <w:pPr>
              <w:pStyle w:val="TableContents"/>
              <w:bidi w:val="0"/>
              <w:spacing w:before="0" w:after="283"/>
              <w:jc w:val="right"/>
              <w:rPr/>
            </w:pPr>
            <w:r>
              <w:rPr/>
              <w:t>–</w:t>
            </w:r>
          </w:p>
        </w:tc>
        <w:tc>
          <w:tcPr>
            <w:tcW w:w="102" w:type="dxa"/>
            <w:tcBorders/>
            <w:shd w:fill="EEEEEE" w:val="clear"/>
            <w:vAlign w:val="center"/>
          </w:tcPr>
          <w:p>
            <w:pPr>
              <w:pStyle w:val="TableContents"/>
              <w:bidi w:val="0"/>
              <w:spacing w:before="0" w:after="283"/>
              <w:jc w:val="left"/>
              <w:rPr/>
            </w:pPr>
            <w:r>
              <w:rPr/>
              <w:t> </w:t>
            </w:r>
          </w:p>
        </w:tc>
        <w:tc>
          <w:tcPr>
            <w:tcW w:w="64" w:type="dxa"/>
            <w:tcBorders/>
            <w:shd w:fill="EEEEEE" w:val="clear"/>
            <w:vAlign w:val="center"/>
          </w:tcPr>
          <w:p>
            <w:pPr>
              <w:pStyle w:val="TableContents"/>
              <w:bidi w:val="0"/>
              <w:spacing w:before="0" w:after="283"/>
              <w:jc w:val="left"/>
              <w:rPr/>
            </w:pPr>
            <w:r>
              <w:rPr/>
              <w:t> </w:t>
            </w:r>
          </w:p>
        </w:tc>
        <w:tc>
          <w:tcPr>
            <w:tcW w:w="151" w:type="dxa"/>
            <w:tcBorders/>
            <w:shd w:fill="EEEEEE" w:val="clear"/>
            <w:vAlign w:val="center"/>
          </w:tcPr>
          <w:p>
            <w:pPr>
              <w:pStyle w:val="TableContents"/>
              <w:bidi w:val="0"/>
              <w:spacing w:before="0" w:after="283"/>
              <w:jc w:val="left"/>
              <w:rPr/>
            </w:pPr>
            <w:r>
              <w:rPr/>
              <w:t> </w:t>
            </w:r>
            <w:bookmarkStart w:id="245" w:name="xdx_986_ecustom--PensionBenefitObligatio"/>
            <w:bookmarkEnd w:id="245"/>
          </w:p>
        </w:tc>
        <w:tc>
          <w:tcPr>
            <w:tcW w:w="865"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bookmarkStart w:id="246" w:name="xdx_987_ecustom--PensionBenefitObligatio"/>
            <w:bookmarkEnd w:id="246"/>
          </w:p>
        </w:tc>
        <w:tc>
          <w:tcPr>
            <w:tcW w:w="814"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bookmarkStart w:id="247" w:name="xdx_98A_ecustom--PensionBenefitObligatio"/>
            <w:bookmarkEnd w:id="247"/>
          </w:p>
        </w:tc>
        <w:tc>
          <w:tcPr>
            <w:tcW w:w="814" w:type="dxa"/>
            <w:tcBorders/>
            <w:shd w:fill="EEEEEE" w:val="clear"/>
            <w:vAlign w:val="center"/>
          </w:tcPr>
          <w:p>
            <w:pPr>
              <w:pStyle w:val="TableContents"/>
              <w:bidi w:val="0"/>
              <w:spacing w:before="0" w:after="283"/>
              <w:jc w:val="right"/>
              <w:rPr/>
            </w:pPr>
            <w:r>
              <w:rPr/>
              <w:t>–</w:t>
            </w:r>
          </w:p>
        </w:tc>
        <w:tc>
          <w:tcPr>
            <w:tcW w:w="119" w:type="dxa"/>
            <w:tcBorders/>
            <w:shd w:fill="EEEEEE" w:val="clear"/>
            <w:vAlign w:val="center"/>
          </w:tcPr>
          <w:p>
            <w:pPr>
              <w:pStyle w:val="TableContents"/>
              <w:bidi w:val="0"/>
              <w:spacing w:before="0" w:after="283"/>
              <w:jc w:val="left"/>
              <w:rPr/>
            </w:pPr>
            <w:r>
              <w:rPr/>
              <w:t> </w:t>
            </w:r>
          </w:p>
        </w:tc>
      </w:tr>
      <w:tr>
        <w:trPr/>
        <w:tc>
          <w:tcPr>
            <w:tcW w:w="5608" w:type="dxa"/>
            <w:tcBorders/>
            <w:shd w:fill="FFFFFF" w:val="clear"/>
            <w:vAlign w:val="center"/>
          </w:tcPr>
          <w:p>
            <w:pPr>
              <w:pStyle w:val="TableContents"/>
              <w:bidi w:val="0"/>
              <w:spacing w:before="0" w:after="283"/>
              <w:jc w:val="left"/>
              <w:rPr>
                <w:b/>
              </w:rPr>
            </w:pPr>
            <w:r>
              <w:rPr>
                <w:b/>
              </w:rPr>
              <w:t>Total Shareholders' Equity</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248" w:name="xdx_984_eus-gaap--StockholdersEquity_iE_"/>
            <w:bookmarkEnd w:id="248"/>
          </w:p>
        </w:tc>
        <w:tc>
          <w:tcPr>
            <w:tcW w:w="865" w:type="dxa"/>
            <w:tcBorders>
              <w:bottom w:val="double" w:sz="6" w:space="0" w:color="000000"/>
            </w:tcBorders>
            <w:shd w:fill="FFFFFF" w:val="clear"/>
            <w:tcMar>
              <w:bottom w:w="28" w:type="dxa"/>
            </w:tcMar>
            <w:vAlign w:val="center"/>
          </w:tcPr>
          <w:p>
            <w:pPr>
              <w:pStyle w:val="TableContents"/>
              <w:bidi w:val="0"/>
              <w:spacing w:before="0" w:after="283"/>
              <w:jc w:val="right"/>
              <w:rPr/>
            </w:pPr>
            <w:r>
              <w:rPr/>
              <w:t>265,896</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249" w:name="xdx_98B_eus-gaap--StockholdersEquity_iE_"/>
            <w:bookmarkEnd w:id="249"/>
          </w:p>
        </w:tc>
        <w:tc>
          <w:tcPr>
            <w:tcW w:w="865" w:type="dxa"/>
            <w:tcBorders>
              <w:bottom w:val="double" w:sz="6" w:space="0" w:color="000000"/>
            </w:tcBorders>
            <w:shd w:fill="FFFFFF" w:val="clear"/>
            <w:tcMar>
              <w:bottom w:w="28" w:type="dxa"/>
            </w:tcMar>
            <w:vAlign w:val="center"/>
          </w:tcPr>
          <w:p>
            <w:pPr>
              <w:pStyle w:val="TableContents"/>
              <w:bidi w:val="0"/>
              <w:spacing w:before="0" w:after="283"/>
              <w:jc w:val="right"/>
              <w:rPr/>
            </w:pPr>
            <w:r>
              <w:rPr/>
              <w:t>218,184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250" w:name="xdx_98E_eus-gaap--StockholdersEquity_iE_"/>
            <w:bookmarkEnd w:id="250"/>
          </w:p>
        </w:tc>
        <w:tc>
          <w:tcPr>
            <w:tcW w:w="814" w:type="dxa"/>
            <w:tcBorders>
              <w:bottom w:val="double" w:sz="6" w:space="0" w:color="000000"/>
            </w:tcBorders>
            <w:shd w:fill="FFFFFF" w:val="clear"/>
            <w:tcMar>
              <w:bottom w:w="28" w:type="dxa"/>
            </w:tcMar>
            <w:vAlign w:val="center"/>
          </w:tcPr>
          <w:p>
            <w:pPr>
              <w:pStyle w:val="TableContents"/>
              <w:bidi w:val="0"/>
              <w:spacing w:before="0" w:after="283"/>
              <w:jc w:val="right"/>
              <w:rPr/>
            </w:pPr>
            <w:r>
              <w:rPr/>
              <w:t>265,896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251" w:name="xdx_98B_eus-gaap--StockholdersEquity_iE_"/>
            <w:bookmarkEnd w:id="251"/>
          </w:p>
        </w:tc>
        <w:tc>
          <w:tcPr>
            <w:tcW w:w="814" w:type="dxa"/>
            <w:tcBorders>
              <w:bottom w:val="double" w:sz="6" w:space="0" w:color="000000"/>
            </w:tcBorders>
            <w:shd w:fill="FFFFFF" w:val="clear"/>
            <w:tcMar>
              <w:bottom w:w="28" w:type="dxa"/>
            </w:tcMar>
            <w:vAlign w:val="center"/>
          </w:tcPr>
          <w:p>
            <w:pPr>
              <w:pStyle w:val="TableContents"/>
              <w:bidi w:val="0"/>
              <w:spacing w:before="0" w:after="283"/>
              <w:jc w:val="right"/>
              <w:rPr/>
            </w:pPr>
            <w:r>
              <w:rPr/>
              <w:t>218,184</w:t>
            </w:r>
          </w:p>
        </w:tc>
        <w:tc>
          <w:tcPr>
            <w:tcW w:w="11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CONSUMER PORTFOLIO SERVICES,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2" w:name="q3_009"/>
      <w:bookmarkEnd w:id="252"/>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3" w:name="xdx_80B_eus-gaap--SignificantAccountingP"/>
      <w:bookmarkEnd w:id="253"/>
      <w:r>
        <w:rPr>
          <w:rFonts w:ascii="Times New Roman;Times;Serif" w:hAnsi="Times New Roman;Times;Serif"/>
          <w:b/>
          <w:i w:val="false"/>
          <w:caps w:val="false"/>
          <w:smallCaps w:val="false"/>
          <w:sz w:val="20"/>
        </w:rPr>
        <w:t xml:space="preserve">(1) </w:t>
      </w:r>
      <w:bookmarkStart w:id="254" w:name="xdx_827_zxTlT7DGXRr3"/>
      <w:bookmarkEnd w:id="254"/>
      <w:r>
        <w:rPr>
          <w:rFonts w:ascii="Times New Roman;Times;Serif" w:hAnsi="Times New Roman;Times;Serif"/>
          <w:b/>
          <w:i/>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5" w:name="xdx_861_zVampvUMDXj6"/>
      <w:bookmarkStart w:id="256" w:name="xdx_84E_ecustom--DescriptionOfBusinessPo"/>
      <w:bookmarkEnd w:id="255"/>
      <w:bookmarkEnd w:id="256"/>
      <w:r>
        <w:rPr>
          <w:rFonts w:ascii="Times New Roman;Times;Serif" w:hAnsi="Times New Roman;Times;Serif"/>
          <w:b/>
          <w:i w:val="false"/>
          <w:caps w:val="false"/>
          <w:smallCaps w:val="false"/>
          <w:sz w:val="20"/>
        </w:rPr>
        <w:t xml:space="preserve">Description of Business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formed in California on March 8, 1991. We specialize in purchasing and servicing retail automobile installment sale contracts (“automobile contracts” or “finance receivables”) originated by licensed motor vehicle dealers located throughout the United States (“dealers”) in the sale of new and used automobiles, light trucks and passenger vans. Through our purchases, we provide indirect financing to dealer customers for borrowers with limited credit histories or past credit problems (“sub-prime customers”). We serve as an alternative source of financing for dealers, allowing sales to customers who otherwise might not be able to obtain financing. In addition to purchasing installment purchase contracts directly from dealers, we have also (i) lent money directly to consumers for loans secured by vehicles, (ii) purchased immaterial amounts of vehicle purchase money loans from non-affiliated lenders, and (iii) acquired installment purchase contracts in four merger and acquisition transactions. In this report, we refer to all of such contracts and loans as "automobile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7" w:name="xdx_860_zQcsvDFRMHh7"/>
      <w:bookmarkStart w:id="258" w:name="xdx_84E_eus-gaap--BasisOfAccountingPolic"/>
      <w:bookmarkEnd w:id="257"/>
      <w:bookmarkEnd w:id="258"/>
      <w:r>
        <w:rPr>
          <w:rFonts w:ascii="Times New Roman;Times;Serif" w:hAnsi="Times New Roman;Times;Serif"/>
          <w:b/>
          <w:i w:val="false"/>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Unaudited Condensed Consolidated Financial Statements have been prepared in conformity with accounting principles generally accepted in the United States of America, with the instructions to Form 10-Q and with Article 10 of Regulation S-X of the Securities and Exchange Commission, and include all adjustments that are, in management’s opinion, necessary for a fair presentation of the results for the interim periods presented. All such adjustments are, in the opinion of management, of a normal recurring nature. Results for the nine-month period ended September 30, 2023 are not necessarily indicative of the operating results to be expected for the full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and footnote disclosures normally included in financial statements prepared in accordance with accounting principles generally accepted in the United States of America have been condensed or omitted from these Unaudited Condensed Consolidated Financial Statements. These Unaudited Condensed Consolidated Financial Statements should be read in conjunction with the Consolidated Financial Statements and Notes to Consolidated Financial Statements included in our Annual Report on Form 10-K for the year ended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9" w:name="xdx_86B_zHpgzgbSjiob"/>
      <w:bookmarkStart w:id="260" w:name="xdx_846_eus-gaap--UseOfEstimates_za27fEr"/>
      <w:bookmarkEnd w:id="259"/>
      <w:bookmarkEnd w:id="260"/>
      <w:r>
        <w:rPr>
          <w:rFonts w:ascii="Times New Roman;Times;Serif" w:hAnsi="Times New Roman;Times;Serif"/>
          <w:b/>
          <w:i w:val="false"/>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1" w:name="xdx_86E_zznEt77mNWM"/>
      <w:bookmarkStart w:id="262" w:name="xdx_844_ecustom--FinanceReceivablesMeasu"/>
      <w:bookmarkEnd w:id="261"/>
      <w:bookmarkEnd w:id="262"/>
      <w:r>
        <w:rPr>
          <w:rFonts w:ascii="Times New Roman;Times;Serif" w:hAnsi="Times New Roman;Times;Serif"/>
          <w:b/>
          <w:i w:val="false"/>
          <w:caps w:val="false"/>
          <w:smallCaps w:val="false"/>
          <w:sz w:val="20"/>
        </w:rPr>
        <w:t>Finance Receivables Measured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January 1, 2018, we adopted the fair value method of accounting for finance receivables acquired on or after that date. For each finance receivable acquired after 2017, we consider the price paid on the purchase date as the fair value for such receivable. We estimate the cash to be received in the future with respect to such receivables, based on our experience with similar receivables acquired in the past. We then compute the internal rate of return that results in the present value of those estimated cash receipts being equal to the purchase date fair value. Thereafter, we recognize interest income on such receivables on a level yield basis using that internal rate of return as the applicable interest rate. Cash received with respect to such receivables is applied first against such interest income, and then to reduce the recorded value of the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63" w:name="xdx_23B_z5oiFm7wr2f6"/>
      <w:bookmarkEnd w:id="263"/>
      <w:r>
        <w:rPr>
          <w:caps w:val="false"/>
          <w:smallCaps w:val="false"/>
        </w:rPr>
        <w:t> </w:t>
      </w:r>
    </w:p>
    <w:p>
      <w:pPr>
        <w:pStyle w:val="TextBody"/>
        <w:bidi w:val="0"/>
        <w:spacing w:before="0" w:after="0"/>
        <w:ind w:left="0" w:right="0" w:hanging="0"/>
        <w:jc w:val="both"/>
        <w:rPr>
          <w:caps w:val="false"/>
          <w:smallCaps w:val="false"/>
        </w:rPr>
      </w:pPr>
      <w:bookmarkStart w:id="264" w:name="xdx_236_zBPlKRE7DjQ6"/>
      <w:bookmarkEnd w:id="264"/>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bookmarkStart w:id="265" w:name="xdx_23F_zkBK7FdJDMZj"/>
            <w:bookmarkEnd w:id="265"/>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266" w:name="xdx_230_zPEMXF0IHTr6"/>
      <w:bookmarkEnd w:id="266"/>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7" w:name="xdx_23E_zXUNfWRn4S9b"/>
      <w:bookmarkStart w:id="268" w:name="xdx_23B_zpqDnlvRZU1e"/>
      <w:bookmarkEnd w:id="267"/>
      <w:bookmarkEnd w:id="268"/>
      <w:r>
        <w:rPr>
          <w:rFonts w:ascii="Times New Roman;Times;Serif" w:hAnsi="Times New Roman;Times;Serif"/>
          <w:b/>
          <w:i w:val="false"/>
          <w:caps w:val="false"/>
          <w:smallCaps w:val="false"/>
          <w:sz w:val="20"/>
        </w:rPr>
        <w:t>CONSUMER PORTFOLIO SERVICES,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9" w:name="xdx_23B_zjiDX7xxex15"/>
      <w:bookmarkStart w:id="270" w:name="xdx_230_zK0O7AzQ61ya"/>
      <w:bookmarkEnd w:id="269"/>
      <w:bookmarkEnd w:id="270"/>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bookmarkStart w:id="271" w:name="xdx_235_zz8fAQVdFoB8"/>
      <w:bookmarkEnd w:id="271"/>
      <w:r>
        <w:rPr>
          <w:caps w:val="false"/>
          <w:smallCaps w:val="false"/>
        </w:rPr>
        <w:t> </w:t>
      </w:r>
    </w:p>
    <w:p>
      <w:pPr>
        <w:pStyle w:val="TextBody"/>
        <w:bidi w:val="0"/>
        <w:spacing w:before="0" w:after="0"/>
        <w:ind w:left="0" w:right="0" w:hanging="0"/>
        <w:jc w:val="both"/>
        <w:rPr>
          <w:caps w:val="false"/>
          <w:smallCaps w:val="false"/>
        </w:rPr>
      </w:pPr>
      <w:bookmarkStart w:id="272" w:name="xdx_237_zixGb52QIMri"/>
      <w:bookmarkEnd w:id="272"/>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re-evaluate the fair value of such receivables at the close of each measurement period. If the reevaluation were to yield a value materially different from the recorded value, an adjustment would be required.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Anticipated credit losses are included in our estimation of cash to be received with respect to receivables. Because such credit losses are included in our computation of the appropriate level yield, we do not thereafter make periodic provision for credit losses, as our best estimate of the lifetime aggregate of credit losses is included in that initial computation. Also, because we include anticipated credit losses in our computation of the level yield, the computed level yield is materially lower than the average contractual rate applicable to the receivables. Because our initial recorded value is fixed as the price we pay for the receivable, rather than as the contractual principal balance, we do not record acquisition fees as an amortizing asset related to the receivables, nor do we capitalize costs of acquiring the receivables. Rather we recognize the costs of acquisition as expenses in the period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73" w:name="xdx_86F_z2iNDHGhBgoe"/>
      <w:bookmarkStart w:id="274" w:name="xdx_84D_ecustom--OtherIncomePolicyTextBl"/>
      <w:bookmarkEnd w:id="273"/>
      <w:bookmarkEnd w:id="274"/>
      <w:r>
        <w:rPr>
          <w:rFonts w:ascii="Times New Roman;Times;Serif" w:hAnsi="Times New Roman;Times;Serif"/>
          <w:b/>
          <w:i w:val="false"/>
          <w:caps w:val="false"/>
          <w:smallCaps w:val="false"/>
          <w:sz w:val="20"/>
        </w:rPr>
        <w:t>Other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primary components of Other Income for the three-month and nine-month periods ending September 30, 2023 and 2022:</w:t>
      </w:r>
    </w:p>
    <w:p>
      <w:pPr>
        <w:pStyle w:val="Normal"/>
        <w:bidi w:val="0"/>
        <w:spacing w:before="0" w:after="0"/>
        <w:jc w:val="left"/>
        <w:rPr>
          <w:sz w:val="4"/>
          <w:szCs w:val="4"/>
        </w:rPr>
      </w:pPr>
      <w:r>
        <w:rPr>
          <w:sz w:val="4"/>
          <w:szCs w:val="4"/>
        </w:rPr>
      </w:r>
      <w:bookmarkStart w:id="275" w:name="xdx_89D_ecustom--OtherIncomeTableTextBlo"/>
      <w:bookmarkStart w:id="276" w:name="xdx_89D_ecustom--OtherIncomeTableTextBlo"/>
      <w:bookmarkEnd w:id="276"/>
    </w:p>
    <w:tbl>
      <w:tblPr>
        <w:tblW w:w="10060" w:type="dxa"/>
        <w:jc w:val="left"/>
        <w:tblInd w:w="0" w:type="dxa"/>
        <w:tblLayout w:type="fixed"/>
        <w:tblCellMar>
          <w:top w:w="0" w:type="dxa"/>
          <w:left w:w="0" w:type="dxa"/>
          <w:bottom w:w="0" w:type="dxa"/>
          <w:right w:w="0" w:type="dxa"/>
        </w:tblCellMar>
      </w:tblPr>
      <w:tblGrid>
        <w:gridCol w:w="5525"/>
        <w:gridCol w:w="60"/>
        <w:gridCol w:w="203"/>
        <w:gridCol w:w="814"/>
        <w:gridCol w:w="87"/>
        <w:gridCol w:w="87"/>
        <w:gridCol w:w="203"/>
        <w:gridCol w:w="814"/>
        <w:gridCol w:w="60"/>
        <w:gridCol w:w="60"/>
        <w:gridCol w:w="191"/>
        <w:gridCol w:w="764"/>
        <w:gridCol w:w="81"/>
        <w:gridCol w:w="81"/>
        <w:gridCol w:w="191"/>
        <w:gridCol w:w="764"/>
        <w:gridCol w:w="75"/>
      </w:tblGrid>
      <w:tr>
        <w:trPr/>
        <w:tc>
          <w:tcPr>
            <w:tcW w:w="5525" w:type="dxa"/>
            <w:tcBorders/>
            <w:vAlign w:val="center"/>
          </w:tcPr>
          <w:p>
            <w:pPr>
              <w:pStyle w:val="TableContents"/>
              <w:bidi w:val="0"/>
              <w:spacing w:before="0" w:after="283"/>
              <w:jc w:val="left"/>
              <w:rPr/>
            </w:pPr>
            <w:bookmarkStart w:id="277" w:name="xdx_8BD_zdVbiqrsbzia"/>
            <w:bookmarkEnd w:id="277"/>
            <w:r>
              <w:rPr/>
              <w:t>Schedule of other income</w:t>
            </w:r>
          </w:p>
        </w:tc>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 </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righ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vAlign w:val="center"/>
          </w:tcPr>
          <w:p>
            <w:pPr>
              <w:pStyle w:val="TableContents"/>
              <w:bidi w:val="0"/>
              <w:spacing w:before="0" w:after="283"/>
              <w:jc w:val="center"/>
              <w:rPr>
                <w:b/>
              </w:rPr>
            </w:pPr>
            <w:r>
              <w:rPr>
                <w:b/>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2" w:type="dxa"/>
            <w:gridSpan w:val="6"/>
            <w:tcBorders/>
            <w:vAlign w:val="center"/>
          </w:tcPr>
          <w:p>
            <w:pPr>
              <w:pStyle w:val="TableContents"/>
              <w:bidi w:val="0"/>
              <w:spacing w:before="0" w:after="283"/>
              <w:jc w:val="center"/>
              <w:rPr>
                <w:b/>
              </w:rPr>
            </w:pPr>
            <w:r>
              <w:rPr>
                <w:b/>
              </w:rPr>
              <w:t>Nine Months Ended</w:t>
            </w:r>
          </w:p>
        </w:tc>
        <w:tc>
          <w:tcPr>
            <w:tcW w:w="75"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75"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01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vAlign w:val="center"/>
          </w:tcPr>
          <w:p>
            <w:pPr>
              <w:pStyle w:val="TableContents"/>
              <w:bidi w:val="0"/>
              <w:spacing w:before="0" w:after="283"/>
              <w:jc w:val="center"/>
              <w:rPr>
                <w:b/>
              </w:rPr>
            </w:pPr>
            <w:r>
              <w:rPr>
                <w:b/>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2" w:type="dxa"/>
            <w:gridSpan w:val="6"/>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5525" w:type="dxa"/>
            <w:tcBorders/>
            <w:shd w:fill="EEEEEE" w:val="clear"/>
            <w:vAlign w:val="center"/>
          </w:tcPr>
          <w:p>
            <w:pPr>
              <w:pStyle w:val="TableContents"/>
              <w:bidi w:val="0"/>
              <w:spacing w:before="0" w:after="283"/>
              <w:jc w:val="left"/>
              <w:rPr/>
            </w:pPr>
            <w:r>
              <w:rPr/>
              <w:t>Origination and servicing fees from third party receivables</w:t>
            </w:r>
          </w:p>
        </w:tc>
        <w:tc>
          <w:tcPr>
            <w:tcW w:w="60" w:type="dxa"/>
            <w:tcBorders/>
            <w:shd w:fill="EEEEEE" w:val="clear"/>
            <w:vAlign w:val="center"/>
          </w:tcPr>
          <w:p>
            <w:pPr>
              <w:pStyle w:val="TableContents"/>
              <w:bidi w:val="0"/>
              <w:spacing w:before="0" w:after="283"/>
              <w:jc w:val="left"/>
              <w:rPr/>
            </w:pPr>
            <w:r>
              <w:rPr/>
              <w:t> </w:t>
            </w:r>
          </w:p>
        </w:tc>
        <w:tc>
          <w:tcPr>
            <w:tcW w:w="203" w:type="dxa"/>
            <w:tcBorders/>
            <w:shd w:fill="EEEEEE" w:val="clear"/>
            <w:vAlign w:val="center"/>
          </w:tcPr>
          <w:p>
            <w:pPr>
              <w:pStyle w:val="TableContents"/>
              <w:bidi w:val="0"/>
              <w:spacing w:before="0" w:after="283"/>
              <w:jc w:val="left"/>
              <w:rPr/>
            </w:pPr>
            <w:r>
              <w:rPr/>
              <w:t>$</w:t>
            </w:r>
            <w:bookmarkStart w:id="278" w:name="xdx_98D_eus-gaap--OtherOperatingIncome_p"/>
            <w:bookmarkEnd w:id="278"/>
          </w:p>
        </w:tc>
        <w:tc>
          <w:tcPr>
            <w:tcW w:w="814" w:type="dxa"/>
            <w:tcBorders/>
            <w:shd w:fill="EEEEEE" w:val="clear"/>
            <w:vAlign w:val="center"/>
          </w:tcPr>
          <w:p>
            <w:pPr>
              <w:pStyle w:val="TableContents"/>
              <w:bidi w:val="0"/>
              <w:spacing w:before="0" w:after="283"/>
              <w:jc w:val="right"/>
              <w:rPr/>
            </w:pPr>
            <w:r>
              <w:rPr/>
              <w:t>2,546</w:t>
            </w:r>
          </w:p>
        </w:tc>
        <w:tc>
          <w:tcPr>
            <w:tcW w:w="87" w:type="dxa"/>
            <w:tcBorders/>
            <w:shd w:fill="EEEEEE" w:val="clear"/>
            <w:vAlign w:val="center"/>
          </w:tcPr>
          <w:p>
            <w:pPr>
              <w:pStyle w:val="TableContents"/>
              <w:bidi w:val="0"/>
              <w:spacing w:before="0" w:after="283"/>
              <w:jc w:val="left"/>
              <w:rPr/>
            </w:pPr>
            <w:r>
              <w:rPr/>
              <w:t> </w:t>
            </w:r>
          </w:p>
        </w:tc>
        <w:tc>
          <w:tcPr>
            <w:tcW w:w="87" w:type="dxa"/>
            <w:tcBorders/>
            <w:shd w:fill="EEEEEE" w:val="clear"/>
            <w:vAlign w:val="center"/>
          </w:tcPr>
          <w:p>
            <w:pPr>
              <w:pStyle w:val="TableContents"/>
              <w:bidi w:val="0"/>
              <w:spacing w:before="0" w:after="283"/>
              <w:jc w:val="left"/>
              <w:rPr/>
            </w:pPr>
            <w:r>
              <w:rPr/>
              <w:t> </w:t>
            </w:r>
          </w:p>
        </w:tc>
        <w:tc>
          <w:tcPr>
            <w:tcW w:w="203" w:type="dxa"/>
            <w:tcBorders/>
            <w:shd w:fill="EEEEEE" w:val="clear"/>
            <w:vAlign w:val="center"/>
          </w:tcPr>
          <w:p>
            <w:pPr>
              <w:pStyle w:val="TableContents"/>
              <w:bidi w:val="0"/>
              <w:spacing w:before="0" w:after="283"/>
              <w:jc w:val="left"/>
              <w:rPr/>
            </w:pPr>
            <w:r>
              <w:rPr/>
              <w:t>$</w:t>
            </w:r>
            <w:bookmarkStart w:id="279" w:name="xdx_984_eus-gaap--OtherOperatingIncome_p"/>
            <w:bookmarkEnd w:id="279"/>
          </w:p>
        </w:tc>
        <w:tc>
          <w:tcPr>
            <w:tcW w:w="814" w:type="dxa"/>
            <w:tcBorders/>
            <w:shd w:fill="EEEEEE" w:val="clear"/>
            <w:vAlign w:val="center"/>
          </w:tcPr>
          <w:p>
            <w:pPr>
              <w:pStyle w:val="TableContents"/>
              <w:bidi w:val="0"/>
              <w:spacing w:before="0" w:after="283"/>
              <w:jc w:val="right"/>
              <w:rPr/>
            </w:pPr>
            <w:r>
              <w:rPr/>
              <w:t>2,016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91" w:type="dxa"/>
            <w:tcBorders/>
            <w:shd w:fill="EEEEEE" w:val="clear"/>
            <w:vAlign w:val="center"/>
          </w:tcPr>
          <w:p>
            <w:pPr>
              <w:pStyle w:val="TableContents"/>
              <w:bidi w:val="0"/>
              <w:spacing w:before="0" w:after="283"/>
              <w:jc w:val="left"/>
              <w:rPr/>
            </w:pPr>
            <w:r>
              <w:rPr/>
              <w:t>$</w:t>
            </w:r>
            <w:bookmarkStart w:id="280" w:name="xdx_989_eus-gaap--OtherOperatingIncome_p"/>
            <w:bookmarkEnd w:id="280"/>
          </w:p>
        </w:tc>
        <w:tc>
          <w:tcPr>
            <w:tcW w:w="764" w:type="dxa"/>
            <w:tcBorders/>
            <w:shd w:fill="EEEEEE" w:val="clear"/>
            <w:vAlign w:val="center"/>
          </w:tcPr>
          <w:p>
            <w:pPr>
              <w:pStyle w:val="TableContents"/>
              <w:bidi w:val="0"/>
              <w:spacing w:before="0" w:after="283"/>
              <w:jc w:val="right"/>
              <w:rPr/>
            </w:pPr>
            <w:r>
              <w:rPr/>
              <w:t>7,207</w:t>
            </w:r>
          </w:p>
        </w:tc>
        <w:tc>
          <w:tcPr>
            <w:tcW w:w="81" w:type="dxa"/>
            <w:tcBorders/>
            <w:shd w:fill="EEEEEE" w:val="clear"/>
            <w:vAlign w:val="center"/>
          </w:tcPr>
          <w:p>
            <w:pPr>
              <w:pStyle w:val="TableContents"/>
              <w:bidi w:val="0"/>
              <w:spacing w:before="0" w:after="283"/>
              <w:jc w:val="left"/>
              <w:rPr/>
            </w:pPr>
            <w:r>
              <w:rPr/>
              <w:t> </w:t>
            </w:r>
          </w:p>
        </w:tc>
        <w:tc>
          <w:tcPr>
            <w:tcW w:w="81" w:type="dxa"/>
            <w:tcBorders/>
            <w:shd w:fill="EEEEEE" w:val="clear"/>
            <w:vAlign w:val="center"/>
          </w:tcPr>
          <w:p>
            <w:pPr>
              <w:pStyle w:val="TableContents"/>
              <w:bidi w:val="0"/>
              <w:spacing w:before="0" w:after="283"/>
              <w:jc w:val="left"/>
              <w:rPr/>
            </w:pPr>
            <w:r>
              <w:rPr/>
              <w:t> </w:t>
            </w:r>
          </w:p>
        </w:tc>
        <w:tc>
          <w:tcPr>
            <w:tcW w:w="191" w:type="dxa"/>
            <w:tcBorders/>
            <w:shd w:fill="EEEEEE" w:val="clear"/>
            <w:vAlign w:val="center"/>
          </w:tcPr>
          <w:p>
            <w:pPr>
              <w:pStyle w:val="TableContents"/>
              <w:bidi w:val="0"/>
              <w:spacing w:before="0" w:after="283"/>
              <w:jc w:val="left"/>
              <w:rPr/>
            </w:pPr>
            <w:r>
              <w:rPr/>
              <w:t>$</w:t>
            </w:r>
            <w:bookmarkStart w:id="281" w:name="xdx_980_eus-gaap--OtherOperatingIncome_p"/>
            <w:bookmarkEnd w:id="281"/>
          </w:p>
        </w:tc>
        <w:tc>
          <w:tcPr>
            <w:tcW w:w="764" w:type="dxa"/>
            <w:tcBorders/>
            <w:shd w:fill="EEEEEE" w:val="clear"/>
            <w:vAlign w:val="center"/>
          </w:tcPr>
          <w:p>
            <w:pPr>
              <w:pStyle w:val="TableContents"/>
              <w:bidi w:val="0"/>
              <w:spacing w:before="0" w:after="283"/>
              <w:jc w:val="right"/>
              <w:rPr/>
            </w:pPr>
            <w:r>
              <w:rPr/>
              <w:t>4,268</w:t>
            </w:r>
          </w:p>
        </w:tc>
        <w:tc>
          <w:tcPr>
            <w:tcW w:w="75" w:type="dxa"/>
            <w:tcBorders/>
            <w:shd w:fill="EEEEEE" w:val="clear"/>
            <w:vAlign w:val="center"/>
          </w:tcPr>
          <w:p>
            <w:pPr>
              <w:pStyle w:val="TableContents"/>
              <w:bidi w:val="0"/>
              <w:spacing w:before="0" w:after="283"/>
              <w:jc w:val="left"/>
              <w:rPr/>
            </w:pPr>
            <w:r>
              <w:rPr/>
              <w:t> </w:t>
            </w:r>
          </w:p>
        </w:tc>
      </w:tr>
      <w:tr>
        <w:trPr/>
        <w:tc>
          <w:tcPr>
            <w:tcW w:w="5525" w:type="dxa"/>
            <w:tcBorders/>
            <w:shd w:fill="FFFFFF" w:val="clear"/>
            <w:vAlign w:val="center"/>
          </w:tcPr>
          <w:p>
            <w:pPr>
              <w:pStyle w:val="TableContents"/>
              <w:bidi w:val="0"/>
              <w:spacing w:before="0" w:after="283"/>
              <w:jc w:val="left"/>
              <w:rPr/>
            </w:pPr>
            <w:r>
              <w:rPr/>
              <w:t>Direct mail revenues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bookmarkStart w:id="282" w:name="xdx_98A_eus-gaap--OtherOperatingIncome_p"/>
            <w:bookmarkEnd w:id="282"/>
          </w:p>
        </w:tc>
        <w:tc>
          <w:tcPr>
            <w:tcW w:w="814" w:type="dxa"/>
            <w:tcBorders/>
            <w:shd w:fill="FFFFFF" w:val="clear"/>
            <w:vAlign w:val="center"/>
          </w:tcPr>
          <w:p>
            <w:pPr>
              <w:pStyle w:val="TableContents"/>
              <w:bidi w:val="0"/>
              <w:spacing w:before="0" w:after="283"/>
              <w:jc w:val="right"/>
              <w:rPr/>
            </w:pPr>
            <w:r>
              <w:rPr/>
              <w:t>–</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bookmarkStart w:id="283" w:name="xdx_984_eus-gaap--OtherOperatingIncome_p"/>
            <w:bookmarkEnd w:id="283"/>
          </w:p>
        </w:tc>
        <w:tc>
          <w:tcPr>
            <w:tcW w:w="8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bookmarkStart w:id="284" w:name="xdx_986_eus-gaap--OtherOperatingIncome_p"/>
            <w:bookmarkEnd w:id="284"/>
          </w:p>
        </w:tc>
        <w:tc>
          <w:tcPr>
            <w:tcW w:w="764"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bookmarkStart w:id="285" w:name="xdx_985_eus-gaap--OtherOperatingIncome_p"/>
            <w:bookmarkEnd w:id="285"/>
          </w:p>
        </w:tc>
        <w:tc>
          <w:tcPr>
            <w:tcW w:w="764" w:type="dxa"/>
            <w:tcBorders/>
            <w:shd w:fill="FFFFFF" w:val="clear"/>
            <w:vAlign w:val="center"/>
          </w:tcPr>
          <w:p>
            <w:pPr>
              <w:pStyle w:val="TableContents"/>
              <w:bidi w:val="0"/>
              <w:spacing w:before="0" w:after="283"/>
              <w:jc w:val="right"/>
              <w:rPr/>
            </w:pPr>
            <w:r>
              <w:rPr/>
              <w:t>774</w:t>
            </w:r>
          </w:p>
        </w:tc>
        <w:tc>
          <w:tcPr>
            <w:tcW w:w="75" w:type="dxa"/>
            <w:tcBorders/>
            <w:shd w:fill="FFFFFF" w:val="clear"/>
            <w:vAlign w:val="center"/>
          </w:tcPr>
          <w:p>
            <w:pPr>
              <w:pStyle w:val="TableContents"/>
              <w:bidi w:val="0"/>
              <w:spacing w:before="0" w:after="283"/>
              <w:jc w:val="left"/>
              <w:rPr/>
            </w:pPr>
            <w:r>
              <w:rPr/>
              <w:t> </w:t>
            </w:r>
          </w:p>
        </w:tc>
      </w:tr>
      <w:tr>
        <w:trPr/>
        <w:tc>
          <w:tcPr>
            <w:tcW w:w="5525" w:type="dxa"/>
            <w:tcBorders/>
            <w:shd w:fill="EEEEEE" w:val="clear"/>
            <w:vAlign w:val="center"/>
          </w:tcPr>
          <w:p>
            <w:pPr>
              <w:pStyle w:val="TableContents"/>
              <w:bidi w:val="0"/>
              <w:spacing w:before="0" w:after="283"/>
              <w:jc w:val="left"/>
              <w:rPr/>
            </w:pPr>
            <w:r>
              <w:rPr/>
              <w:t>Sales tax refunds</w:t>
            </w:r>
          </w:p>
        </w:tc>
        <w:tc>
          <w:tcPr>
            <w:tcW w:w="60" w:type="dxa"/>
            <w:tcBorders/>
            <w:shd w:fill="EEEEEE" w:val="clear"/>
            <w:vAlign w:val="center"/>
          </w:tcPr>
          <w:p>
            <w:pPr>
              <w:pStyle w:val="TableContents"/>
              <w:bidi w:val="0"/>
              <w:spacing w:before="0" w:after="283"/>
              <w:jc w:val="left"/>
              <w:rPr/>
            </w:pPr>
            <w:r>
              <w:rPr/>
              <w:t> </w:t>
            </w:r>
          </w:p>
        </w:tc>
        <w:tc>
          <w:tcPr>
            <w:tcW w:w="203" w:type="dxa"/>
            <w:tcBorders/>
            <w:shd w:fill="EEEEEE" w:val="clear"/>
            <w:vAlign w:val="center"/>
          </w:tcPr>
          <w:p>
            <w:pPr>
              <w:pStyle w:val="TableContents"/>
              <w:bidi w:val="0"/>
              <w:spacing w:before="0" w:after="283"/>
              <w:jc w:val="left"/>
              <w:rPr/>
            </w:pPr>
            <w:r>
              <w:rPr/>
              <w:t> </w:t>
            </w:r>
            <w:bookmarkStart w:id="286" w:name="xdx_987_eus-gaap--OtherOperatingIncome_p"/>
            <w:bookmarkEnd w:id="286"/>
          </w:p>
        </w:tc>
        <w:tc>
          <w:tcPr>
            <w:tcW w:w="814" w:type="dxa"/>
            <w:tcBorders/>
            <w:shd w:fill="EEEEEE" w:val="clear"/>
            <w:vAlign w:val="center"/>
          </w:tcPr>
          <w:p>
            <w:pPr>
              <w:pStyle w:val="TableContents"/>
              <w:bidi w:val="0"/>
              <w:spacing w:before="0" w:after="283"/>
              <w:jc w:val="right"/>
              <w:rPr/>
            </w:pPr>
            <w:r>
              <w:rPr/>
              <w:t>256</w:t>
            </w:r>
          </w:p>
        </w:tc>
        <w:tc>
          <w:tcPr>
            <w:tcW w:w="87" w:type="dxa"/>
            <w:tcBorders/>
            <w:shd w:fill="EEEEEE" w:val="clear"/>
            <w:vAlign w:val="center"/>
          </w:tcPr>
          <w:p>
            <w:pPr>
              <w:pStyle w:val="TableContents"/>
              <w:bidi w:val="0"/>
              <w:spacing w:before="0" w:after="283"/>
              <w:jc w:val="left"/>
              <w:rPr/>
            </w:pPr>
            <w:r>
              <w:rPr/>
              <w:t> </w:t>
            </w:r>
          </w:p>
        </w:tc>
        <w:tc>
          <w:tcPr>
            <w:tcW w:w="87" w:type="dxa"/>
            <w:tcBorders/>
            <w:shd w:fill="EEEEEE" w:val="clear"/>
            <w:vAlign w:val="center"/>
          </w:tcPr>
          <w:p>
            <w:pPr>
              <w:pStyle w:val="TableContents"/>
              <w:bidi w:val="0"/>
              <w:spacing w:before="0" w:after="283"/>
              <w:jc w:val="left"/>
              <w:rPr/>
            </w:pPr>
            <w:r>
              <w:rPr/>
              <w:t> </w:t>
            </w:r>
          </w:p>
        </w:tc>
        <w:tc>
          <w:tcPr>
            <w:tcW w:w="203" w:type="dxa"/>
            <w:tcBorders/>
            <w:shd w:fill="EEEEEE" w:val="clear"/>
            <w:vAlign w:val="center"/>
          </w:tcPr>
          <w:p>
            <w:pPr>
              <w:pStyle w:val="TableContents"/>
              <w:bidi w:val="0"/>
              <w:spacing w:before="0" w:after="283"/>
              <w:jc w:val="left"/>
              <w:rPr/>
            </w:pPr>
            <w:r>
              <w:rPr/>
              <w:t> </w:t>
            </w:r>
            <w:bookmarkStart w:id="287" w:name="xdx_98F_eus-gaap--OtherOperatingIncome_p"/>
            <w:bookmarkEnd w:id="287"/>
          </w:p>
        </w:tc>
        <w:tc>
          <w:tcPr>
            <w:tcW w:w="814" w:type="dxa"/>
            <w:tcBorders/>
            <w:shd w:fill="EEEEEE" w:val="clear"/>
            <w:vAlign w:val="center"/>
          </w:tcPr>
          <w:p>
            <w:pPr>
              <w:pStyle w:val="TableContents"/>
              <w:bidi w:val="0"/>
              <w:spacing w:before="0" w:after="283"/>
              <w:jc w:val="right"/>
              <w:rPr/>
            </w:pPr>
            <w:r>
              <w:rPr/>
              <w:t>209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91" w:type="dxa"/>
            <w:tcBorders/>
            <w:shd w:fill="EEEEEE" w:val="clear"/>
            <w:vAlign w:val="center"/>
          </w:tcPr>
          <w:p>
            <w:pPr>
              <w:pStyle w:val="TableContents"/>
              <w:bidi w:val="0"/>
              <w:spacing w:before="0" w:after="283"/>
              <w:jc w:val="left"/>
              <w:rPr/>
            </w:pPr>
            <w:r>
              <w:rPr/>
              <w:t> </w:t>
            </w:r>
            <w:bookmarkStart w:id="288" w:name="xdx_98F_eus-gaap--OtherOperatingIncome_p"/>
            <w:bookmarkEnd w:id="288"/>
          </w:p>
        </w:tc>
        <w:tc>
          <w:tcPr>
            <w:tcW w:w="764" w:type="dxa"/>
            <w:tcBorders/>
            <w:shd w:fill="EEEEEE" w:val="clear"/>
            <w:vAlign w:val="center"/>
          </w:tcPr>
          <w:p>
            <w:pPr>
              <w:pStyle w:val="TableContents"/>
              <w:bidi w:val="0"/>
              <w:spacing w:before="0" w:after="283"/>
              <w:jc w:val="right"/>
              <w:rPr/>
            </w:pPr>
            <w:r>
              <w:rPr/>
              <w:t>780</w:t>
            </w:r>
          </w:p>
        </w:tc>
        <w:tc>
          <w:tcPr>
            <w:tcW w:w="81" w:type="dxa"/>
            <w:tcBorders/>
            <w:shd w:fill="EEEEEE" w:val="clear"/>
            <w:vAlign w:val="center"/>
          </w:tcPr>
          <w:p>
            <w:pPr>
              <w:pStyle w:val="TableContents"/>
              <w:bidi w:val="0"/>
              <w:spacing w:before="0" w:after="283"/>
              <w:jc w:val="left"/>
              <w:rPr/>
            </w:pPr>
            <w:r>
              <w:rPr/>
              <w:t> </w:t>
            </w:r>
          </w:p>
        </w:tc>
        <w:tc>
          <w:tcPr>
            <w:tcW w:w="81" w:type="dxa"/>
            <w:tcBorders/>
            <w:shd w:fill="EEEEEE" w:val="clear"/>
            <w:vAlign w:val="center"/>
          </w:tcPr>
          <w:p>
            <w:pPr>
              <w:pStyle w:val="TableContents"/>
              <w:bidi w:val="0"/>
              <w:spacing w:before="0" w:after="283"/>
              <w:jc w:val="left"/>
              <w:rPr/>
            </w:pPr>
            <w:r>
              <w:rPr/>
              <w:t> </w:t>
            </w:r>
          </w:p>
        </w:tc>
        <w:tc>
          <w:tcPr>
            <w:tcW w:w="191" w:type="dxa"/>
            <w:tcBorders/>
            <w:shd w:fill="EEEEEE" w:val="clear"/>
            <w:vAlign w:val="center"/>
          </w:tcPr>
          <w:p>
            <w:pPr>
              <w:pStyle w:val="TableContents"/>
              <w:bidi w:val="0"/>
              <w:spacing w:before="0" w:after="283"/>
              <w:jc w:val="left"/>
              <w:rPr/>
            </w:pPr>
            <w:r>
              <w:rPr/>
              <w:t> </w:t>
            </w:r>
            <w:bookmarkStart w:id="289" w:name="xdx_987_eus-gaap--OtherOperatingIncome_p"/>
            <w:bookmarkEnd w:id="289"/>
          </w:p>
        </w:tc>
        <w:tc>
          <w:tcPr>
            <w:tcW w:w="764" w:type="dxa"/>
            <w:tcBorders/>
            <w:shd w:fill="EEEEEE" w:val="clear"/>
            <w:vAlign w:val="center"/>
          </w:tcPr>
          <w:p>
            <w:pPr>
              <w:pStyle w:val="TableContents"/>
              <w:bidi w:val="0"/>
              <w:spacing w:before="0" w:after="283"/>
              <w:jc w:val="right"/>
              <w:rPr/>
            </w:pPr>
            <w:r>
              <w:rPr/>
              <w:t>512</w:t>
            </w:r>
          </w:p>
        </w:tc>
        <w:tc>
          <w:tcPr>
            <w:tcW w:w="75" w:type="dxa"/>
            <w:tcBorders/>
            <w:shd w:fill="EEEEEE" w:val="clear"/>
            <w:vAlign w:val="center"/>
          </w:tcPr>
          <w:p>
            <w:pPr>
              <w:pStyle w:val="TableContents"/>
              <w:bidi w:val="0"/>
              <w:spacing w:before="0" w:after="283"/>
              <w:jc w:val="left"/>
              <w:rPr/>
            </w:pPr>
            <w:r>
              <w:rPr/>
              <w:t> </w:t>
            </w:r>
          </w:p>
        </w:tc>
      </w:tr>
      <w:tr>
        <w:trPr/>
        <w:tc>
          <w:tcPr>
            <w:tcW w:w="552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90" w:name="xdx_98E_eus-gaap--OtherOperatingIncome_p"/>
            <w:bookmarkEnd w:id="290"/>
          </w:p>
        </w:tc>
        <w:tc>
          <w:tcPr>
            <w:tcW w:w="814" w:type="dxa"/>
            <w:tcBorders>
              <w:bottom w:val="single" w:sz="8" w:space="0" w:color="000000"/>
            </w:tcBorders>
            <w:shd w:fill="FFFFFF" w:val="clear"/>
            <w:tcMar>
              <w:bottom w:w="28" w:type="dxa"/>
            </w:tcMar>
            <w:vAlign w:val="center"/>
          </w:tcPr>
          <w:p>
            <w:pPr>
              <w:pStyle w:val="TableContents"/>
              <w:bidi w:val="0"/>
              <w:spacing w:before="0" w:after="283"/>
              <w:jc w:val="right"/>
              <w:rPr/>
            </w:pPr>
            <w:r>
              <w:rPr/>
              <w:t>16</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91" w:name="xdx_986_eus-gaap--OtherOperatingIncome_p"/>
            <w:bookmarkEnd w:id="291"/>
          </w:p>
        </w:tc>
        <w:tc>
          <w:tcPr>
            <w:tcW w:w="814" w:type="dxa"/>
            <w:tcBorders>
              <w:bottom w:val="single" w:sz="8" w:space="0" w:color="000000"/>
            </w:tcBorders>
            <w:shd w:fill="FFFFFF" w:val="clear"/>
            <w:tcMar>
              <w:bottom w:w="28" w:type="dxa"/>
            </w:tcMar>
            <w:vAlign w:val="center"/>
          </w:tcPr>
          <w:p>
            <w:pPr>
              <w:pStyle w:val="TableContents"/>
              <w:bidi w:val="0"/>
              <w:spacing w:before="0" w:after="283"/>
              <w:jc w:val="right"/>
              <w:rPr/>
            </w:pPr>
            <w:r>
              <w:rPr/>
              <w:t>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92" w:name="xdx_982_eus-gaap--OtherOperatingIncome_p"/>
            <w:bookmarkEnd w:id="292"/>
          </w:p>
        </w:tc>
        <w:tc>
          <w:tcPr>
            <w:tcW w:w="764" w:type="dxa"/>
            <w:tcBorders>
              <w:bottom w:val="single" w:sz="8" w:space="0" w:color="000000"/>
            </w:tcBorders>
            <w:shd w:fill="FFFFFF" w:val="clear"/>
            <w:tcMar>
              <w:bottom w:w="28" w:type="dxa"/>
            </w:tcMar>
            <w:vAlign w:val="center"/>
          </w:tcPr>
          <w:p>
            <w:pPr>
              <w:pStyle w:val="TableContents"/>
              <w:bidi w:val="0"/>
              <w:spacing w:before="0" w:after="283"/>
              <w:jc w:val="right"/>
              <w:rPr/>
            </w:pPr>
            <w:r>
              <w:rPr/>
              <w:t>90</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93" w:name="xdx_989_eus-gaap--OtherOperatingIncome_p"/>
            <w:bookmarkEnd w:id="293"/>
          </w:p>
        </w:tc>
        <w:tc>
          <w:tcPr>
            <w:tcW w:w="764" w:type="dxa"/>
            <w:tcBorders>
              <w:bottom w:val="single" w:sz="8" w:space="0" w:color="000000"/>
            </w:tcBorders>
            <w:shd w:fill="FFFFFF" w:val="clear"/>
            <w:tcMar>
              <w:bottom w:w="28" w:type="dxa"/>
            </w:tcMar>
            <w:vAlign w:val="center"/>
          </w:tcPr>
          <w:p>
            <w:pPr>
              <w:pStyle w:val="TableContents"/>
              <w:bidi w:val="0"/>
              <w:spacing w:before="0" w:after="283"/>
              <w:jc w:val="right"/>
              <w:rPr/>
            </w:pPr>
            <w:r>
              <w:rPr/>
              <w:t>305</w:t>
            </w:r>
          </w:p>
        </w:tc>
        <w:tc>
          <w:tcPr>
            <w:tcW w:w="75" w:type="dxa"/>
            <w:tcBorders/>
            <w:shd w:fill="FFFFFF" w:val="clear"/>
            <w:vAlign w:val="center"/>
          </w:tcPr>
          <w:p>
            <w:pPr>
              <w:pStyle w:val="TableContents"/>
              <w:bidi w:val="0"/>
              <w:spacing w:before="0" w:after="283"/>
              <w:jc w:val="left"/>
              <w:rPr/>
            </w:pPr>
            <w:r>
              <w:rPr/>
              <w:t> </w:t>
            </w:r>
          </w:p>
        </w:tc>
      </w:tr>
      <w:tr>
        <w:trPr/>
        <w:tc>
          <w:tcPr>
            <w:tcW w:w="5525" w:type="dxa"/>
            <w:tcBorders/>
            <w:shd w:fill="EEEEEE" w:val="clear"/>
            <w:vAlign w:val="center"/>
          </w:tcPr>
          <w:p>
            <w:pPr>
              <w:pStyle w:val="TableContents"/>
              <w:bidi w:val="0"/>
              <w:spacing w:before="0" w:after="283"/>
              <w:jc w:val="left"/>
              <w:rPr/>
            </w:pPr>
            <w:r>
              <w:rPr/>
              <w:t>Other income for the period</w:t>
            </w:r>
          </w:p>
        </w:tc>
        <w:tc>
          <w:tcPr>
            <w:tcW w:w="60" w:type="dxa"/>
            <w:tcBorders/>
            <w:shd w:fill="EEEEEE" w:val="clear"/>
            <w:vAlign w:val="center"/>
          </w:tcPr>
          <w:p>
            <w:pPr>
              <w:pStyle w:val="TableContents"/>
              <w:bidi w:val="0"/>
              <w:spacing w:before="0" w:after="283"/>
              <w:jc w:val="left"/>
              <w:rPr/>
            </w:pPr>
            <w:r>
              <w:rPr/>
              <w:t> </w:t>
            </w:r>
          </w:p>
        </w:tc>
        <w:tc>
          <w:tcPr>
            <w:tcW w:w="203"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294" w:name="xdx_983_eus-gaap--OtherOperatingIncome_p"/>
            <w:bookmarkEnd w:id="294"/>
          </w:p>
        </w:tc>
        <w:tc>
          <w:tcPr>
            <w:tcW w:w="814" w:type="dxa"/>
            <w:tcBorders>
              <w:bottom w:val="double" w:sz="6" w:space="0" w:color="000000"/>
            </w:tcBorders>
            <w:shd w:fill="EEEEEE" w:val="clear"/>
            <w:tcMar>
              <w:bottom w:w="28" w:type="dxa"/>
            </w:tcMar>
            <w:vAlign w:val="center"/>
          </w:tcPr>
          <w:p>
            <w:pPr>
              <w:pStyle w:val="TableContents"/>
              <w:bidi w:val="0"/>
              <w:spacing w:before="0" w:after="283"/>
              <w:jc w:val="right"/>
              <w:rPr/>
            </w:pPr>
            <w:r>
              <w:rPr/>
              <w:t>2,818</w:t>
            </w:r>
          </w:p>
        </w:tc>
        <w:tc>
          <w:tcPr>
            <w:tcW w:w="87" w:type="dxa"/>
            <w:tcBorders/>
            <w:shd w:fill="EEEEEE" w:val="clear"/>
            <w:vAlign w:val="center"/>
          </w:tcPr>
          <w:p>
            <w:pPr>
              <w:pStyle w:val="TableContents"/>
              <w:bidi w:val="0"/>
              <w:spacing w:before="0" w:after="283"/>
              <w:jc w:val="left"/>
              <w:rPr/>
            </w:pPr>
            <w:r>
              <w:rPr/>
              <w:t> </w:t>
            </w:r>
          </w:p>
        </w:tc>
        <w:tc>
          <w:tcPr>
            <w:tcW w:w="87" w:type="dxa"/>
            <w:tcBorders/>
            <w:shd w:fill="EEEEEE" w:val="clear"/>
            <w:vAlign w:val="center"/>
          </w:tcPr>
          <w:p>
            <w:pPr>
              <w:pStyle w:val="TableContents"/>
              <w:bidi w:val="0"/>
              <w:spacing w:before="0" w:after="283"/>
              <w:jc w:val="left"/>
              <w:rPr/>
            </w:pPr>
            <w:r>
              <w:rPr/>
              <w:t> </w:t>
            </w:r>
          </w:p>
        </w:tc>
        <w:tc>
          <w:tcPr>
            <w:tcW w:w="203"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295" w:name="xdx_984_eus-gaap--OtherOperatingIncome_p"/>
            <w:bookmarkEnd w:id="295"/>
          </w:p>
        </w:tc>
        <w:tc>
          <w:tcPr>
            <w:tcW w:w="814" w:type="dxa"/>
            <w:tcBorders>
              <w:bottom w:val="double" w:sz="6" w:space="0" w:color="000000"/>
            </w:tcBorders>
            <w:shd w:fill="EEEEEE" w:val="clear"/>
            <w:tcMar>
              <w:bottom w:w="28" w:type="dxa"/>
            </w:tcMar>
            <w:vAlign w:val="center"/>
          </w:tcPr>
          <w:p>
            <w:pPr>
              <w:pStyle w:val="TableContents"/>
              <w:bidi w:val="0"/>
              <w:spacing w:before="0" w:after="283"/>
              <w:jc w:val="right"/>
              <w:rPr/>
            </w:pPr>
            <w:r>
              <w:rPr/>
              <w:t>2,305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91"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296" w:name="xdx_988_eus-gaap--OtherOperatingIncome_p"/>
            <w:bookmarkEnd w:id="296"/>
          </w:p>
        </w:tc>
        <w:tc>
          <w:tcPr>
            <w:tcW w:w="764" w:type="dxa"/>
            <w:tcBorders>
              <w:bottom w:val="double" w:sz="6" w:space="0" w:color="000000"/>
            </w:tcBorders>
            <w:shd w:fill="EEEEEE" w:val="clear"/>
            <w:tcMar>
              <w:bottom w:w="28" w:type="dxa"/>
            </w:tcMar>
            <w:vAlign w:val="center"/>
          </w:tcPr>
          <w:p>
            <w:pPr>
              <w:pStyle w:val="TableContents"/>
              <w:bidi w:val="0"/>
              <w:spacing w:before="0" w:after="283"/>
              <w:jc w:val="right"/>
              <w:rPr/>
            </w:pPr>
            <w:r>
              <w:rPr/>
              <w:t>8,077</w:t>
            </w:r>
          </w:p>
        </w:tc>
        <w:tc>
          <w:tcPr>
            <w:tcW w:w="81" w:type="dxa"/>
            <w:tcBorders/>
            <w:shd w:fill="EEEEEE" w:val="clear"/>
            <w:vAlign w:val="center"/>
          </w:tcPr>
          <w:p>
            <w:pPr>
              <w:pStyle w:val="TableContents"/>
              <w:bidi w:val="0"/>
              <w:spacing w:before="0" w:after="283"/>
              <w:jc w:val="left"/>
              <w:rPr/>
            </w:pPr>
            <w:r>
              <w:rPr/>
              <w:t> </w:t>
            </w:r>
          </w:p>
        </w:tc>
        <w:tc>
          <w:tcPr>
            <w:tcW w:w="81" w:type="dxa"/>
            <w:tcBorders/>
            <w:shd w:fill="EEEEEE" w:val="clear"/>
            <w:vAlign w:val="center"/>
          </w:tcPr>
          <w:p>
            <w:pPr>
              <w:pStyle w:val="TableContents"/>
              <w:bidi w:val="0"/>
              <w:spacing w:before="0" w:after="283"/>
              <w:jc w:val="left"/>
              <w:rPr/>
            </w:pPr>
            <w:r>
              <w:rPr/>
              <w:t> </w:t>
            </w:r>
          </w:p>
        </w:tc>
        <w:tc>
          <w:tcPr>
            <w:tcW w:w="191"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297" w:name="xdx_985_eus-gaap--OtherOperatingIncome_p"/>
            <w:bookmarkEnd w:id="297"/>
          </w:p>
        </w:tc>
        <w:tc>
          <w:tcPr>
            <w:tcW w:w="764" w:type="dxa"/>
            <w:tcBorders>
              <w:bottom w:val="double" w:sz="6" w:space="0" w:color="000000"/>
            </w:tcBorders>
            <w:shd w:fill="EEEEEE" w:val="clear"/>
            <w:tcMar>
              <w:bottom w:w="28" w:type="dxa"/>
            </w:tcMar>
            <w:vAlign w:val="center"/>
          </w:tcPr>
          <w:p>
            <w:pPr>
              <w:pStyle w:val="TableContents"/>
              <w:bidi w:val="0"/>
              <w:spacing w:before="0" w:after="283"/>
              <w:jc w:val="right"/>
              <w:rPr/>
            </w:pPr>
            <w:r>
              <w:rPr/>
              <w:t>5,859</w:t>
            </w:r>
          </w:p>
        </w:tc>
        <w:tc>
          <w:tcPr>
            <w:tcW w:w="75"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bookmarkStart w:id="298" w:name="xdx_8A6_zS0GszlOSaT5"/>
      <w:bookmarkEnd w:id="298"/>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9" w:name="xdx_86E_z0NPqq4KCGl8"/>
      <w:bookmarkStart w:id="300" w:name="xdx_84F_eus-gaap--LesseeLeasesPolicyText"/>
      <w:bookmarkEnd w:id="299"/>
      <w:bookmarkEnd w:id="300"/>
      <w:r>
        <w:rPr>
          <w:rFonts w:ascii="Times New Roman;Times;Serif" w:hAnsi="Times New Roman;Times;Serif"/>
          <w:b/>
          <w:i w:val="false"/>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operating leases for corporate offices, equipment, software and hardware. The Company has entered into operating leases for the majority of its real estate locations, primarily office space. These leases are generally for periods of three to seven years with various renewal options. The depreciable life of leased assets is limited by the expected lease term. Leases with an initial term of 12 months or less are not recorded on the balance sheet and the related lease expense is recognized on a straight-line basis over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301" w:name="xdx_23D_zUfsggKv9eIj"/>
      <w:bookmarkEnd w:id="301"/>
      <w:r>
        <w:rPr>
          <w:caps w:val="false"/>
          <w:smallCaps w:val="false"/>
        </w:rPr>
        <w:t> </w:t>
      </w:r>
    </w:p>
    <w:p>
      <w:pPr>
        <w:pStyle w:val="TextBody"/>
        <w:bidi w:val="0"/>
        <w:spacing w:before="0" w:after="0"/>
        <w:ind w:left="0" w:right="0" w:hanging="0"/>
        <w:jc w:val="both"/>
        <w:rPr>
          <w:caps w:val="false"/>
          <w:smallCaps w:val="false"/>
        </w:rPr>
      </w:pPr>
      <w:bookmarkStart w:id="302" w:name="xdx_23B_zENO1h9KE6Z7"/>
      <w:bookmarkEnd w:id="302"/>
      <w:r>
        <w:rPr>
          <w:caps w:val="false"/>
          <w:smallCaps w:val="false"/>
        </w:rPr>
        <w:t> </w:t>
      </w:r>
    </w:p>
    <w:p>
      <w:pPr>
        <w:pStyle w:val="Normal"/>
        <w:bidi w:val="0"/>
        <w:spacing w:before="0" w:after="0"/>
        <w:ind w:left="0" w:right="0" w:hanging="0"/>
        <w:jc w:val="left"/>
        <w:rPr>
          <w:sz w:val="4"/>
          <w:szCs w:val="4"/>
        </w:rPr>
      </w:pPr>
      <w:r>
        <w:rPr>
          <w:sz w:val="4"/>
          <w:szCs w:val="4"/>
        </w:rPr>
      </w:r>
      <w:bookmarkStart w:id="303" w:name="xdx_233_ziBKEe7MSZv5"/>
      <w:bookmarkStart w:id="304" w:name="xdx_230_zC3FozcaIuu8"/>
      <w:bookmarkStart w:id="305" w:name="xdx_233_ziBKEe7MSZv5"/>
      <w:bookmarkStart w:id="306" w:name="xdx_230_zC3FozcaIuu8"/>
      <w:bookmarkEnd w:id="305"/>
      <w:bookmarkEnd w:id="306"/>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bookmarkStart w:id="307" w:name="xdx_23C_zkrd4RidRt78"/>
            <w:bookmarkEnd w:id="307"/>
          </w:p>
        </w:tc>
        <w:tc>
          <w:tcPr>
            <w:tcW w:w="75" w:type="dxa"/>
            <w:tcBorders/>
            <w:vAlign w:val="center"/>
          </w:tcPr>
          <w:p>
            <w:pPr>
              <w:pStyle w:val="TableContents"/>
              <w:bidi w:val="0"/>
              <w:spacing w:before="0" w:after="283"/>
              <w:jc w:val="right"/>
              <w:rPr/>
            </w:pPr>
            <w:r>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308" w:name="xdx_23E_z6aN0HgfzEk4"/>
      <w:bookmarkEnd w:id="308"/>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9" w:name="xdx_23F_zupOFXt9Ecvb"/>
      <w:bookmarkStart w:id="310" w:name="xdx_233_zdvZkBg0xSX6"/>
      <w:bookmarkEnd w:id="309"/>
      <w:bookmarkEnd w:id="310"/>
      <w:r>
        <w:rPr>
          <w:rFonts w:ascii="Times New Roman;Times;Serif" w:hAnsi="Times New Roman;Times;Serif"/>
          <w:b/>
          <w:i w:val="false"/>
          <w:caps w:val="false"/>
          <w:smallCaps w:val="false"/>
          <w:sz w:val="20"/>
        </w:rPr>
        <w:t>CONSUMER PORTFOLIO SERVICES,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1" w:name="xdx_235_zWPg2Ou13gz5"/>
      <w:bookmarkStart w:id="312" w:name="xdx_235_zjyYyz1EYj69"/>
      <w:bookmarkEnd w:id="311"/>
      <w:bookmarkEnd w:id="312"/>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bookmarkStart w:id="313" w:name="xdx_239_zxsH0ElQacr3"/>
      <w:bookmarkEnd w:id="313"/>
      <w:r>
        <w:rPr>
          <w:caps w:val="false"/>
          <w:smallCaps w:val="false"/>
        </w:rPr>
        <w:t> </w:t>
      </w:r>
    </w:p>
    <w:p>
      <w:pPr>
        <w:pStyle w:val="TextBody"/>
        <w:bidi w:val="0"/>
        <w:spacing w:before="0" w:after="0"/>
        <w:ind w:left="0" w:right="0" w:hanging="0"/>
        <w:jc w:val="center"/>
        <w:rPr>
          <w:caps w:val="false"/>
          <w:smallCaps w:val="false"/>
        </w:rPr>
      </w:pPr>
      <w:bookmarkStart w:id="314" w:name="xdx_23B_z6pcVLeHwYy8"/>
      <w:bookmarkEnd w:id="314"/>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supplemental balance sheet information related to leases:</w:t>
      </w:r>
    </w:p>
    <w:p>
      <w:pPr>
        <w:pStyle w:val="Normal"/>
        <w:bidi w:val="0"/>
        <w:spacing w:before="0" w:after="0"/>
        <w:jc w:val="left"/>
        <w:rPr>
          <w:sz w:val="4"/>
          <w:szCs w:val="4"/>
        </w:rPr>
      </w:pPr>
      <w:r>
        <w:rPr>
          <w:sz w:val="4"/>
          <w:szCs w:val="4"/>
        </w:rPr>
      </w:r>
      <w:bookmarkStart w:id="315" w:name="xdx_89A_ecustom--SupplementalBalanceShee"/>
      <w:bookmarkStart w:id="316" w:name="xdx_89A_ecustom--SupplementalBalanceShee"/>
      <w:bookmarkEnd w:id="316"/>
    </w:p>
    <w:tbl>
      <w:tblPr>
        <w:tblW w:w="9938" w:type="dxa"/>
        <w:jc w:val="left"/>
        <w:tblInd w:w="0" w:type="dxa"/>
        <w:tblLayout w:type="fixed"/>
        <w:tblCellMar>
          <w:top w:w="0" w:type="dxa"/>
          <w:left w:w="0" w:type="dxa"/>
          <w:bottom w:w="0" w:type="dxa"/>
          <w:right w:w="0" w:type="dxa"/>
        </w:tblCellMar>
      </w:tblPr>
      <w:tblGrid>
        <w:gridCol w:w="6485"/>
        <w:gridCol w:w="60"/>
        <w:gridCol w:w="230"/>
        <w:gridCol w:w="1244"/>
        <w:gridCol w:w="215"/>
        <w:gridCol w:w="60"/>
        <w:gridCol w:w="221"/>
        <w:gridCol w:w="1193"/>
        <w:gridCol w:w="230"/>
      </w:tblGrid>
      <w:tr>
        <w:trPr/>
        <w:tc>
          <w:tcPr>
            <w:tcW w:w="6485" w:type="dxa"/>
            <w:tcBorders/>
            <w:vAlign w:val="center"/>
          </w:tcPr>
          <w:p>
            <w:pPr>
              <w:pStyle w:val="TableContents"/>
              <w:bidi w:val="0"/>
              <w:spacing w:before="0" w:after="283"/>
              <w:jc w:val="left"/>
              <w:rPr/>
            </w:pPr>
            <w:bookmarkStart w:id="317" w:name="xdx_8B1_znkZNbp2JHda"/>
            <w:bookmarkEnd w:id="317"/>
            <w:r>
              <w:rPr/>
              <w:t>Schedule of supplemental balance sheet information related to leases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bookmarkStart w:id="318" w:name="xdx_49E_20230930_zAztQamxthE5"/>
            <w:bookmarkEnd w:id="318"/>
          </w:p>
        </w:tc>
        <w:tc>
          <w:tcPr>
            <w:tcW w:w="1244" w:type="dxa"/>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bookmarkStart w:id="319" w:name="xdx_49E_20221231_zdjytGmipSD6"/>
            <w:bookmarkEnd w:id="319"/>
          </w:p>
        </w:tc>
        <w:tc>
          <w:tcPr>
            <w:tcW w:w="1193" w:type="dxa"/>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6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center"/>
              <w:rPr>
                <w:b/>
              </w:rPr>
            </w:pPr>
            <w:r>
              <w:rPr>
                <w:b/>
              </w:rPr>
              <w:t>September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230" w:type="dxa"/>
            <w:tcBorders/>
            <w:vAlign w:val="center"/>
          </w:tcPr>
          <w:p>
            <w:pPr>
              <w:pStyle w:val="TableContents"/>
              <w:bidi w:val="0"/>
              <w:spacing w:before="0" w:after="283"/>
              <w:jc w:val="left"/>
              <w:rPr/>
            </w:pPr>
            <w:r>
              <w:rPr/>
              <w:t> </w:t>
            </w:r>
          </w:p>
        </w:tc>
      </w:tr>
      <w:tr>
        <w:trPr/>
        <w:tc>
          <w:tcPr>
            <w:tcW w:w="6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230" w:type="dxa"/>
            <w:tcBorders/>
            <w:vAlign w:val="center"/>
          </w:tcPr>
          <w:p>
            <w:pPr>
              <w:pStyle w:val="TableContents"/>
              <w:bidi w:val="0"/>
              <w:spacing w:before="0" w:after="283"/>
              <w:jc w:val="left"/>
              <w:rPr/>
            </w:pPr>
            <w:r>
              <w:rPr/>
              <w:t> </w:t>
            </w:r>
          </w:p>
        </w:tc>
      </w:tr>
      <w:tr>
        <w:trPr/>
        <w:tc>
          <w:tcPr>
            <w:tcW w:w="6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3" w:type="dxa"/>
            <w:gridSpan w:val="6"/>
            <w:tcBorders/>
            <w:vAlign w:val="center"/>
          </w:tcPr>
          <w:p>
            <w:pPr>
              <w:pStyle w:val="TableContents"/>
              <w:bidi w:val="0"/>
              <w:spacing w:before="0" w:after="283"/>
              <w:jc w:val="center"/>
              <w:rPr>
                <w:b/>
              </w:rPr>
            </w:pPr>
            <w:r>
              <w:rPr>
                <w:b/>
              </w:rPr>
              <w:t>(In thousands)</w:t>
            </w:r>
          </w:p>
        </w:tc>
        <w:tc>
          <w:tcPr>
            <w:tcW w:w="230" w:type="dxa"/>
            <w:tcBorders/>
            <w:vAlign w:val="center"/>
          </w:tcPr>
          <w:p>
            <w:pPr>
              <w:pStyle w:val="TableContents"/>
              <w:bidi w:val="0"/>
              <w:spacing w:before="0" w:after="283"/>
              <w:jc w:val="left"/>
              <w:rPr/>
            </w:pPr>
            <w:r>
              <w:rPr/>
              <w:t> </w:t>
            </w:r>
            <w:bookmarkStart w:id="320" w:name="xdx_404_eus-gaap--LeasesOperatingAbstrac"/>
            <w:bookmarkEnd w:id="320"/>
          </w:p>
        </w:tc>
      </w:tr>
      <w:tr>
        <w:trPr/>
        <w:tc>
          <w:tcPr>
            <w:tcW w:w="6485" w:type="dxa"/>
            <w:tcBorders/>
            <w:shd w:fill="EEEEEE" w:val="clear"/>
            <w:vAlign w:val="center"/>
          </w:tcPr>
          <w:p>
            <w:pPr>
              <w:pStyle w:val="TableContents"/>
              <w:bidi w:val="0"/>
              <w:spacing w:before="0" w:after="283"/>
              <w:jc w:val="left"/>
              <w:rPr>
                <w:b/>
              </w:rPr>
            </w:pPr>
            <w:r>
              <w:rPr>
                <w:b/>
              </w:rPr>
              <w:t>Operating Leases</w:t>
            </w:r>
          </w:p>
        </w:tc>
        <w:tc>
          <w:tcPr>
            <w:tcW w:w="60" w:type="dxa"/>
            <w:tcBorders/>
            <w:shd w:fill="EEEEEE" w:val="clear"/>
            <w:vAlign w:val="center"/>
          </w:tcPr>
          <w:p>
            <w:pPr>
              <w:pStyle w:val="TableContents"/>
              <w:bidi w:val="0"/>
              <w:spacing w:before="0" w:after="283"/>
              <w:jc w:val="left"/>
              <w:rPr/>
            </w:pPr>
            <w:r>
              <w:rPr/>
              <w:t> </w:t>
            </w:r>
          </w:p>
        </w:tc>
        <w:tc>
          <w:tcPr>
            <w:tcW w:w="230" w:type="dxa"/>
            <w:tcBorders/>
            <w:shd w:fill="EEEEEE" w:val="clear"/>
            <w:vAlign w:val="center"/>
          </w:tcPr>
          <w:p>
            <w:pPr>
              <w:pStyle w:val="TableContents"/>
              <w:bidi w:val="0"/>
              <w:spacing w:before="0" w:after="283"/>
              <w:jc w:val="left"/>
              <w:rPr/>
            </w:pPr>
            <w:r>
              <w:rPr/>
              <w:t> </w:t>
            </w:r>
          </w:p>
        </w:tc>
        <w:tc>
          <w:tcPr>
            <w:tcW w:w="1244" w:type="dxa"/>
            <w:tcBorders/>
            <w:shd w:fill="EEEEEE" w:val="clear"/>
            <w:vAlign w:val="center"/>
          </w:tcPr>
          <w:p>
            <w:pPr>
              <w:pStyle w:val="TableContents"/>
              <w:bidi w:val="0"/>
              <w:spacing w:before="0" w:after="283"/>
              <w:jc w:val="right"/>
              <w:rPr/>
            </w:pPr>
            <w:r>
              <w:rPr/>
              <w:t> </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21" w:type="dxa"/>
            <w:tcBorders/>
            <w:shd w:fill="EEEEEE" w:val="clear"/>
            <w:vAlign w:val="center"/>
          </w:tcPr>
          <w:p>
            <w:pPr>
              <w:pStyle w:val="TableContents"/>
              <w:bidi w:val="0"/>
              <w:spacing w:before="0" w:after="283"/>
              <w:jc w:val="left"/>
              <w:rPr/>
            </w:pPr>
            <w:r>
              <w:rPr/>
              <w:t> </w:t>
            </w:r>
          </w:p>
        </w:tc>
        <w:tc>
          <w:tcPr>
            <w:tcW w:w="1193" w:type="dxa"/>
            <w:tcBorders/>
            <w:shd w:fill="EEEEEE" w:val="clear"/>
            <w:vAlign w:val="center"/>
          </w:tcPr>
          <w:p>
            <w:pPr>
              <w:pStyle w:val="TableContents"/>
              <w:bidi w:val="0"/>
              <w:spacing w:before="0" w:after="283"/>
              <w:jc w:val="right"/>
              <w:rPr/>
            </w:pPr>
            <w:r>
              <w:rPr/>
              <w:t> </w:t>
            </w:r>
          </w:p>
        </w:tc>
        <w:tc>
          <w:tcPr>
            <w:tcW w:w="230" w:type="dxa"/>
            <w:tcBorders/>
            <w:shd w:fill="EEEEEE" w:val="clear"/>
            <w:vAlign w:val="center"/>
          </w:tcPr>
          <w:p>
            <w:pPr>
              <w:pStyle w:val="TableContents"/>
              <w:bidi w:val="0"/>
              <w:spacing w:before="0" w:after="283"/>
              <w:jc w:val="left"/>
              <w:rPr/>
            </w:pPr>
            <w:r>
              <w:rPr/>
              <w:t> </w:t>
            </w:r>
            <w:bookmarkStart w:id="321" w:name="xdx_40E_ecustom--OperatingLeaseRightOfUs"/>
            <w:bookmarkEnd w:id="321"/>
          </w:p>
        </w:tc>
      </w:tr>
      <w:tr>
        <w:trPr/>
        <w:tc>
          <w:tcPr>
            <w:tcW w:w="6485" w:type="dxa"/>
            <w:tcBorders/>
            <w:shd w:fill="FFFFFF" w:val="clear"/>
            <w:vAlign w:val="center"/>
          </w:tcPr>
          <w:p>
            <w:pPr>
              <w:pStyle w:val="TableContents"/>
              <w:bidi w:val="0"/>
              <w:spacing w:before="0" w:after="283"/>
              <w:jc w:val="left"/>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w:t>
            </w:r>
          </w:p>
        </w:tc>
        <w:tc>
          <w:tcPr>
            <w:tcW w:w="1244" w:type="dxa"/>
            <w:tcBorders/>
            <w:shd w:fill="FFFFFF" w:val="clear"/>
            <w:vAlign w:val="center"/>
          </w:tcPr>
          <w:p>
            <w:pPr>
              <w:pStyle w:val="TableContents"/>
              <w:bidi w:val="0"/>
              <w:spacing w:before="0" w:after="283"/>
              <w:jc w:val="right"/>
              <w:rPr/>
            </w:pPr>
            <w:r>
              <w:rPr/>
              <w:t>29,575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w:t>
            </w:r>
          </w:p>
        </w:tc>
        <w:tc>
          <w:tcPr>
            <w:tcW w:w="1193" w:type="dxa"/>
            <w:tcBorders/>
            <w:shd w:fill="FFFFFF" w:val="clear"/>
            <w:vAlign w:val="center"/>
          </w:tcPr>
          <w:p>
            <w:pPr>
              <w:pStyle w:val="TableContents"/>
              <w:bidi w:val="0"/>
              <w:spacing w:before="0" w:after="283"/>
              <w:jc w:val="right"/>
              <w:rPr/>
            </w:pPr>
            <w:r>
              <w:rPr/>
              <w:t>28,397</w:t>
            </w:r>
          </w:p>
        </w:tc>
        <w:tc>
          <w:tcPr>
            <w:tcW w:w="230" w:type="dxa"/>
            <w:tcBorders/>
            <w:shd w:fill="FFFFFF" w:val="clear"/>
            <w:vAlign w:val="center"/>
          </w:tcPr>
          <w:p>
            <w:pPr>
              <w:pStyle w:val="TableContents"/>
              <w:bidi w:val="0"/>
              <w:spacing w:before="0" w:after="283"/>
              <w:jc w:val="left"/>
              <w:rPr/>
            </w:pPr>
            <w:r>
              <w:rPr/>
              <w:t> </w:t>
            </w:r>
            <w:bookmarkStart w:id="322" w:name="xdx_408_ecustom--AccumulatedAmortization"/>
            <w:bookmarkEnd w:id="322"/>
          </w:p>
        </w:tc>
      </w:tr>
      <w:tr>
        <w:trPr/>
        <w:tc>
          <w:tcPr>
            <w:tcW w:w="6485" w:type="dxa"/>
            <w:tcBorders/>
            <w:shd w:fill="EEEEEE" w:val="clear"/>
            <w:vAlign w:val="center"/>
          </w:tcPr>
          <w:p>
            <w:pPr>
              <w:pStyle w:val="TableContents"/>
              <w:bidi w:val="0"/>
              <w:spacing w:before="0" w:after="283"/>
              <w:jc w:val="left"/>
              <w:rPr/>
            </w:pPr>
            <w:r>
              <w:rPr/>
              <w:t>Less: Accumulated amortization right-of-use assets</w:t>
            </w:r>
          </w:p>
        </w:tc>
        <w:tc>
          <w:tcPr>
            <w:tcW w:w="60" w:type="dxa"/>
            <w:tcBorders/>
            <w:shd w:fill="EEEEEE" w:val="clear"/>
            <w:vAlign w:val="center"/>
          </w:tcPr>
          <w:p>
            <w:pPr>
              <w:pStyle w:val="TableContents"/>
              <w:bidi w:val="0"/>
              <w:spacing w:before="0" w:after="283"/>
              <w:jc w:val="left"/>
              <w:rPr/>
            </w:pPr>
            <w:r>
              <w:rPr/>
              <w:t> </w:t>
            </w:r>
          </w:p>
        </w:tc>
        <w:tc>
          <w:tcPr>
            <w:tcW w:w="23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44" w:type="dxa"/>
            <w:tcBorders>
              <w:bottom w:val="single" w:sz="8" w:space="0" w:color="000000"/>
            </w:tcBorders>
            <w:shd w:fill="EEEEEE" w:val="clear"/>
            <w:tcMar>
              <w:bottom w:w="28" w:type="dxa"/>
            </w:tcMar>
            <w:vAlign w:val="center"/>
          </w:tcPr>
          <w:p>
            <w:pPr>
              <w:pStyle w:val="TableContents"/>
              <w:bidi w:val="0"/>
              <w:spacing w:before="0" w:after="283"/>
              <w:jc w:val="right"/>
              <w:rPr/>
            </w:pPr>
            <w:r>
              <w:rPr/>
              <w:t>(25,673</w:t>
            </w:r>
          </w:p>
        </w:tc>
        <w:tc>
          <w:tcPr>
            <w:tcW w:w="21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22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93" w:type="dxa"/>
            <w:tcBorders>
              <w:bottom w:val="single" w:sz="8" w:space="0" w:color="000000"/>
            </w:tcBorders>
            <w:shd w:fill="EEEEEE" w:val="clear"/>
            <w:tcMar>
              <w:bottom w:w="28" w:type="dxa"/>
            </w:tcMar>
            <w:vAlign w:val="center"/>
          </w:tcPr>
          <w:p>
            <w:pPr>
              <w:pStyle w:val="TableContents"/>
              <w:bidi w:val="0"/>
              <w:spacing w:before="0" w:after="283"/>
              <w:jc w:val="right"/>
              <w:rPr/>
            </w:pPr>
            <w:r>
              <w:rPr/>
              <w:t>(22,613</w:t>
            </w:r>
          </w:p>
        </w:tc>
        <w:tc>
          <w:tcPr>
            <w:tcW w:w="230" w:type="dxa"/>
            <w:tcBorders/>
            <w:shd w:fill="EEEEEE" w:val="clear"/>
            <w:vAlign w:val="center"/>
          </w:tcPr>
          <w:p>
            <w:pPr>
              <w:pStyle w:val="TableContents"/>
              <w:bidi w:val="0"/>
              <w:spacing w:before="0" w:after="283"/>
              <w:jc w:val="left"/>
              <w:rPr/>
            </w:pPr>
            <w:r>
              <w:rPr/>
              <w:t>)</w:t>
            </w:r>
            <w:bookmarkStart w:id="323" w:name="xdx_40E_eus-gaap--OperatingLeaseRightOfU"/>
            <w:bookmarkEnd w:id="323"/>
          </w:p>
        </w:tc>
      </w:tr>
      <w:tr>
        <w:trPr/>
        <w:tc>
          <w:tcPr>
            <w:tcW w:w="6485" w:type="dxa"/>
            <w:tcBorders/>
            <w:shd w:fill="FFFFFF" w:val="clear"/>
            <w:vAlign w:val="center"/>
          </w:tcPr>
          <w:p>
            <w:pPr>
              <w:pStyle w:val="TableContents"/>
              <w:bidi w:val="0"/>
              <w:spacing w:before="0" w:after="283"/>
              <w:jc w:val="left"/>
              <w:rPr/>
            </w:pPr>
            <w:r>
              <w:rPr/>
              <w:t>Operating lease right-of-use assets, net</w:t>
            </w:r>
          </w:p>
        </w:tc>
        <w:tc>
          <w:tcPr>
            <w:tcW w:w="60"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44" w:type="dxa"/>
            <w:tcBorders>
              <w:bottom w:val="double" w:sz="6" w:space="0" w:color="000000"/>
            </w:tcBorders>
            <w:shd w:fill="FFFFFF" w:val="clear"/>
            <w:tcMar>
              <w:bottom w:w="28" w:type="dxa"/>
            </w:tcMar>
            <w:vAlign w:val="center"/>
          </w:tcPr>
          <w:p>
            <w:pPr>
              <w:pStyle w:val="TableContents"/>
              <w:bidi w:val="0"/>
              <w:spacing w:before="0" w:after="283"/>
              <w:jc w:val="right"/>
              <w:rPr/>
            </w:pPr>
            <w:r>
              <w:rPr/>
              <w:t>3,902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3" w:type="dxa"/>
            <w:tcBorders>
              <w:bottom w:val="double" w:sz="6" w:space="0" w:color="000000"/>
            </w:tcBorders>
            <w:shd w:fill="FFFFFF" w:val="clear"/>
            <w:tcMar>
              <w:bottom w:w="28" w:type="dxa"/>
            </w:tcMar>
            <w:vAlign w:val="center"/>
          </w:tcPr>
          <w:p>
            <w:pPr>
              <w:pStyle w:val="TableContents"/>
              <w:bidi w:val="0"/>
              <w:spacing w:before="0" w:after="283"/>
              <w:jc w:val="right"/>
              <w:rPr/>
            </w:pPr>
            <w:r>
              <w:rPr/>
              <w:t>5,784</w:t>
            </w:r>
          </w:p>
        </w:tc>
        <w:tc>
          <w:tcPr>
            <w:tcW w:w="230" w:type="dxa"/>
            <w:tcBorders/>
            <w:shd w:fill="FFFFFF" w:val="clear"/>
            <w:vAlign w:val="center"/>
          </w:tcPr>
          <w:p>
            <w:pPr>
              <w:pStyle w:val="TableContents"/>
              <w:bidi w:val="0"/>
              <w:spacing w:before="0" w:after="283"/>
              <w:jc w:val="left"/>
              <w:rPr/>
            </w:pPr>
            <w:r>
              <w:rPr/>
              <w:t> </w:t>
            </w:r>
          </w:p>
        </w:tc>
      </w:tr>
      <w:tr>
        <w:trPr/>
        <w:tc>
          <w:tcPr>
            <w:tcW w:w="648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30" w:type="dxa"/>
            <w:tcBorders/>
            <w:shd w:fill="EEEEEE" w:val="clear"/>
            <w:vAlign w:val="center"/>
          </w:tcPr>
          <w:p>
            <w:pPr>
              <w:pStyle w:val="TableContents"/>
              <w:bidi w:val="0"/>
              <w:spacing w:before="0" w:after="283"/>
              <w:jc w:val="left"/>
              <w:rPr/>
            </w:pPr>
            <w:r>
              <w:rPr/>
              <w:t> </w:t>
            </w:r>
          </w:p>
        </w:tc>
        <w:tc>
          <w:tcPr>
            <w:tcW w:w="1244" w:type="dxa"/>
            <w:tcBorders/>
            <w:shd w:fill="EEEEEE" w:val="clear"/>
            <w:vAlign w:val="center"/>
          </w:tcPr>
          <w:p>
            <w:pPr>
              <w:pStyle w:val="TableContents"/>
              <w:bidi w:val="0"/>
              <w:spacing w:before="0" w:after="283"/>
              <w:jc w:val="right"/>
              <w:rPr/>
            </w:pPr>
            <w:r>
              <w:rPr/>
              <w:t> </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21" w:type="dxa"/>
            <w:tcBorders/>
            <w:shd w:fill="EEEEEE" w:val="clear"/>
            <w:vAlign w:val="center"/>
          </w:tcPr>
          <w:p>
            <w:pPr>
              <w:pStyle w:val="TableContents"/>
              <w:bidi w:val="0"/>
              <w:spacing w:before="0" w:after="283"/>
              <w:jc w:val="left"/>
              <w:rPr/>
            </w:pPr>
            <w:r>
              <w:rPr/>
              <w:t> </w:t>
            </w:r>
          </w:p>
        </w:tc>
        <w:tc>
          <w:tcPr>
            <w:tcW w:w="1193" w:type="dxa"/>
            <w:tcBorders/>
            <w:shd w:fill="EEEEEE" w:val="clear"/>
            <w:vAlign w:val="center"/>
          </w:tcPr>
          <w:p>
            <w:pPr>
              <w:pStyle w:val="TableContents"/>
              <w:bidi w:val="0"/>
              <w:spacing w:before="0" w:after="283"/>
              <w:jc w:val="right"/>
              <w:rPr/>
            </w:pPr>
            <w:r>
              <w:rPr/>
              <w:t> </w:t>
            </w:r>
          </w:p>
        </w:tc>
        <w:tc>
          <w:tcPr>
            <w:tcW w:w="230" w:type="dxa"/>
            <w:tcBorders/>
            <w:shd w:fill="EEEEEE" w:val="clear"/>
            <w:vAlign w:val="center"/>
          </w:tcPr>
          <w:p>
            <w:pPr>
              <w:pStyle w:val="TableContents"/>
              <w:bidi w:val="0"/>
              <w:spacing w:before="0" w:after="283"/>
              <w:jc w:val="left"/>
              <w:rPr/>
            </w:pPr>
            <w:r>
              <w:rPr/>
              <w:t> </w:t>
            </w:r>
            <w:bookmarkStart w:id="324" w:name="xdx_408_eus-gaap--OperatingLeaseLiabilit"/>
            <w:bookmarkEnd w:id="324"/>
          </w:p>
        </w:tc>
      </w:tr>
      <w:tr>
        <w:trPr/>
        <w:tc>
          <w:tcPr>
            <w:tcW w:w="6485"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w:t>
            </w:r>
          </w:p>
        </w:tc>
        <w:tc>
          <w:tcPr>
            <w:tcW w:w="1244" w:type="dxa"/>
            <w:tcBorders/>
            <w:shd w:fill="FFFFFF" w:val="clear"/>
            <w:vAlign w:val="center"/>
          </w:tcPr>
          <w:p>
            <w:pPr>
              <w:pStyle w:val="TableContents"/>
              <w:bidi w:val="0"/>
              <w:spacing w:before="0" w:after="283"/>
              <w:jc w:val="right"/>
              <w:rPr/>
            </w:pPr>
            <w:r>
              <w:rPr/>
              <w:t>(4,222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w:t>
            </w:r>
          </w:p>
        </w:tc>
        <w:tc>
          <w:tcPr>
            <w:tcW w:w="1193" w:type="dxa"/>
            <w:tcBorders/>
            <w:shd w:fill="FFFFFF" w:val="clear"/>
            <w:vAlign w:val="center"/>
          </w:tcPr>
          <w:p>
            <w:pPr>
              <w:pStyle w:val="TableContents"/>
              <w:bidi w:val="0"/>
              <w:spacing w:before="0" w:after="283"/>
              <w:jc w:val="right"/>
              <w:rPr/>
            </w:pPr>
            <w:r>
              <w:rPr/>
              <w:t>(6,234</w:t>
            </w:r>
          </w:p>
        </w:tc>
        <w:tc>
          <w:tcPr>
            <w:tcW w:w="230" w:type="dxa"/>
            <w:tcBorders/>
            <w:shd w:fill="FFFFFF" w:val="clear"/>
            <w:vAlign w:val="center"/>
          </w:tcPr>
          <w:p>
            <w:pPr>
              <w:pStyle w:val="TableContents"/>
              <w:bidi w:val="0"/>
              <w:spacing w:before="0" w:after="283"/>
              <w:jc w:val="left"/>
              <w:rPr/>
            </w:pPr>
            <w:r>
              <w:rPr/>
              <w:t>)</w:t>
            </w:r>
          </w:p>
        </w:tc>
      </w:tr>
      <w:tr>
        <w:trPr/>
        <w:tc>
          <w:tcPr>
            <w:tcW w:w="648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30" w:type="dxa"/>
            <w:tcBorders/>
            <w:shd w:fill="EEEEEE" w:val="clear"/>
            <w:vAlign w:val="center"/>
          </w:tcPr>
          <w:p>
            <w:pPr>
              <w:pStyle w:val="TableContents"/>
              <w:bidi w:val="0"/>
              <w:spacing w:before="0" w:after="283"/>
              <w:jc w:val="left"/>
              <w:rPr/>
            </w:pPr>
            <w:r>
              <w:rPr/>
              <w:t> </w:t>
            </w:r>
          </w:p>
        </w:tc>
        <w:tc>
          <w:tcPr>
            <w:tcW w:w="1244" w:type="dxa"/>
            <w:tcBorders/>
            <w:shd w:fill="EEEEEE" w:val="clear"/>
            <w:vAlign w:val="center"/>
          </w:tcPr>
          <w:p>
            <w:pPr>
              <w:pStyle w:val="TableContents"/>
              <w:bidi w:val="0"/>
              <w:spacing w:before="0" w:after="283"/>
              <w:jc w:val="right"/>
              <w:rPr/>
            </w:pPr>
            <w:r>
              <w:rPr/>
              <w:t> </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21" w:type="dxa"/>
            <w:tcBorders/>
            <w:shd w:fill="EEEEEE" w:val="clear"/>
            <w:vAlign w:val="center"/>
          </w:tcPr>
          <w:p>
            <w:pPr>
              <w:pStyle w:val="TableContents"/>
              <w:bidi w:val="0"/>
              <w:spacing w:before="0" w:after="283"/>
              <w:jc w:val="left"/>
              <w:rPr/>
            </w:pPr>
            <w:r>
              <w:rPr/>
              <w:t> </w:t>
            </w:r>
          </w:p>
        </w:tc>
        <w:tc>
          <w:tcPr>
            <w:tcW w:w="1193" w:type="dxa"/>
            <w:tcBorders/>
            <w:shd w:fill="EEEEEE" w:val="clear"/>
            <w:vAlign w:val="center"/>
          </w:tcPr>
          <w:p>
            <w:pPr>
              <w:pStyle w:val="TableContents"/>
              <w:bidi w:val="0"/>
              <w:spacing w:before="0" w:after="283"/>
              <w:jc w:val="right"/>
              <w:rPr/>
            </w:pPr>
            <w:r>
              <w:rPr/>
              <w:t> </w:t>
            </w:r>
          </w:p>
        </w:tc>
        <w:tc>
          <w:tcPr>
            <w:tcW w:w="230" w:type="dxa"/>
            <w:tcBorders/>
            <w:shd w:fill="EEEEEE" w:val="clear"/>
            <w:vAlign w:val="center"/>
          </w:tcPr>
          <w:p>
            <w:pPr>
              <w:pStyle w:val="TableContents"/>
              <w:bidi w:val="0"/>
              <w:spacing w:before="0" w:after="283"/>
              <w:jc w:val="left"/>
              <w:rPr/>
            </w:pPr>
            <w:r>
              <w:rPr/>
              <w:t> </w:t>
            </w:r>
            <w:bookmarkStart w:id="325" w:name="xdx_408_ecustom--FinanceLeasesAbstract_i"/>
            <w:bookmarkEnd w:id="325"/>
          </w:p>
        </w:tc>
      </w:tr>
      <w:tr>
        <w:trPr/>
        <w:tc>
          <w:tcPr>
            <w:tcW w:w="6485" w:type="dxa"/>
            <w:tcBorders/>
            <w:shd w:fill="FFFFFF" w:val="clear"/>
            <w:vAlign w:val="center"/>
          </w:tcPr>
          <w:p>
            <w:pPr>
              <w:pStyle w:val="TableContents"/>
              <w:bidi w:val="0"/>
              <w:spacing w:before="0" w:after="283"/>
              <w:jc w:val="left"/>
              <w:rPr>
                <w:b/>
              </w:rPr>
            </w:pPr>
            <w:r>
              <w:rPr>
                <w:b/>
              </w:rPr>
              <w:t>Finance Leases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bookmarkStart w:id="326" w:name="xdx_40B_ecustom--FinanceLeaseRightOfUseA"/>
            <w:bookmarkEnd w:id="326"/>
          </w:p>
        </w:tc>
      </w:tr>
      <w:tr>
        <w:trPr/>
        <w:tc>
          <w:tcPr>
            <w:tcW w:w="6485" w:type="dxa"/>
            <w:tcBorders/>
            <w:shd w:fill="EEEEEE" w:val="clear"/>
            <w:vAlign w:val="center"/>
          </w:tcPr>
          <w:p>
            <w:pPr>
              <w:pStyle w:val="TableContents"/>
              <w:bidi w:val="0"/>
              <w:spacing w:before="0" w:after="283"/>
              <w:jc w:val="left"/>
              <w:rPr/>
            </w:pPr>
            <w:r>
              <w:rPr/>
              <w:t>Property and equipment, at cost</w:t>
            </w:r>
          </w:p>
        </w:tc>
        <w:tc>
          <w:tcPr>
            <w:tcW w:w="60" w:type="dxa"/>
            <w:tcBorders/>
            <w:shd w:fill="EEEEEE" w:val="clear"/>
            <w:vAlign w:val="center"/>
          </w:tcPr>
          <w:p>
            <w:pPr>
              <w:pStyle w:val="TableContents"/>
              <w:bidi w:val="0"/>
              <w:spacing w:before="0" w:after="283"/>
              <w:jc w:val="left"/>
              <w:rPr/>
            </w:pPr>
            <w:r>
              <w:rPr/>
              <w:t> </w:t>
            </w:r>
          </w:p>
        </w:tc>
        <w:tc>
          <w:tcPr>
            <w:tcW w:w="230" w:type="dxa"/>
            <w:tcBorders/>
            <w:shd w:fill="EEEEEE" w:val="clear"/>
            <w:vAlign w:val="center"/>
          </w:tcPr>
          <w:p>
            <w:pPr>
              <w:pStyle w:val="TableContents"/>
              <w:bidi w:val="0"/>
              <w:spacing w:before="0" w:after="283"/>
              <w:jc w:val="left"/>
              <w:rPr/>
            </w:pPr>
            <w:r>
              <w:rPr/>
              <w:t>$</w:t>
            </w:r>
          </w:p>
        </w:tc>
        <w:tc>
          <w:tcPr>
            <w:tcW w:w="1244" w:type="dxa"/>
            <w:tcBorders/>
            <w:shd w:fill="EEEEEE" w:val="clear"/>
            <w:vAlign w:val="center"/>
          </w:tcPr>
          <w:p>
            <w:pPr>
              <w:pStyle w:val="TableContents"/>
              <w:bidi w:val="0"/>
              <w:spacing w:before="0" w:after="283"/>
              <w:jc w:val="right"/>
              <w:rPr/>
            </w:pPr>
            <w:r>
              <w:rPr/>
              <w:t>3,454</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21" w:type="dxa"/>
            <w:tcBorders/>
            <w:shd w:fill="EEEEEE" w:val="clear"/>
            <w:vAlign w:val="center"/>
          </w:tcPr>
          <w:p>
            <w:pPr>
              <w:pStyle w:val="TableContents"/>
              <w:bidi w:val="0"/>
              <w:spacing w:before="0" w:after="283"/>
              <w:jc w:val="left"/>
              <w:rPr/>
            </w:pPr>
            <w:r>
              <w:rPr/>
              <w:t>$</w:t>
            </w:r>
          </w:p>
        </w:tc>
        <w:tc>
          <w:tcPr>
            <w:tcW w:w="1193" w:type="dxa"/>
            <w:tcBorders/>
            <w:shd w:fill="EEEEEE" w:val="clear"/>
            <w:vAlign w:val="center"/>
          </w:tcPr>
          <w:p>
            <w:pPr>
              <w:pStyle w:val="TableContents"/>
              <w:bidi w:val="0"/>
              <w:spacing w:before="0" w:after="283"/>
              <w:jc w:val="right"/>
              <w:rPr/>
            </w:pPr>
            <w:r>
              <w:rPr/>
              <w:t>3,407</w:t>
            </w:r>
          </w:p>
        </w:tc>
        <w:tc>
          <w:tcPr>
            <w:tcW w:w="230" w:type="dxa"/>
            <w:tcBorders/>
            <w:shd w:fill="EEEEEE" w:val="clear"/>
            <w:vAlign w:val="center"/>
          </w:tcPr>
          <w:p>
            <w:pPr>
              <w:pStyle w:val="TableContents"/>
              <w:bidi w:val="0"/>
              <w:spacing w:before="0" w:after="283"/>
              <w:jc w:val="left"/>
              <w:rPr/>
            </w:pPr>
            <w:r>
              <w:rPr/>
              <w:t> </w:t>
            </w:r>
            <w:bookmarkStart w:id="327" w:name="xdx_408_ecustom--FinanceLeaseRightOfUseA"/>
            <w:bookmarkEnd w:id="327"/>
          </w:p>
        </w:tc>
      </w:tr>
      <w:tr>
        <w:trPr/>
        <w:tc>
          <w:tcPr>
            <w:tcW w:w="6485" w:type="dxa"/>
            <w:tcBorders/>
            <w:shd w:fill="FFFFFF" w:val="clear"/>
            <w:vAlign w:val="center"/>
          </w:tcPr>
          <w:p>
            <w:pPr>
              <w:pStyle w:val="TableContents"/>
              <w:bidi w:val="0"/>
              <w:spacing w:before="0" w:after="283"/>
              <w:jc w:val="left"/>
              <w:rPr/>
            </w:pPr>
            <w:r>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4" w:type="dxa"/>
            <w:tcBorders>
              <w:bottom w:val="single" w:sz="8" w:space="0" w:color="000000"/>
            </w:tcBorders>
            <w:shd w:fill="FFFFFF" w:val="clear"/>
            <w:tcMar>
              <w:bottom w:w="28" w:type="dxa"/>
            </w:tcMar>
            <w:vAlign w:val="center"/>
          </w:tcPr>
          <w:p>
            <w:pPr>
              <w:pStyle w:val="TableContents"/>
              <w:bidi w:val="0"/>
              <w:spacing w:before="0" w:after="283"/>
              <w:jc w:val="right"/>
              <w:rPr/>
            </w:pPr>
            <w:r>
              <w:rPr/>
              <w:t>(3,373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3" w:type="dxa"/>
            <w:tcBorders>
              <w:bottom w:val="single" w:sz="8" w:space="0" w:color="000000"/>
            </w:tcBorders>
            <w:shd w:fill="FFFFFF" w:val="clear"/>
            <w:tcMar>
              <w:bottom w:w="28" w:type="dxa"/>
            </w:tcMar>
            <w:vAlign w:val="center"/>
          </w:tcPr>
          <w:p>
            <w:pPr>
              <w:pStyle w:val="TableContents"/>
              <w:bidi w:val="0"/>
              <w:spacing w:before="0" w:after="283"/>
              <w:jc w:val="right"/>
              <w:rPr/>
            </w:pPr>
            <w:r>
              <w:rPr/>
              <w:t>(3,301</w:t>
            </w:r>
          </w:p>
        </w:tc>
        <w:tc>
          <w:tcPr>
            <w:tcW w:w="230" w:type="dxa"/>
            <w:tcBorders/>
            <w:shd w:fill="FFFFFF" w:val="clear"/>
            <w:vAlign w:val="center"/>
          </w:tcPr>
          <w:p>
            <w:pPr>
              <w:pStyle w:val="TableContents"/>
              <w:bidi w:val="0"/>
              <w:spacing w:before="0" w:after="283"/>
              <w:jc w:val="left"/>
              <w:rPr/>
            </w:pPr>
            <w:r>
              <w:rPr/>
              <w:t>)</w:t>
            </w:r>
            <w:bookmarkStart w:id="328" w:name="xdx_408_eus-gaap--FinanceLeaseRightOfUse"/>
            <w:bookmarkEnd w:id="328"/>
          </w:p>
        </w:tc>
      </w:tr>
      <w:tr>
        <w:trPr/>
        <w:tc>
          <w:tcPr>
            <w:tcW w:w="6485" w:type="dxa"/>
            <w:tcBorders/>
            <w:shd w:fill="EEEEEE" w:val="clear"/>
            <w:vAlign w:val="center"/>
          </w:tcPr>
          <w:p>
            <w:pPr>
              <w:pStyle w:val="TableContents"/>
              <w:bidi w:val="0"/>
              <w:spacing w:before="0" w:after="283"/>
              <w:jc w:val="left"/>
              <w:rPr/>
            </w:pPr>
            <w:r>
              <w:rPr/>
              <w:t>Property and equipment, net</w:t>
            </w:r>
          </w:p>
        </w:tc>
        <w:tc>
          <w:tcPr>
            <w:tcW w:w="60" w:type="dxa"/>
            <w:tcBorders/>
            <w:shd w:fill="EEEEEE" w:val="clear"/>
            <w:vAlign w:val="center"/>
          </w:tcPr>
          <w:p>
            <w:pPr>
              <w:pStyle w:val="TableContents"/>
              <w:bidi w:val="0"/>
              <w:spacing w:before="0" w:after="283"/>
              <w:jc w:val="left"/>
              <w:rPr/>
            </w:pPr>
            <w:r>
              <w:rPr/>
              <w:t> </w:t>
            </w:r>
          </w:p>
        </w:tc>
        <w:tc>
          <w:tcPr>
            <w:tcW w:w="23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244" w:type="dxa"/>
            <w:tcBorders>
              <w:bottom w:val="double" w:sz="6" w:space="0" w:color="000000"/>
            </w:tcBorders>
            <w:shd w:fill="EEEEEE" w:val="clear"/>
            <w:tcMar>
              <w:bottom w:w="28" w:type="dxa"/>
            </w:tcMar>
            <w:vAlign w:val="center"/>
          </w:tcPr>
          <w:p>
            <w:pPr>
              <w:pStyle w:val="TableContents"/>
              <w:bidi w:val="0"/>
              <w:spacing w:before="0" w:after="283"/>
              <w:jc w:val="right"/>
              <w:rPr/>
            </w:pPr>
            <w:r>
              <w:rPr/>
              <w:t>81</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21"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93" w:type="dxa"/>
            <w:tcBorders>
              <w:bottom w:val="double" w:sz="6" w:space="0" w:color="000000"/>
            </w:tcBorders>
            <w:shd w:fill="EEEEEE" w:val="clear"/>
            <w:tcMar>
              <w:bottom w:w="28" w:type="dxa"/>
            </w:tcMar>
            <w:vAlign w:val="center"/>
          </w:tcPr>
          <w:p>
            <w:pPr>
              <w:pStyle w:val="TableContents"/>
              <w:bidi w:val="0"/>
              <w:spacing w:before="0" w:after="283"/>
              <w:jc w:val="right"/>
              <w:rPr/>
            </w:pPr>
            <w:r>
              <w:rPr/>
              <w:t>106</w:t>
            </w:r>
          </w:p>
        </w:tc>
        <w:tc>
          <w:tcPr>
            <w:tcW w:w="230" w:type="dxa"/>
            <w:tcBorders/>
            <w:shd w:fill="EEEEEE"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bookmarkStart w:id="329" w:name="xdx_40C_eus-gaap--FinanceLeaseLiability_"/>
            <w:bookmarkEnd w:id="329"/>
          </w:p>
        </w:tc>
      </w:tr>
      <w:tr>
        <w:trPr/>
        <w:tc>
          <w:tcPr>
            <w:tcW w:w="6485" w:type="dxa"/>
            <w:tcBorders/>
            <w:shd w:fill="EEEEEE" w:val="clear"/>
            <w:vAlign w:val="center"/>
          </w:tcPr>
          <w:p>
            <w:pPr>
              <w:pStyle w:val="TableContents"/>
              <w:bidi w:val="0"/>
              <w:spacing w:before="0" w:after="283"/>
              <w:jc w:val="left"/>
              <w:rPr/>
            </w:pPr>
            <w:r>
              <w:rPr/>
              <w:t>Finance lease liabilities</w:t>
            </w:r>
          </w:p>
        </w:tc>
        <w:tc>
          <w:tcPr>
            <w:tcW w:w="60" w:type="dxa"/>
            <w:tcBorders/>
            <w:shd w:fill="EEEEEE" w:val="clear"/>
            <w:vAlign w:val="center"/>
          </w:tcPr>
          <w:p>
            <w:pPr>
              <w:pStyle w:val="TableContents"/>
              <w:bidi w:val="0"/>
              <w:spacing w:before="0" w:after="283"/>
              <w:jc w:val="left"/>
              <w:rPr/>
            </w:pPr>
            <w:r>
              <w:rPr/>
              <w:t> </w:t>
            </w:r>
          </w:p>
        </w:tc>
        <w:tc>
          <w:tcPr>
            <w:tcW w:w="230" w:type="dxa"/>
            <w:tcBorders/>
            <w:shd w:fill="EEEEEE" w:val="clear"/>
            <w:vAlign w:val="center"/>
          </w:tcPr>
          <w:p>
            <w:pPr>
              <w:pStyle w:val="TableContents"/>
              <w:bidi w:val="0"/>
              <w:spacing w:before="0" w:after="283"/>
              <w:jc w:val="left"/>
              <w:rPr/>
            </w:pPr>
            <w:r>
              <w:rPr/>
              <w:t>$</w:t>
            </w:r>
          </w:p>
        </w:tc>
        <w:tc>
          <w:tcPr>
            <w:tcW w:w="1244" w:type="dxa"/>
            <w:tcBorders/>
            <w:shd w:fill="EEEEEE" w:val="clear"/>
            <w:vAlign w:val="center"/>
          </w:tcPr>
          <w:p>
            <w:pPr>
              <w:pStyle w:val="TableContents"/>
              <w:bidi w:val="0"/>
              <w:spacing w:before="0" w:after="283"/>
              <w:jc w:val="right"/>
              <w:rPr/>
            </w:pPr>
            <w:r>
              <w:rPr/>
              <w:t>(85</w:t>
            </w:r>
          </w:p>
        </w:tc>
        <w:tc>
          <w:tcPr>
            <w:tcW w:w="21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221" w:type="dxa"/>
            <w:tcBorders/>
            <w:shd w:fill="EEEEEE" w:val="clear"/>
            <w:vAlign w:val="center"/>
          </w:tcPr>
          <w:p>
            <w:pPr>
              <w:pStyle w:val="TableContents"/>
              <w:bidi w:val="0"/>
              <w:spacing w:before="0" w:after="283"/>
              <w:jc w:val="left"/>
              <w:rPr/>
            </w:pPr>
            <w:r>
              <w:rPr/>
              <w:t>$</w:t>
            </w:r>
          </w:p>
        </w:tc>
        <w:tc>
          <w:tcPr>
            <w:tcW w:w="1193" w:type="dxa"/>
            <w:tcBorders/>
            <w:shd w:fill="EEEEEE" w:val="clear"/>
            <w:vAlign w:val="center"/>
          </w:tcPr>
          <w:p>
            <w:pPr>
              <w:pStyle w:val="TableContents"/>
              <w:bidi w:val="0"/>
              <w:spacing w:before="0" w:after="283"/>
              <w:jc w:val="right"/>
              <w:rPr/>
            </w:pPr>
            <w:r>
              <w:rPr/>
              <w:t>(177</w:t>
            </w:r>
          </w:p>
        </w:tc>
        <w:tc>
          <w:tcPr>
            <w:tcW w:w="230" w:type="dxa"/>
            <w:tcBorders/>
            <w:shd w:fill="EEEEEE" w:val="clear"/>
            <w:vAlign w:val="center"/>
          </w:tcPr>
          <w:p>
            <w:pPr>
              <w:pStyle w:val="TableContents"/>
              <w:bidi w:val="0"/>
              <w:spacing w:before="0" w:after="283"/>
              <w:jc w:val="left"/>
              <w:rPr/>
            </w:pPr>
            <w:r>
              <w:rPr/>
              <w:t>)</w:t>
            </w:r>
          </w:p>
        </w:tc>
      </w:tr>
      <w:tr>
        <w:trPr/>
        <w:tc>
          <w:tcPr>
            <w:tcW w:w="6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6485" w:type="dxa"/>
            <w:tcBorders/>
            <w:shd w:fill="EEEEEE" w:val="clear"/>
            <w:vAlign w:val="center"/>
          </w:tcPr>
          <w:p>
            <w:pPr>
              <w:pStyle w:val="TableContents"/>
              <w:bidi w:val="0"/>
              <w:spacing w:before="0" w:after="283"/>
              <w:jc w:val="left"/>
              <w:rPr>
                <w:b/>
              </w:rPr>
            </w:pPr>
            <w:r>
              <w:rPr>
                <w:b/>
              </w:rPr>
              <w:t>Weighted Average Discount Rate</w:t>
            </w:r>
          </w:p>
        </w:tc>
        <w:tc>
          <w:tcPr>
            <w:tcW w:w="60" w:type="dxa"/>
            <w:tcBorders/>
            <w:shd w:fill="EEEEEE" w:val="clear"/>
            <w:vAlign w:val="center"/>
          </w:tcPr>
          <w:p>
            <w:pPr>
              <w:pStyle w:val="TableContents"/>
              <w:bidi w:val="0"/>
              <w:spacing w:before="0" w:after="283"/>
              <w:jc w:val="left"/>
              <w:rPr/>
            </w:pPr>
            <w:r>
              <w:rPr/>
              <w:t> </w:t>
            </w:r>
          </w:p>
        </w:tc>
        <w:tc>
          <w:tcPr>
            <w:tcW w:w="230" w:type="dxa"/>
            <w:tcBorders/>
            <w:shd w:fill="EEEEEE" w:val="clear"/>
            <w:vAlign w:val="center"/>
          </w:tcPr>
          <w:p>
            <w:pPr>
              <w:pStyle w:val="TableContents"/>
              <w:bidi w:val="0"/>
              <w:spacing w:before="0" w:after="283"/>
              <w:jc w:val="left"/>
              <w:rPr/>
            </w:pPr>
            <w:r>
              <w:rPr/>
              <w:t> </w:t>
            </w:r>
          </w:p>
        </w:tc>
        <w:tc>
          <w:tcPr>
            <w:tcW w:w="1244" w:type="dxa"/>
            <w:tcBorders/>
            <w:shd w:fill="EEEEEE" w:val="clear"/>
            <w:vAlign w:val="center"/>
          </w:tcPr>
          <w:p>
            <w:pPr>
              <w:pStyle w:val="TableContents"/>
              <w:bidi w:val="0"/>
              <w:spacing w:before="0" w:after="283"/>
              <w:jc w:val="right"/>
              <w:rPr/>
            </w:pPr>
            <w:r>
              <w:rPr/>
              <w:t> </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21" w:type="dxa"/>
            <w:tcBorders/>
            <w:shd w:fill="EEEEEE" w:val="clear"/>
            <w:vAlign w:val="center"/>
          </w:tcPr>
          <w:p>
            <w:pPr>
              <w:pStyle w:val="TableContents"/>
              <w:bidi w:val="0"/>
              <w:spacing w:before="0" w:after="283"/>
              <w:jc w:val="left"/>
              <w:rPr/>
            </w:pPr>
            <w:r>
              <w:rPr/>
              <w:t> </w:t>
            </w:r>
          </w:p>
        </w:tc>
        <w:tc>
          <w:tcPr>
            <w:tcW w:w="1193" w:type="dxa"/>
            <w:tcBorders/>
            <w:shd w:fill="EEEEEE" w:val="clear"/>
            <w:vAlign w:val="center"/>
          </w:tcPr>
          <w:p>
            <w:pPr>
              <w:pStyle w:val="TableContents"/>
              <w:bidi w:val="0"/>
              <w:spacing w:before="0" w:after="283"/>
              <w:jc w:val="right"/>
              <w:rPr/>
            </w:pPr>
            <w:r>
              <w:rPr/>
              <w:t> </w:t>
            </w:r>
          </w:p>
        </w:tc>
        <w:tc>
          <w:tcPr>
            <w:tcW w:w="230" w:type="dxa"/>
            <w:tcBorders/>
            <w:shd w:fill="EEEEEE"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left"/>
              <w:rPr/>
            </w:pPr>
            <w:r>
              <w:rPr/>
              <w:t>Operating lease</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bookmarkStart w:id="330" w:name="xdx_90A_eus-gaap--OperatingLeaseWeighted"/>
            <w:bookmarkEnd w:id="330"/>
            <w:r>
              <w:rPr/>
              <w:t>5.0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bookmarkStart w:id="331" w:name="xdx_907_eus-gaap--OperatingLeaseWeighted"/>
            <w:bookmarkEnd w:id="331"/>
            <w:r>
              <w:rPr/>
              <w:t>5.0</w:t>
            </w:r>
          </w:p>
        </w:tc>
        <w:tc>
          <w:tcPr>
            <w:tcW w:w="230" w:type="dxa"/>
            <w:tcBorders/>
            <w:shd w:fill="FFFFFF" w:val="clear"/>
            <w:vAlign w:val="center"/>
          </w:tcPr>
          <w:p>
            <w:pPr>
              <w:pStyle w:val="TableContents"/>
              <w:bidi w:val="0"/>
              <w:spacing w:before="0" w:after="283"/>
              <w:jc w:val="left"/>
              <w:rPr/>
            </w:pPr>
            <w:r>
              <w:rPr/>
              <w:t>%</w:t>
            </w:r>
          </w:p>
        </w:tc>
      </w:tr>
      <w:tr>
        <w:trPr/>
        <w:tc>
          <w:tcPr>
            <w:tcW w:w="6485" w:type="dxa"/>
            <w:tcBorders/>
            <w:shd w:fill="EEEEEE" w:val="clear"/>
            <w:vAlign w:val="center"/>
          </w:tcPr>
          <w:p>
            <w:pPr>
              <w:pStyle w:val="TableContents"/>
              <w:bidi w:val="0"/>
              <w:spacing w:before="0" w:after="283"/>
              <w:jc w:val="left"/>
              <w:rPr/>
            </w:pPr>
            <w:r>
              <w:rPr/>
              <w:t>Finance lease</w:t>
            </w:r>
          </w:p>
        </w:tc>
        <w:tc>
          <w:tcPr>
            <w:tcW w:w="60" w:type="dxa"/>
            <w:tcBorders/>
            <w:shd w:fill="EEEEEE" w:val="clear"/>
            <w:vAlign w:val="center"/>
          </w:tcPr>
          <w:p>
            <w:pPr>
              <w:pStyle w:val="TableContents"/>
              <w:bidi w:val="0"/>
              <w:spacing w:before="0" w:after="283"/>
              <w:jc w:val="left"/>
              <w:rPr/>
            </w:pPr>
            <w:r>
              <w:rPr/>
              <w:t> </w:t>
            </w:r>
          </w:p>
        </w:tc>
        <w:tc>
          <w:tcPr>
            <w:tcW w:w="230" w:type="dxa"/>
            <w:tcBorders/>
            <w:shd w:fill="EEEEEE" w:val="clear"/>
            <w:vAlign w:val="center"/>
          </w:tcPr>
          <w:p>
            <w:pPr>
              <w:pStyle w:val="TableContents"/>
              <w:bidi w:val="0"/>
              <w:spacing w:before="0" w:after="283"/>
              <w:jc w:val="left"/>
              <w:rPr/>
            </w:pPr>
            <w:r>
              <w:rPr/>
              <w:t> </w:t>
            </w:r>
          </w:p>
        </w:tc>
        <w:tc>
          <w:tcPr>
            <w:tcW w:w="1244" w:type="dxa"/>
            <w:tcBorders/>
            <w:shd w:fill="EEEEEE" w:val="clear"/>
            <w:vAlign w:val="center"/>
          </w:tcPr>
          <w:p>
            <w:pPr>
              <w:pStyle w:val="TableContents"/>
              <w:bidi w:val="0"/>
              <w:spacing w:before="0" w:after="283"/>
              <w:jc w:val="right"/>
              <w:rPr/>
            </w:pPr>
            <w:bookmarkStart w:id="332" w:name="xdx_908_eus-gaap--FinanceLeaseWeightedAv"/>
            <w:bookmarkEnd w:id="332"/>
            <w:r>
              <w:rPr/>
              <w:t>6.5</w:t>
            </w:r>
          </w:p>
        </w:tc>
        <w:tc>
          <w:tcPr>
            <w:tcW w:w="21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221" w:type="dxa"/>
            <w:tcBorders/>
            <w:shd w:fill="EEEEEE" w:val="clear"/>
            <w:vAlign w:val="center"/>
          </w:tcPr>
          <w:p>
            <w:pPr>
              <w:pStyle w:val="TableContents"/>
              <w:bidi w:val="0"/>
              <w:spacing w:before="0" w:after="283"/>
              <w:jc w:val="left"/>
              <w:rPr/>
            </w:pPr>
            <w:r>
              <w:rPr/>
              <w:t> </w:t>
            </w:r>
          </w:p>
        </w:tc>
        <w:tc>
          <w:tcPr>
            <w:tcW w:w="1193" w:type="dxa"/>
            <w:tcBorders/>
            <w:shd w:fill="EEEEEE" w:val="clear"/>
            <w:vAlign w:val="center"/>
          </w:tcPr>
          <w:p>
            <w:pPr>
              <w:pStyle w:val="TableContents"/>
              <w:bidi w:val="0"/>
              <w:spacing w:before="0" w:after="283"/>
              <w:jc w:val="right"/>
              <w:rPr/>
            </w:pPr>
            <w:bookmarkStart w:id="333" w:name="xdx_907_eus-gaap--FinanceLeaseWeightedAv"/>
            <w:bookmarkEnd w:id="333"/>
            <w:r>
              <w:rPr/>
              <w:t>6.5</w:t>
            </w:r>
          </w:p>
        </w:tc>
        <w:tc>
          <w:tcPr>
            <w:tcW w:w="230" w:type="dxa"/>
            <w:tcBorders/>
            <w:shd w:fill="EEEEEE" w:val="clear"/>
            <w:vAlign w:val="center"/>
          </w:tcPr>
          <w:p>
            <w:pPr>
              <w:pStyle w:val="TableContents"/>
              <w:bidi w:val="0"/>
              <w:spacing w:before="0" w:after="283"/>
              <w:jc w:val="left"/>
              <w:rPr/>
            </w:pPr>
            <w:r>
              <w:rPr/>
              <w:t>%</w:t>
            </w:r>
          </w:p>
        </w:tc>
      </w:tr>
    </w:tbl>
    <w:p>
      <w:pPr>
        <w:pStyle w:val="TextBody"/>
        <w:bidi w:val="0"/>
        <w:spacing w:before="0" w:after="283"/>
        <w:jc w:val="left"/>
        <w:rPr/>
      </w:pPr>
      <w:bookmarkStart w:id="334" w:name="xdx_8AF_zfHczJujAvPd"/>
      <w:bookmarkEnd w:id="334"/>
      <w:r>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Maturities of lease liabilities were as follows: </w:t>
      </w:r>
    </w:p>
    <w:p>
      <w:pPr>
        <w:pStyle w:val="Normal"/>
        <w:bidi w:val="0"/>
        <w:spacing w:before="0" w:after="0"/>
        <w:jc w:val="left"/>
        <w:rPr>
          <w:sz w:val="4"/>
          <w:szCs w:val="4"/>
        </w:rPr>
      </w:pPr>
      <w:r>
        <w:rPr>
          <w:sz w:val="4"/>
          <w:szCs w:val="4"/>
        </w:rPr>
      </w:r>
      <w:bookmarkStart w:id="335" w:name="xdx_89F_eus-gaap--LesseeOperatingLeaseLi"/>
      <w:bookmarkStart w:id="336" w:name="xdx_89F_eus-gaap--LesseeOperatingLeaseLi"/>
      <w:bookmarkEnd w:id="336"/>
    </w:p>
    <w:tbl>
      <w:tblPr>
        <w:tblW w:w="6025" w:type="dxa"/>
        <w:jc w:val="left"/>
        <w:tblInd w:w="0" w:type="dxa"/>
        <w:tblLayout w:type="fixed"/>
        <w:tblCellMar>
          <w:top w:w="0" w:type="dxa"/>
          <w:left w:w="0" w:type="dxa"/>
          <w:bottom w:w="0" w:type="dxa"/>
          <w:right w:w="0" w:type="dxa"/>
        </w:tblCellMar>
      </w:tblPr>
      <w:tblGrid>
        <w:gridCol w:w="3815"/>
        <w:gridCol w:w="60"/>
        <w:gridCol w:w="190"/>
        <w:gridCol w:w="865"/>
        <w:gridCol w:w="95"/>
        <w:gridCol w:w="60"/>
        <w:gridCol w:w="290"/>
        <w:gridCol w:w="540"/>
        <w:gridCol w:w="110"/>
      </w:tblGrid>
      <w:tr>
        <w:trPr/>
        <w:tc>
          <w:tcPr>
            <w:tcW w:w="3815" w:type="dxa"/>
            <w:tcBorders/>
            <w:vAlign w:val="center"/>
          </w:tcPr>
          <w:p>
            <w:pPr>
              <w:pStyle w:val="TableContents"/>
              <w:bidi w:val="0"/>
              <w:spacing w:before="0" w:after="283"/>
              <w:jc w:val="left"/>
              <w:rPr/>
            </w:pPr>
            <w:bookmarkStart w:id="337" w:name="xdx_8B4_zW3Id4MGbkH6"/>
            <w:bookmarkEnd w:id="337"/>
            <w:r>
              <w:rPr/>
              <w:t>Schedule of maturities of lease liabilities</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54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(In thousands)</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center"/>
              <w:rPr>
                <w:b/>
              </w:rPr>
            </w:pPr>
            <w:r>
              <w:rPr>
                <w:b/>
              </w:rPr>
              <w:t>Operating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center"/>
              <w:rPr>
                <w:b/>
              </w:rPr>
            </w:pPr>
            <w:r>
              <w:rPr>
                <w:b/>
              </w:rPr>
              <w:t>Finance</w:t>
            </w:r>
          </w:p>
        </w:tc>
        <w:tc>
          <w:tcPr>
            <w:tcW w:w="110" w:type="dxa"/>
            <w:tcBorders/>
            <w:vAlign w:val="center"/>
          </w:tcPr>
          <w:p>
            <w:pPr>
              <w:pStyle w:val="TableContents"/>
              <w:bidi w:val="0"/>
              <w:spacing w:before="0" w:after="283"/>
              <w:jc w:val="left"/>
              <w:rPr/>
            </w:pPr>
            <w:r>
              <w:rPr/>
              <w:t> </w:t>
            </w:r>
          </w:p>
        </w:tc>
      </w:tr>
      <w:tr>
        <w:trPr/>
        <w:tc>
          <w:tcPr>
            <w:tcW w:w="3815" w:type="dxa"/>
            <w:tcBorders>
              <w:bottom w:val="single" w:sz="8" w:space="0" w:color="000000"/>
            </w:tcBorders>
            <w:tcMar>
              <w:bottom w:w="28" w:type="dxa"/>
            </w:tcMar>
            <w:vAlign w:val="center"/>
          </w:tcPr>
          <w:p>
            <w:pPr>
              <w:pStyle w:val="TableContents"/>
              <w:bidi w:val="0"/>
              <w:spacing w:before="0" w:after="283"/>
              <w:jc w:val="left"/>
              <w:rPr/>
            </w:pPr>
            <w:r>
              <w:rPr/>
              <w:t>Year Ending September 30,</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Lease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Lease</w:t>
            </w:r>
          </w:p>
        </w:tc>
        <w:tc>
          <w:tcPr>
            <w:tcW w:w="110" w:type="dxa"/>
            <w:tcBorders/>
            <w:vAlign w:val="center"/>
          </w:tcPr>
          <w:p>
            <w:pPr>
              <w:pStyle w:val="TableContents"/>
              <w:bidi w:val="0"/>
              <w:spacing w:before="0" w:after="283"/>
              <w:jc w:val="left"/>
              <w:rPr/>
            </w:pPr>
            <w:r>
              <w:rPr/>
              <w:t> </w:t>
            </w:r>
          </w:p>
        </w:tc>
      </w:tr>
      <w:tr>
        <w:trPr/>
        <w:tc>
          <w:tcPr>
            <w:tcW w:w="3815" w:type="dxa"/>
            <w:tcBorders/>
            <w:shd w:fill="EEEEEE" w:val="clear"/>
            <w:vAlign w:val="center"/>
          </w:tcPr>
          <w:p>
            <w:pPr>
              <w:pStyle w:val="TableContents"/>
              <w:bidi w:val="0"/>
              <w:spacing w:before="0" w:after="283"/>
              <w:jc w:val="left"/>
              <w:rPr/>
            </w:pPr>
            <w:r>
              <w:rPr/>
              <w:t>2023</w:t>
            </w:r>
          </w:p>
        </w:tc>
        <w:tc>
          <w:tcPr>
            <w:tcW w:w="60" w:type="dxa"/>
            <w:tcBorders/>
            <w:shd w:fill="EEEEEE" w:val="clear"/>
            <w:vAlign w:val="center"/>
          </w:tcPr>
          <w:p>
            <w:pPr>
              <w:pStyle w:val="TableContents"/>
              <w:bidi w:val="0"/>
              <w:spacing w:before="0" w:after="283"/>
              <w:jc w:val="left"/>
              <w:rPr/>
            </w:pPr>
            <w:r>
              <w:rPr/>
              <w:t> </w:t>
            </w:r>
          </w:p>
        </w:tc>
        <w:tc>
          <w:tcPr>
            <w:tcW w:w="190" w:type="dxa"/>
            <w:tcBorders/>
            <w:shd w:fill="EEEEEE" w:val="clear"/>
            <w:vAlign w:val="center"/>
          </w:tcPr>
          <w:p>
            <w:pPr>
              <w:pStyle w:val="TableContents"/>
              <w:bidi w:val="0"/>
              <w:spacing w:before="0" w:after="283"/>
              <w:jc w:val="left"/>
              <w:rPr/>
            </w:pPr>
            <w:r>
              <w:rPr/>
              <w:t>$</w:t>
            </w:r>
            <w:bookmarkStart w:id="338" w:name="xdx_983_eus-gaap--LesseeOperatingLeaseLi"/>
            <w:bookmarkEnd w:id="338"/>
          </w:p>
        </w:tc>
        <w:tc>
          <w:tcPr>
            <w:tcW w:w="865" w:type="dxa"/>
            <w:tcBorders/>
            <w:shd w:fill="EEEEEE" w:val="clear"/>
            <w:vAlign w:val="center"/>
          </w:tcPr>
          <w:p>
            <w:pPr>
              <w:pStyle w:val="TableContents"/>
              <w:bidi w:val="0"/>
              <w:spacing w:before="0" w:after="283"/>
              <w:jc w:val="right"/>
              <w:rPr/>
            </w:pPr>
            <w:r>
              <w:rPr/>
              <w:t>1,365</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90" w:type="dxa"/>
            <w:tcBorders/>
            <w:shd w:fill="EEEEEE" w:val="clear"/>
            <w:vAlign w:val="center"/>
          </w:tcPr>
          <w:p>
            <w:pPr>
              <w:pStyle w:val="TableContents"/>
              <w:bidi w:val="0"/>
              <w:spacing w:before="0" w:after="283"/>
              <w:jc w:val="left"/>
              <w:rPr/>
            </w:pPr>
            <w:r>
              <w:rPr/>
              <w:t>$</w:t>
            </w:r>
            <w:bookmarkStart w:id="339" w:name="xdx_98F_eus-gaap--FinanceLeaseLiabilityP"/>
            <w:bookmarkEnd w:id="339"/>
          </w:p>
        </w:tc>
        <w:tc>
          <w:tcPr>
            <w:tcW w:w="540" w:type="dxa"/>
            <w:tcBorders/>
            <w:shd w:fill="EEEEEE" w:val="clear"/>
            <w:vAlign w:val="center"/>
          </w:tcPr>
          <w:p>
            <w:pPr>
              <w:pStyle w:val="TableContents"/>
              <w:bidi w:val="0"/>
              <w:spacing w:before="0" w:after="283"/>
              <w:jc w:val="right"/>
              <w:rPr/>
            </w:pPr>
            <w:r>
              <w:rPr/>
              <w:t>12</w:t>
            </w:r>
          </w:p>
        </w:tc>
        <w:tc>
          <w:tcPr>
            <w:tcW w:w="110" w:type="dxa"/>
            <w:tcBorders/>
            <w:shd w:fill="EEEEEE"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pPr>
            <w:r>
              <w:rPr/>
              <w:t>2024</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bookmarkStart w:id="340" w:name="xdx_98F_eus-gaap--LesseeOperatingLeaseLi"/>
            <w:bookmarkEnd w:id="340"/>
          </w:p>
        </w:tc>
        <w:tc>
          <w:tcPr>
            <w:tcW w:w="865" w:type="dxa"/>
            <w:tcBorders/>
            <w:shd w:fill="FFFFFF" w:val="clear"/>
            <w:vAlign w:val="center"/>
          </w:tcPr>
          <w:p>
            <w:pPr>
              <w:pStyle w:val="TableContents"/>
              <w:bidi w:val="0"/>
              <w:spacing w:before="0" w:after="283"/>
              <w:jc w:val="right"/>
              <w:rPr/>
            </w:pPr>
            <w:r>
              <w:rPr/>
              <w:t>1,787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bookmarkStart w:id="341" w:name="xdx_98C_eus-gaap--FinanceLeaseLiabilityP"/>
            <w:bookmarkEnd w:id="341"/>
          </w:p>
        </w:tc>
        <w:tc>
          <w:tcPr>
            <w:tcW w:w="540" w:type="dxa"/>
            <w:tcBorders/>
            <w:shd w:fill="FFFFFF" w:val="clear"/>
            <w:vAlign w:val="center"/>
          </w:tcPr>
          <w:p>
            <w:pPr>
              <w:pStyle w:val="TableContents"/>
              <w:bidi w:val="0"/>
              <w:spacing w:before="0" w:after="283"/>
              <w:jc w:val="right"/>
              <w:rPr/>
            </w:pPr>
            <w:r>
              <w:rPr/>
              <w:t>37</w:t>
            </w:r>
          </w:p>
        </w:tc>
        <w:tc>
          <w:tcPr>
            <w:tcW w:w="110" w:type="dxa"/>
            <w:tcBorders/>
            <w:shd w:fill="FFFFFF" w:val="clear"/>
            <w:vAlign w:val="center"/>
          </w:tcPr>
          <w:p>
            <w:pPr>
              <w:pStyle w:val="TableContents"/>
              <w:bidi w:val="0"/>
              <w:spacing w:before="0" w:after="283"/>
              <w:jc w:val="left"/>
              <w:rPr/>
            </w:pPr>
            <w:r>
              <w:rPr/>
              <w:t> </w:t>
            </w:r>
          </w:p>
        </w:tc>
      </w:tr>
      <w:tr>
        <w:trPr/>
        <w:tc>
          <w:tcPr>
            <w:tcW w:w="3815" w:type="dxa"/>
            <w:tcBorders/>
            <w:shd w:fill="EEEEEE" w:val="clear"/>
            <w:vAlign w:val="center"/>
          </w:tcPr>
          <w:p>
            <w:pPr>
              <w:pStyle w:val="TableContents"/>
              <w:bidi w:val="0"/>
              <w:spacing w:before="0" w:after="283"/>
              <w:jc w:val="left"/>
              <w:rPr/>
            </w:pPr>
            <w:r>
              <w:rPr/>
              <w:t>2025</w:t>
            </w:r>
          </w:p>
        </w:tc>
        <w:tc>
          <w:tcPr>
            <w:tcW w:w="60" w:type="dxa"/>
            <w:tcBorders/>
            <w:shd w:fill="EEEEEE" w:val="clear"/>
            <w:vAlign w:val="center"/>
          </w:tcPr>
          <w:p>
            <w:pPr>
              <w:pStyle w:val="TableContents"/>
              <w:bidi w:val="0"/>
              <w:spacing w:before="0" w:after="283"/>
              <w:jc w:val="left"/>
              <w:rPr/>
            </w:pPr>
            <w:r>
              <w:rPr/>
              <w:t> </w:t>
            </w:r>
          </w:p>
        </w:tc>
        <w:tc>
          <w:tcPr>
            <w:tcW w:w="190" w:type="dxa"/>
            <w:tcBorders/>
            <w:shd w:fill="EEEEEE" w:val="clear"/>
            <w:vAlign w:val="center"/>
          </w:tcPr>
          <w:p>
            <w:pPr>
              <w:pStyle w:val="TableContents"/>
              <w:bidi w:val="0"/>
              <w:spacing w:before="0" w:after="283"/>
              <w:jc w:val="left"/>
              <w:rPr/>
            </w:pPr>
            <w:r>
              <w:rPr/>
              <w:t> </w:t>
            </w:r>
            <w:bookmarkStart w:id="342" w:name="xdx_980_eus-gaap--LesseeOperatingLeaseLi"/>
            <w:bookmarkEnd w:id="342"/>
          </w:p>
        </w:tc>
        <w:tc>
          <w:tcPr>
            <w:tcW w:w="865" w:type="dxa"/>
            <w:tcBorders/>
            <w:shd w:fill="EEEEEE" w:val="clear"/>
            <w:vAlign w:val="center"/>
          </w:tcPr>
          <w:p>
            <w:pPr>
              <w:pStyle w:val="TableContents"/>
              <w:bidi w:val="0"/>
              <w:spacing w:before="0" w:after="283"/>
              <w:jc w:val="right"/>
              <w:rPr/>
            </w:pPr>
            <w:r>
              <w:rPr/>
              <w:t>737</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90" w:type="dxa"/>
            <w:tcBorders/>
            <w:shd w:fill="EEEEEE" w:val="clear"/>
            <w:vAlign w:val="center"/>
          </w:tcPr>
          <w:p>
            <w:pPr>
              <w:pStyle w:val="TableContents"/>
              <w:bidi w:val="0"/>
              <w:spacing w:before="0" w:after="283"/>
              <w:jc w:val="left"/>
              <w:rPr/>
            </w:pPr>
            <w:r>
              <w:rPr/>
              <w:t> </w:t>
            </w:r>
            <w:bookmarkStart w:id="343" w:name="xdx_98B_eus-gaap--FinanceLeaseLiabilityP"/>
            <w:bookmarkEnd w:id="343"/>
          </w:p>
        </w:tc>
        <w:tc>
          <w:tcPr>
            <w:tcW w:w="540" w:type="dxa"/>
            <w:tcBorders/>
            <w:shd w:fill="EEEEEE" w:val="clear"/>
            <w:vAlign w:val="center"/>
          </w:tcPr>
          <w:p>
            <w:pPr>
              <w:pStyle w:val="TableContents"/>
              <w:bidi w:val="0"/>
              <w:spacing w:before="0" w:after="283"/>
              <w:jc w:val="right"/>
              <w:rPr/>
            </w:pPr>
            <w:r>
              <w:rPr/>
              <w:t>20</w:t>
            </w:r>
          </w:p>
        </w:tc>
        <w:tc>
          <w:tcPr>
            <w:tcW w:w="110" w:type="dxa"/>
            <w:tcBorders/>
            <w:shd w:fill="EEEEEE"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pPr>
            <w:r>
              <w:rPr/>
              <w:t>2026</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bookmarkStart w:id="344" w:name="xdx_98F_eus-gaap--LesseeOperatingLeaseLi"/>
            <w:bookmarkEnd w:id="344"/>
          </w:p>
        </w:tc>
        <w:tc>
          <w:tcPr>
            <w:tcW w:w="865" w:type="dxa"/>
            <w:tcBorders/>
            <w:shd w:fill="FFFFFF" w:val="clear"/>
            <w:vAlign w:val="center"/>
          </w:tcPr>
          <w:p>
            <w:pPr>
              <w:pStyle w:val="TableContents"/>
              <w:bidi w:val="0"/>
              <w:spacing w:before="0" w:after="283"/>
              <w:jc w:val="right"/>
              <w:rPr/>
            </w:pPr>
            <w:r>
              <w:rPr/>
              <w:t>455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bookmarkStart w:id="345" w:name="xdx_98C_eus-gaap--FinanceLeaseLiabilityP"/>
            <w:bookmarkEnd w:id="345"/>
          </w:p>
        </w:tc>
        <w:tc>
          <w:tcPr>
            <w:tcW w:w="540" w:type="dxa"/>
            <w:tcBorders/>
            <w:shd w:fill="FFFFFF" w:val="clear"/>
            <w:vAlign w:val="center"/>
          </w:tcPr>
          <w:p>
            <w:pPr>
              <w:pStyle w:val="TableContents"/>
              <w:bidi w:val="0"/>
              <w:spacing w:before="0" w:after="283"/>
              <w:jc w:val="right"/>
              <w:rPr/>
            </w:pPr>
            <w:r>
              <w:rPr/>
              <w:t>11</w:t>
            </w:r>
          </w:p>
        </w:tc>
        <w:tc>
          <w:tcPr>
            <w:tcW w:w="110" w:type="dxa"/>
            <w:tcBorders/>
            <w:shd w:fill="FFFFFF" w:val="clear"/>
            <w:vAlign w:val="center"/>
          </w:tcPr>
          <w:p>
            <w:pPr>
              <w:pStyle w:val="TableContents"/>
              <w:bidi w:val="0"/>
              <w:spacing w:before="0" w:after="283"/>
              <w:jc w:val="left"/>
              <w:rPr/>
            </w:pPr>
            <w:r>
              <w:rPr/>
              <w:t> </w:t>
            </w:r>
          </w:p>
        </w:tc>
      </w:tr>
      <w:tr>
        <w:trPr/>
        <w:tc>
          <w:tcPr>
            <w:tcW w:w="3815" w:type="dxa"/>
            <w:tcBorders/>
            <w:shd w:fill="EEEEEE" w:val="clear"/>
            <w:vAlign w:val="center"/>
          </w:tcPr>
          <w:p>
            <w:pPr>
              <w:pStyle w:val="TableContents"/>
              <w:bidi w:val="0"/>
              <w:spacing w:before="0" w:after="283"/>
              <w:jc w:val="left"/>
              <w:rPr/>
            </w:pPr>
            <w:r>
              <w:rPr/>
              <w:t>2027</w:t>
            </w:r>
          </w:p>
        </w:tc>
        <w:tc>
          <w:tcPr>
            <w:tcW w:w="60" w:type="dxa"/>
            <w:tcBorders/>
            <w:shd w:fill="EEEEEE" w:val="clear"/>
            <w:vAlign w:val="center"/>
          </w:tcPr>
          <w:p>
            <w:pPr>
              <w:pStyle w:val="TableContents"/>
              <w:bidi w:val="0"/>
              <w:spacing w:before="0" w:after="283"/>
              <w:jc w:val="left"/>
              <w:rPr/>
            </w:pPr>
            <w:r>
              <w:rPr/>
              <w:t> </w:t>
            </w:r>
          </w:p>
        </w:tc>
        <w:tc>
          <w:tcPr>
            <w:tcW w:w="190" w:type="dxa"/>
            <w:tcBorders/>
            <w:shd w:fill="EEEEEE" w:val="clear"/>
            <w:vAlign w:val="center"/>
          </w:tcPr>
          <w:p>
            <w:pPr>
              <w:pStyle w:val="TableContents"/>
              <w:bidi w:val="0"/>
              <w:spacing w:before="0" w:after="283"/>
              <w:jc w:val="left"/>
              <w:rPr/>
            </w:pPr>
            <w:r>
              <w:rPr/>
              <w:t> </w:t>
            </w:r>
            <w:bookmarkStart w:id="346" w:name="xdx_988_eus-gaap--LesseeOperatingLeaseLi"/>
            <w:bookmarkEnd w:id="346"/>
          </w:p>
        </w:tc>
        <w:tc>
          <w:tcPr>
            <w:tcW w:w="865" w:type="dxa"/>
            <w:tcBorders/>
            <w:shd w:fill="EEEEEE" w:val="clear"/>
            <w:vAlign w:val="center"/>
          </w:tcPr>
          <w:p>
            <w:pPr>
              <w:pStyle w:val="TableContents"/>
              <w:bidi w:val="0"/>
              <w:spacing w:before="0" w:after="283"/>
              <w:jc w:val="right"/>
              <w:rPr/>
            </w:pPr>
            <w:r>
              <w:rPr/>
              <w:t>452</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90" w:type="dxa"/>
            <w:tcBorders/>
            <w:shd w:fill="EEEEEE" w:val="clear"/>
            <w:vAlign w:val="center"/>
          </w:tcPr>
          <w:p>
            <w:pPr>
              <w:pStyle w:val="TableContents"/>
              <w:bidi w:val="0"/>
              <w:spacing w:before="0" w:after="283"/>
              <w:jc w:val="left"/>
              <w:rPr/>
            </w:pPr>
            <w:r>
              <w:rPr/>
              <w:t> </w:t>
            </w:r>
            <w:bookmarkStart w:id="347" w:name="xdx_98C_eus-gaap--FinanceLeaseLiabilityP"/>
            <w:bookmarkEnd w:id="347"/>
          </w:p>
        </w:tc>
        <w:tc>
          <w:tcPr>
            <w:tcW w:w="540" w:type="dxa"/>
            <w:tcBorders/>
            <w:shd w:fill="EEEEEE" w:val="clear"/>
            <w:vAlign w:val="center"/>
          </w:tcPr>
          <w:p>
            <w:pPr>
              <w:pStyle w:val="TableContents"/>
              <w:bidi w:val="0"/>
              <w:spacing w:before="0" w:after="283"/>
              <w:jc w:val="right"/>
              <w:rPr/>
            </w:pPr>
            <w:r>
              <w:rPr/>
              <w:t>11</w:t>
            </w:r>
          </w:p>
        </w:tc>
        <w:tc>
          <w:tcPr>
            <w:tcW w:w="110" w:type="dxa"/>
            <w:tcBorders/>
            <w:shd w:fill="EEEEEE"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pPr>
            <w:r>
              <w:rPr/>
              <w:t>Thereafter</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48" w:name="xdx_98F_eus-gaap--LesseeOperatingLeaseLi"/>
            <w:bookmarkEnd w:id="348"/>
          </w:p>
        </w:tc>
        <w:tc>
          <w:tcPr>
            <w:tcW w:w="865" w:type="dxa"/>
            <w:tcBorders>
              <w:bottom w:val="single" w:sz="8" w:space="0" w:color="000000"/>
            </w:tcBorders>
            <w:shd w:fill="FFFFFF" w:val="clear"/>
            <w:tcMar>
              <w:bottom w:w="28" w:type="dxa"/>
            </w:tcMar>
            <w:vAlign w:val="center"/>
          </w:tcPr>
          <w:p>
            <w:pPr>
              <w:pStyle w:val="TableContents"/>
              <w:bidi w:val="0"/>
              <w:spacing w:before="0" w:after="283"/>
              <w:jc w:val="right"/>
              <w:rPr/>
            </w:pPr>
            <w:r>
              <w:rPr/>
              <w:t>565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49" w:name="xdx_98C_eus-gaap--FinanceLeaseLiabilityP"/>
            <w:bookmarkEnd w:id="349"/>
          </w:p>
        </w:tc>
        <w:tc>
          <w:tcPr>
            <w:tcW w:w="540"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110" w:type="dxa"/>
            <w:tcBorders/>
            <w:shd w:fill="FFFFFF" w:val="clear"/>
            <w:vAlign w:val="center"/>
          </w:tcPr>
          <w:p>
            <w:pPr>
              <w:pStyle w:val="TableContents"/>
              <w:bidi w:val="0"/>
              <w:spacing w:before="0" w:after="283"/>
              <w:jc w:val="left"/>
              <w:rPr/>
            </w:pPr>
            <w:r>
              <w:rPr/>
              <w:t> </w:t>
            </w:r>
          </w:p>
        </w:tc>
      </w:tr>
      <w:tr>
        <w:trPr/>
        <w:tc>
          <w:tcPr>
            <w:tcW w:w="3815" w:type="dxa"/>
            <w:tcBorders/>
            <w:shd w:fill="EEEEEE" w:val="clear"/>
            <w:vAlign w:val="center"/>
          </w:tcPr>
          <w:p>
            <w:pPr>
              <w:pStyle w:val="TableContents"/>
              <w:bidi w:val="0"/>
              <w:spacing w:before="0" w:after="283"/>
              <w:jc w:val="left"/>
              <w:rPr/>
            </w:pPr>
            <w:r>
              <w:rPr/>
              <w:t>Total undiscounted lease payments</w:t>
            </w:r>
          </w:p>
        </w:tc>
        <w:tc>
          <w:tcPr>
            <w:tcW w:w="60" w:type="dxa"/>
            <w:tcBorders/>
            <w:shd w:fill="EEEEEE" w:val="clear"/>
            <w:vAlign w:val="center"/>
          </w:tcPr>
          <w:p>
            <w:pPr>
              <w:pStyle w:val="TableContents"/>
              <w:bidi w:val="0"/>
              <w:spacing w:before="0" w:after="283"/>
              <w:jc w:val="left"/>
              <w:rPr/>
            </w:pPr>
            <w:r>
              <w:rPr/>
              <w:t> </w:t>
            </w:r>
          </w:p>
        </w:tc>
        <w:tc>
          <w:tcPr>
            <w:tcW w:w="190" w:type="dxa"/>
            <w:tcBorders/>
            <w:shd w:fill="EEEEEE" w:val="clear"/>
            <w:vAlign w:val="center"/>
          </w:tcPr>
          <w:p>
            <w:pPr>
              <w:pStyle w:val="TableContents"/>
              <w:bidi w:val="0"/>
              <w:spacing w:before="0" w:after="283"/>
              <w:jc w:val="left"/>
              <w:rPr/>
            </w:pPr>
            <w:r>
              <w:rPr/>
              <w:t> </w:t>
            </w:r>
            <w:bookmarkStart w:id="350" w:name="xdx_985_eus-gaap--LesseeOperatingLeaseLi"/>
            <w:bookmarkEnd w:id="350"/>
          </w:p>
        </w:tc>
        <w:tc>
          <w:tcPr>
            <w:tcW w:w="865" w:type="dxa"/>
            <w:tcBorders/>
            <w:shd w:fill="EEEEEE" w:val="clear"/>
            <w:vAlign w:val="center"/>
          </w:tcPr>
          <w:p>
            <w:pPr>
              <w:pStyle w:val="TableContents"/>
              <w:bidi w:val="0"/>
              <w:spacing w:before="0" w:after="283"/>
              <w:jc w:val="right"/>
              <w:rPr/>
            </w:pPr>
            <w:r>
              <w:rPr/>
              <w:t>5,361</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90" w:type="dxa"/>
            <w:tcBorders/>
            <w:shd w:fill="EEEEEE" w:val="clear"/>
            <w:vAlign w:val="center"/>
          </w:tcPr>
          <w:p>
            <w:pPr>
              <w:pStyle w:val="TableContents"/>
              <w:bidi w:val="0"/>
              <w:spacing w:before="0" w:after="283"/>
              <w:jc w:val="left"/>
              <w:rPr/>
            </w:pPr>
            <w:r>
              <w:rPr/>
              <w:t> </w:t>
            </w:r>
            <w:bookmarkStart w:id="351" w:name="xdx_981_eus-gaap--FinanceLeaseLiabilityP"/>
            <w:bookmarkEnd w:id="351"/>
          </w:p>
        </w:tc>
        <w:tc>
          <w:tcPr>
            <w:tcW w:w="540" w:type="dxa"/>
            <w:tcBorders/>
            <w:shd w:fill="EEEEEE" w:val="clear"/>
            <w:vAlign w:val="center"/>
          </w:tcPr>
          <w:p>
            <w:pPr>
              <w:pStyle w:val="TableContents"/>
              <w:bidi w:val="0"/>
              <w:spacing w:before="0" w:after="283"/>
              <w:jc w:val="right"/>
              <w:rPr/>
            </w:pPr>
            <w:r>
              <w:rPr/>
              <w:t>92</w:t>
            </w:r>
          </w:p>
        </w:tc>
        <w:tc>
          <w:tcPr>
            <w:tcW w:w="110" w:type="dxa"/>
            <w:tcBorders/>
            <w:shd w:fill="EEEEEE"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pPr>
            <w:r>
              <w:rPr/>
              <w:t>Less amounts representing interest</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52" w:name="xdx_98D_ecustom--OperatingLeasesFutureMi"/>
            <w:bookmarkEnd w:id="352"/>
          </w:p>
        </w:tc>
        <w:tc>
          <w:tcPr>
            <w:tcW w:w="865" w:type="dxa"/>
            <w:tcBorders>
              <w:bottom w:val="single" w:sz="8" w:space="0" w:color="000000"/>
            </w:tcBorders>
            <w:shd w:fill="FFFFFF" w:val="clear"/>
            <w:tcMar>
              <w:bottom w:w="28" w:type="dxa"/>
            </w:tcMar>
            <w:vAlign w:val="center"/>
          </w:tcPr>
          <w:p>
            <w:pPr>
              <w:pStyle w:val="TableContents"/>
              <w:bidi w:val="0"/>
              <w:spacing w:before="0" w:after="283"/>
              <w:jc w:val="right"/>
              <w:rPr/>
            </w:pPr>
            <w:r>
              <w:rPr/>
              <w:t>(1,139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53" w:name="xdx_98E_eus-gaap--LesseeOperatingLeaseLi"/>
            <w:bookmarkEnd w:id="353"/>
          </w:p>
        </w:tc>
        <w:tc>
          <w:tcPr>
            <w:tcW w:w="540" w:type="dxa"/>
            <w:tcBorders>
              <w:bottom w:val="single" w:sz="8" w:space="0" w:color="000000"/>
            </w:tcBorders>
            <w:shd w:fill="FFFFFF" w:val="clear"/>
            <w:tcMar>
              <w:bottom w:w="28" w:type="dxa"/>
            </w:tcMar>
            <w:vAlign w:val="center"/>
          </w:tcPr>
          <w:p>
            <w:pPr>
              <w:pStyle w:val="TableContents"/>
              <w:bidi w:val="0"/>
              <w:spacing w:before="0" w:after="283"/>
              <w:jc w:val="right"/>
              <w:rPr/>
            </w:pPr>
            <w:r>
              <w:rPr/>
              <w:t>(7</w:t>
            </w:r>
          </w:p>
        </w:tc>
        <w:tc>
          <w:tcPr>
            <w:tcW w:w="110" w:type="dxa"/>
            <w:tcBorders/>
            <w:shd w:fill="FFFFFF" w:val="clear"/>
            <w:vAlign w:val="center"/>
          </w:tcPr>
          <w:p>
            <w:pPr>
              <w:pStyle w:val="TableContents"/>
              <w:bidi w:val="0"/>
              <w:spacing w:before="0" w:after="283"/>
              <w:jc w:val="left"/>
              <w:rPr/>
            </w:pPr>
            <w:r>
              <w:rPr/>
              <w:t>)</w:t>
            </w:r>
          </w:p>
        </w:tc>
      </w:tr>
      <w:tr>
        <w:trPr/>
        <w:tc>
          <w:tcPr>
            <w:tcW w:w="3815" w:type="dxa"/>
            <w:tcBorders/>
            <w:shd w:fill="EEEEEE" w:val="clear"/>
            <w:vAlign w:val="center"/>
          </w:tcPr>
          <w:p>
            <w:pPr>
              <w:pStyle w:val="TableContents"/>
              <w:bidi w:val="0"/>
              <w:spacing w:before="0" w:after="283"/>
              <w:jc w:val="left"/>
              <w:rPr/>
            </w:pPr>
            <w:r>
              <w:rPr/>
              <w:t>Lease Liability</w:t>
            </w:r>
          </w:p>
        </w:tc>
        <w:tc>
          <w:tcPr>
            <w:tcW w:w="60" w:type="dxa"/>
            <w:tcBorders/>
            <w:shd w:fill="EEEEEE" w:val="clear"/>
            <w:vAlign w:val="center"/>
          </w:tcPr>
          <w:p>
            <w:pPr>
              <w:pStyle w:val="TableContents"/>
              <w:bidi w:val="0"/>
              <w:spacing w:before="0" w:after="283"/>
              <w:jc w:val="left"/>
              <w:rPr/>
            </w:pPr>
            <w:r>
              <w:rPr/>
              <w:t> </w:t>
            </w:r>
          </w:p>
        </w:tc>
        <w:tc>
          <w:tcPr>
            <w:tcW w:w="19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354" w:name="xdx_98C_eus-gaap--OperatingLeaseLiabilit"/>
            <w:bookmarkEnd w:id="354"/>
          </w:p>
        </w:tc>
        <w:tc>
          <w:tcPr>
            <w:tcW w:w="865" w:type="dxa"/>
            <w:tcBorders>
              <w:bottom w:val="double" w:sz="6" w:space="0" w:color="000000"/>
            </w:tcBorders>
            <w:shd w:fill="EEEEEE" w:val="clear"/>
            <w:tcMar>
              <w:bottom w:w="28" w:type="dxa"/>
            </w:tcMar>
            <w:vAlign w:val="center"/>
          </w:tcPr>
          <w:p>
            <w:pPr>
              <w:pStyle w:val="TableContents"/>
              <w:bidi w:val="0"/>
              <w:spacing w:before="0" w:after="283"/>
              <w:jc w:val="right"/>
              <w:rPr/>
            </w:pPr>
            <w:r>
              <w:rPr/>
              <w:t>4,222</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9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355" w:name="xdx_980_eus-gaap--FinanceLeaseLiability_"/>
            <w:bookmarkEnd w:id="355"/>
          </w:p>
        </w:tc>
        <w:tc>
          <w:tcPr>
            <w:tcW w:w="540" w:type="dxa"/>
            <w:tcBorders>
              <w:bottom w:val="double" w:sz="6" w:space="0" w:color="000000"/>
            </w:tcBorders>
            <w:shd w:fill="EEEEEE" w:val="clear"/>
            <w:tcMar>
              <w:bottom w:w="28" w:type="dxa"/>
            </w:tcMar>
            <w:vAlign w:val="center"/>
          </w:tcPr>
          <w:p>
            <w:pPr>
              <w:pStyle w:val="TableContents"/>
              <w:bidi w:val="0"/>
              <w:spacing w:before="0" w:after="283"/>
              <w:jc w:val="right"/>
              <w:rPr/>
            </w:pPr>
            <w:r>
              <w:rPr/>
              <w:t>85</w:t>
            </w:r>
          </w:p>
        </w:tc>
        <w:tc>
          <w:tcPr>
            <w:tcW w:w="110"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56" w:name="xdx_8AB_zuik7LMDxRx7"/>
      <w:bookmarkEnd w:id="356"/>
      <w:r>
        <w:rPr>
          <w:caps w:val="false"/>
          <w:smallCaps w:val="false"/>
        </w:rPr>
        <w:t> </w:t>
      </w:r>
    </w:p>
    <w:p>
      <w:pPr>
        <w:pStyle w:val="TextBody"/>
        <w:bidi w:val="0"/>
        <w:spacing w:before="0" w:after="0"/>
        <w:ind w:left="0" w:right="0" w:hanging="0"/>
        <w:jc w:val="both"/>
        <w:rPr>
          <w:caps w:val="false"/>
          <w:smallCaps w:val="false"/>
        </w:rPr>
      </w:pPr>
      <w:bookmarkStart w:id="357" w:name="xdx_23D_zG0FEaEAt0gd"/>
      <w:bookmarkEnd w:id="357"/>
      <w:r>
        <w:rPr>
          <w:caps w:val="false"/>
          <w:smallCaps w:val="false"/>
        </w:rPr>
        <w:t> </w:t>
      </w:r>
    </w:p>
    <w:p>
      <w:pPr>
        <w:pStyle w:val="TextBody"/>
        <w:bidi w:val="0"/>
        <w:spacing w:before="0" w:after="0"/>
        <w:ind w:left="0" w:right="0" w:hanging="0"/>
        <w:jc w:val="both"/>
        <w:rPr>
          <w:caps w:val="false"/>
          <w:smallCaps w:val="false"/>
        </w:rPr>
      </w:pPr>
      <w:bookmarkStart w:id="358" w:name="xdx_23D_zwiJ7i371lRb"/>
      <w:bookmarkEnd w:id="358"/>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bookmarkStart w:id="359" w:name="xdx_239_zwegaAO8d1eh"/>
            <w:bookmarkEnd w:id="359"/>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360" w:name="xdx_234_zIbyg3mI9328"/>
      <w:bookmarkEnd w:id="360"/>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61" w:name="xdx_233_zD4DBbQQ4P4d"/>
      <w:bookmarkStart w:id="362" w:name="xdx_232_zNQtNiJ5C7r5"/>
      <w:bookmarkEnd w:id="361"/>
      <w:bookmarkEnd w:id="362"/>
      <w:r>
        <w:rPr>
          <w:rFonts w:ascii="Times New Roman;Times;Serif" w:hAnsi="Times New Roman;Times;Serif"/>
          <w:b/>
          <w:i w:val="false"/>
          <w:caps w:val="false"/>
          <w:smallCaps w:val="false"/>
          <w:sz w:val="20"/>
        </w:rPr>
        <w:t>CONSUMER PORTFOLIO SERVICES,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63" w:name="xdx_237_zJCxtmUZBSG1"/>
      <w:bookmarkStart w:id="364" w:name="xdx_236_zUjjy2XLVcAd"/>
      <w:bookmarkEnd w:id="363"/>
      <w:bookmarkEnd w:id="364"/>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bookmarkStart w:id="365" w:name="xdx_23E_zZEyNgxL0yLg"/>
      <w:bookmarkEnd w:id="365"/>
      <w:r>
        <w:rPr>
          <w:caps w:val="false"/>
          <w:smallCaps w:val="false"/>
        </w:rPr>
        <w:t> </w:t>
      </w:r>
    </w:p>
    <w:p>
      <w:pPr>
        <w:pStyle w:val="TextBody"/>
        <w:bidi w:val="0"/>
        <w:spacing w:before="0" w:after="0"/>
        <w:ind w:left="0" w:right="0" w:hanging="0"/>
        <w:jc w:val="both"/>
        <w:rPr>
          <w:caps w:val="false"/>
          <w:smallCaps w:val="false"/>
        </w:rPr>
      </w:pPr>
      <w:bookmarkStart w:id="366" w:name="xdx_23C_zrz4Y5p2459e"/>
      <w:bookmarkEnd w:id="366"/>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lease expense included in General and administrative and Occupancy expense on our Unaudited Condensed Consolidated Statement of Operations:</w:t>
      </w:r>
    </w:p>
    <w:p>
      <w:pPr>
        <w:pStyle w:val="Normal"/>
        <w:bidi w:val="0"/>
        <w:spacing w:before="0" w:after="0"/>
        <w:jc w:val="left"/>
        <w:rPr>
          <w:sz w:val="4"/>
          <w:szCs w:val="4"/>
        </w:rPr>
      </w:pPr>
      <w:r>
        <w:rPr>
          <w:sz w:val="4"/>
          <w:szCs w:val="4"/>
        </w:rPr>
      </w:r>
      <w:bookmarkStart w:id="367" w:name="xdx_895_eus-gaap--LeaseCostTableTextBloc"/>
      <w:bookmarkStart w:id="368" w:name="xdx_895_eus-gaap--LeaseCostTableTextBloc"/>
      <w:bookmarkEnd w:id="368"/>
    </w:p>
    <w:tbl>
      <w:tblPr>
        <w:tblW w:w="7375" w:type="dxa"/>
        <w:jc w:val="left"/>
        <w:tblInd w:w="0" w:type="dxa"/>
        <w:tblLayout w:type="fixed"/>
        <w:tblCellMar>
          <w:top w:w="0" w:type="dxa"/>
          <w:left w:w="0" w:type="dxa"/>
          <w:bottom w:w="0" w:type="dxa"/>
          <w:right w:w="0" w:type="dxa"/>
        </w:tblCellMar>
      </w:tblPr>
      <w:tblGrid>
        <w:gridCol w:w="2840"/>
        <w:gridCol w:w="60"/>
        <w:gridCol w:w="203"/>
        <w:gridCol w:w="814"/>
        <w:gridCol w:w="87"/>
        <w:gridCol w:w="87"/>
        <w:gridCol w:w="203"/>
        <w:gridCol w:w="814"/>
        <w:gridCol w:w="60"/>
        <w:gridCol w:w="60"/>
        <w:gridCol w:w="191"/>
        <w:gridCol w:w="764"/>
        <w:gridCol w:w="81"/>
        <w:gridCol w:w="81"/>
        <w:gridCol w:w="191"/>
        <w:gridCol w:w="764"/>
        <w:gridCol w:w="75"/>
      </w:tblGrid>
      <w:tr>
        <w:trPr/>
        <w:tc>
          <w:tcPr>
            <w:tcW w:w="2840" w:type="dxa"/>
            <w:tcBorders/>
            <w:vAlign w:val="center"/>
          </w:tcPr>
          <w:p>
            <w:pPr>
              <w:pStyle w:val="TableContents"/>
              <w:bidi w:val="0"/>
              <w:spacing w:before="0" w:after="283"/>
              <w:jc w:val="left"/>
              <w:rPr/>
            </w:pPr>
            <w:bookmarkStart w:id="369" w:name="xdx_8BD_ztL6fXM1YGN2"/>
            <w:bookmarkEnd w:id="369"/>
            <w:r>
              <w:rPr/>
              <w:t>Schedule of lease information</w:t>
            </w:r>
          </w:p>
        </w:tc>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bookmarkStart w:id="370" w:name="xdx_49C_20230701__20230930_zm1RPCQ6co0j"/>
            <w:bookmarkEnd w:id="370"/>
          </w:p>
        </w:tc>
        <w:tc>
          <w:tcPr>
            <w:tcW w:w="814" w:type="dxa"/>
            <w:tcBorders/>
            <w:vAlign w:val="center"/>
          </w:tcPr>
          <w:p>
            <w:pPr>
              <w:pStyle w:val="TableContents"/>
              <w:bidi w:val="0"/>
              <w:spacing w:before="0" w:after="283"/>
              <w:jc w:val="center"/>
              <w:rPr/>
            </w:pPr>
            <w:r>
              <w:rPr/>
              <w:t> </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bookmarkStart w:id="371" w:name="xdx_493_20220701__20220930_z6gFLwTVOmj7"/>
            <w:bookmarkEnd w:id="371"/>
          </w:p>
        </w:tc>
        <w:tc>
          <w:tcPr>
            <w:tcW w:w="81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bookmarkStart w:id="372" w:name="xdx_492_20230101__20230930_zmTCxuZj6Rz3"/>
            <w:bookmarkEnd w:id="372"/>
          </w:p>
        </w:tc>
        <w:tc>
          <w:tcPr>
            <w:tcW w:w="764"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bookmarkStart w:id="373" w:name="xdx_491_20220101__20220930_ztGkkzrFzUGj"/>
            <w:bookmarkEnd w:id="373"/>
          </w:p>
        </w:tc>
        <w:tc>
          <w:tcPr>
            <w:tcW w:w="764"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vAlign w:val="center"/>
          </w:tcPr>
          <w:p>
            <w:pPr>
              <w:pStyle w:val="TableContents"/>
              <w:bidi w:val="0"/>
              <w:spacing w:before="0" w:after="283"/>
              <w:jc w:val="center"/>
              <w:rPr>
                <w:b/>
              </w:rPr>
            </w:pPr>
            <w:r>
              <w:rPr>
                <w:b/>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2" w:type="dxa"/>
            <w:gridSpan w:val="6"/>
            <w:tcBorders/>
            <w:vAlign w:val="center"/>
          </w:tcPr>
          <w:p>
            <w:pPr>
              <w:pStyle w:val="TableContents"/>
              <w:bidi w:val="0"/>
              <w:spacing w:before="0" w:after="283"/>
              <w:jc w:val="center"/>
              <w:rPr>
                <w:b/>
              </w:rPr>
            </w:pPr>
            <w:r>
              <w:rPr>
                <w:b/>
              </w:rPr>
              <w:t>Nine Months Ended</w:t>
            </w:r>
          </w:p>
        </w:tc>
        <w:tc>
          <w:tcPr>
            <w:tcW w:w="75"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75"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01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vAlign w:val="center"/>
          </w:tcPr>
          <w:p>
            <w:pPr>
              <w:pStyle w:val="TableContents"/>
              <w:bidi w:val="0"/>
              <w:spacing w:before="0" w:after="283"/>
              <w:jc w:val="center"/>
              <w:rPr>
                <w:b/>
              </w:rPr>
            </w:pPr>
            <w:r>
              <w:rPr>
                <w:b/>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2" w:type="dxa"/>
            <w:gridSpan w:val="6"/>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bookmarkStart w:id="374" w:name="xdx_402_eus-gaap--OperatingLeaseCost_zFq"/>
            <w:bookmarkEnd w:id="374"/>
          </w:p>
        </w:tc>
      </w:tr>
      <w:tr>
        <w:trPr/>
        <w:tc>
          <w:tcPr>
            <w:tcW w:w="2840" w:type="dxa"/>
            <w:tcBorders/>
            <w:shd w:fill="EEEEEE" w:val="clear"/>
            <w:vAlign w:val="center"/>
          </w:tcPr>
          <w:p>
            <w:pPr>
              <w:pStyle w:val="TableContents"/>
              <w:bidi w:val="0"/>
              <w:spacing w:before="0" w:after="283"/>
              <w:jc w:val="left"/>
              <w:rPr/>
            </w:pPr>
            <w:r>
              <w:rPr/>
              <w:t>Operating lease cost</w:t>
            </w:r>
          </w:p>
        </w:tc>
        <w:tc>
          <w:tcPr>
            <w:tcW w:w="60" w:type="dxa"/>
            <w:tcBorders/>
            <w:shd w:fill="EEEEEE" w:val="clear"/>
            <w:vAlign w:val="center"/>
          </w:tcPr>
          <w:p>
            <w:pPr>
              <w:pStyle w:val="TableContents"/>
              <w:bidi w:val="0"/>
              <w:spacing w:before="0" w:after="283"/>
              <w:jc w:val="left"/>
              <w:rPr/>
            </w:pPr>
            <w:r>
              <w:rPr/>
              <w:t> </w:t>
            </w:r>
          </w:p>
        </w:tc>
        <w:tc>
          <w:tcPr>
            <w:tcW w:w="203" w:type="dxa"/>
            <w:tcBorders/>
            <w:shd w:fill="EEEEEE" w:val="clear"/>
            <w:vAlign w:val="center"/>
          </w:tcPr>
          <w:p>
            <w:pPr>
              <w:pStyle w:val="TableContents"/>
              <w:bidi w:val="0"/>
              <w:spacing w:before="0" w:after="283"/>
              <w:jc w:val="left"/>
              <w:rPr/>
            </w:pPr>
            <w:r>
              <w:rPr/>
              <w:t>$</w:t>
            </w:r>
          </w:p>
        </w:tc>
        <w:tc>
          <w:tcPr>
            <w:tcW w:w="814" w:type="dxa"/>
            <w:tcBorders/>
            <w:shd w:fill="EEEEEE" w:val="clear"/>
            <w:vAlign w:val="center"/>
          </w:tcPr>
          <w:p>
            <w:pPr>
              <w:pStyle w:val="TableContents"/>
              <w:bidi w:val="0"/>
              <w:spacing w:before="0" w:after="283"/>
              <w:jc w:val="right"/>
              <w:rPr/>
            </w:pPr>
            <w:r>
              <w:rPr/>
              <w:t>1,410</w:t>
            </w:r>
          </w:p>
        </w:tc>
        <w:tc>
          <w:tcPr>
            <w:tcW w:w="87" w:type="dxa"/>
            <w:tcBorders/>
            <w:shd w:fill="EEEEEE" w:val="clear"/>
            <w:vAlign w:val="center"/>
          </w:tcPr>
          <w:p>
            <w:pPr>
              <w:pStyle w:val="TableContents"/>
              <w:bidi w:val="0"/>
              <w:spacing w:before="0" w:after="283"/>
              <w:jc w:val="left"/>
              <w:rPr/>
            </w:pPr>
            <w:r>
              <w:rPr/>
              <w:t> </w:t>
            </w:r>
          </w:p>
        </w:tc>
        <w:tc>
          <w:tcPr>
            <w:tcW w:w="87" w:type="dxa"/>
            <w:tcBorders/>
            <w:shd w:fill="EEEEEE" w:val="clear"/>
            <w:vAlign w:val="center"/>
          </w:tcPr>
          <w:p>
            <w:pPr>
              <w:pStyle w:val="TableContents"/>
              <w:bidi w:val="0"/>
              <w:spacing w:before="0" w:after="283"/>
              <w:jc w:val="left"/>
              <w:rPr/>
            </w:pPr>
            <w:r>
              <w:rPr/>
              <w:t> </w:t>
            </w:r>
          </w:p>
        </w:tc>
        <w:tc>
          <w:tcPr>
            <w:tcW w:w="203" w:type="dxa"/>
            <w:tcBorders/>
            <w:shd w:fill="EEEEEE" w:val="clear"/>
            <w:vAlign w:val="center"/>
          </w:tcPr>
          <w:p>
            <w:pPr>
              <w:pStyle w:val="TableContents"/>
              <w:bidi w:val="0"/>
              <w:spacing w:before="0" w:after="283"/>
              <w:jc w:val="left"/>
              <w:rPr/>
            </w:pPr>
            <w:r>
              <w:rPr/>
              <w:t>$</w:t>
            </w:r>
          </w:p>
        </w:tc>
        <w:tc>
          <w:tcPr>
            <w:tcW w:w="814" w:type="dxa"/>
            <w:tcBorders/>
            <w:shd w:fill="EEEEEE" w:val="clear"/>
            <w:vAlign w:val="center"/>
          </w:tcPr>
          <w:p>
            <w:pPr>
              <w:pStyle w:val="TableContents"/>
              <w:bidi w:val="0"/>
              <w:spacing w:before="0" w:after="283"/>
              <w:jc w:val="right"/>
              <w:rPr/>
            </w:pPr>
            <w:r>
              <w:rPr/>
              <w:t>1,767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91" w:type="dxa"/>
            <w:tcBorders/>
            <w:shd w:fill="EEEEEE" w:val="clear"/>
            <w:vAlign w:val="center"/>
          </w:tcPr>
          <w:p>
            <w:pPr>
              <w:pStyle w:val="TableContents"/>
              <w:bidi w:val="0"/>
              <w:spacing w:before="0" w:after="283"/>
              <w:jc w:val="left"/>
              <w:rPr/>
            </w:pPr>
            <w:r>
              <w:rPr/>
              <w:t>$</w:t>
            </w:r>
          </w:p>
        </w:tc>
        <w:tc>
          <w:tcPr>
            <w:tcW w:w="764" w:type="dxa"/>
            <w:tcBorders/>
            <w:shd w:fill="EEEEEE" w:val="clear"/>
            <w:vAlign w:val="center"/>
          </w:tcPr>
          <w:p>
            <w:pPr>
              <w:pStyle w:val="TableContents"/>
              <w:bidi w:val="0"/>
              <w:spacing w:before="0" w:after="283"/>
              <w:jc w:val="right"/>
              <w:rPr/>
            </w:pPr>
            <w:r>
              <w:rPr/>
              <w:t>4,181</w:t>
            </w:r>
          </w:p>
        </w:tc>
        <w:tc>
          <w:tcPr>
            <w:tcW w:w="81" w:type="dxa"/>
            <w:tcBorders/>
            <w:shd w:fill="EEEEEE" w:val="clear"/>
            <w:vAlign w:val="center"/>
          </w:tcPr>
          <w:p>
            <w:pPr>
              <w:pStyle w:val="TableContents"/>
              <w:bidi w:val="0"/>
              <w:spacing w:before="0" w:after="283"/>
              <w:jc w:val="left"/>
              <w:rPr/>
            </w:pPr>
            <w:r>
              <w:rPr/>
              <w:t> </w:t>
            </w:r>
          </w:p>
        </w:tc>
        <w:tc>
          <w:tcPr>
            <w:tcW w:w="81" w:type="dxa"/>
            <w:tcBorders/>
            <w:shd w:fill="EEEEEE" w:val="clear"/>
            <w:vAlign w:val="center"/>
          </w:tcPr>
          <w:p>
            <w:pPr>
              <w:pStyle w:val="TableContents"/>
              <w:bidi w:val="0"/>
              <w:spacing w:before="0" w:after="283"/>
              <w:jc w:val="left"/>
              <w:rPr/>
            </w:pPr>
            <w:r>
              <w:rPr/>
              <w:t> </w:t>
            </w:r>
          </w:p>
        </w:tc>
        <w:tc>
          <w:tcPr>
            <w:tcW w:w="191" w:type="dxa"/>
            <w:tcBorders/>
            <w:shd w:fill="EEEEEE" w:val="clear"/>
            <w:vAlign w:val="center"/>
          </w:tcPr>
          <w:p>
            <w:pPr>
              <w:pStyle w:val="TableContents"/>
              <w:bidi w:val="0"/>
              <w:spacing w:before="0" w:after="283"/>
              <w:jc w:val="left"/>
              <w:rPr/>
            </w:pPr>
            <w:r>
              <w:rPr/>
              <w:t>$</w:t>
            </w:r>
          </w:p>
        </w:tc>
        <w:tc>
          <w:tcPr>
            <w:tcW w:w="764" w:type="dxa"/>
            <w:tcBorders/>
            <w:shd w:fill="EEEEEE" w:val="clear"/>
            <w:vAlign w:val="center"/>
          </w:tcPr>
          <w:p>
            <w:pPr>
              <w:pStyle w:val="TableContents"/>
              <w:bidi w:val="0"/>
              <w:spacing w:before="0" w:after="283"/>
              <w:jc w:val="right"/>
              <w:rPr/>
            </w:pPr>
            <w:r>
              <w:rPr/>
              <w:t>5,288</w:t>
            </w:r>
          </w:p>
        </w:tc>
        <w:tc>
          <w:tcPr>
            <w:tcW w:w="75" w:type="dxa"/>
            <w:tcBorders/>
            <w:shd w:fill="EEEEEE" w:val="clear"/>
            <w:vAlign w:val="center"/>
          </w:tcPr>
          <w:p>
            <w:pPr>
              <w:pStyle w:val="TableContents"/>
              <w:bidi w:val="0"/>
              <w:spacing w:before="0" w:after="283"/>
              <w:jc w:val="left"/>
              <w:rPr/>
            </w:pPr>
            <w:r>
              <w:rPr/>
              <w:t> </w:t>
            </w:r>
            <w:bookmarkStart w:id="375" w:name="xdx_404_ecustom--FinanceLeaseCost_zYegsr"/>
            <w:bookmarkEnd w:id="375"/>
          </w:p>
        </w:tc>
      </w:tr>
      <w:tr>
        <w:trPr/>
        <w:tc>
          <w:tcPr>
            <w:tcW w:w="2840" w:type="dxa"/>
            <w:tcBorders/>
            <w:shd w:fill="FFFFFF" w:val="clear"/>
            <w:vAlign w:val="center"/>
          </w:tcPr>
          <w:p>
            <w:pPr>
              <w:pStyle w:val="TableContents"/>
              <w:bidi w:val="0"/>
              <w:spacing w:before="0" w:after="283"/>
              <w:jc w:val="left"/>
              <w:rPr/>
            </w:pPr>
            <w:r>
              <w:rPr/>
              <w:t>Finance lease cost</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single" w:sz="8" w:space="0" w:color="000000"/>
            </w:tcBorders>
            <w:shd w:fill="FFFFFF" w:val="clear"/>
            <w:tcMar>
              <w:bottom w:w="28" w:type="dxa"/>
            </w:tcMar>
            <w:vAlign w:val="center"/>
          </w:tcPr>
          <w:p>
            <w:pPr>
              <w:pStyle w:val="TableContents"/>
              <w:bidi w:val="0"/>
              <w:spacing w:before="0" w:after="283"/>
              <w:jc w:val="right"/>
              <w:rPr/>
            </w:pPr>
            <w:r>
              <w:rPr/>
              <w:t>18</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single" w:sz="8" w:space="0" w:color="000000"/>
            </w:tcBorders>
            <w:shd w:fill="FFFFFF" w:val="clear"/>
            <w:tcMar>
              <w:bottom w:w="28" w:type="dxa"/>
            </w:tcMar>
            <w:vAlign w:val="center"/>
          </w:tcPr>
          <w:p>
            <w:pPr>
              <w:pStyle w:val="TableContents"/>
              <w:bidi w:val="0"/>
              <w:spacing w:before="0" w:after="283"/>
              <w:jc w:val="right"/>
              <w:rPr/>
            </w:pPr>
            <w:r>
              <w:rPr/>
              <w:t>257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4" w:type="dxa"/>
            <w:tcBorders>
              <w:bottom w:val="single" w:sz="8" w:space="0" w:color="000000"/>
            </w:tcBorders>
            <w:shd w:fill="FFFFFF" w:val="clear"/>
            <w:tcMar>
              <w:bottom w:w="28" w:type="dxa"/>
            </w:tcMar>
            <w:vAlign w:val="center"/>
          </w:tcPr>
          <w:p>
            <w:pPr>
              <w:pStyle w:val="TableContents"/>
              <w:bidi w:val="0"/>
              <w:spacing w:before="0" w:after="283"/>
              <w:jc w:val="right"/>
              <w:rPr/>
            </w:pPr>
            <w:r>
              <w:rPr/>
              <w:t>144</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4" w:type="dxa"/>
            <w:tcBorders>
              <w:bottom w:val="single" w:sz="8" w:space="0" w:color="000000"/>
            </w:tcBorders>
            <w:shd w:fill="FFFFFF" w:val="clear"/>
            <w:tcMar>
              <w:bottom w:w="28" w:type="dxa"/>
            </w:tcMar>
            <w:vAlign w:val="center"/>
          </w:tcPr>
          <w:p>
            <w:pPr>
              <w:pStyle w:val="TableContents"/>
              <w:bidi w:val="0"/>
              <w:spacing w:before="0" w:after="283"/>
              <w:jc w:val="right"/>
              <w:rPr/>
            </w:pPr>
            <w:r>
              <w:rPr/>
              <w:t>813</w:t>
            </w:r>
          </w:p>
        </w:tc>
        <w:tc>
          <w:tcPr>
            <w:tcW w:w="75" w:type="dxa"/>
            <w:tcBorders/>
            <w:shd w:fill="FFFFFF" w:val="clear"/>
            <w:vAlign w:val="center"/>
          </w:tcPr>
          <w:p>
            <w:pPr>
              <w:pStyle w:val="TableContents"/>
              <w:bidi w:val="0"/>
              <w:spacing w:before="0" w:after="283"/>
              <w:jc w:val="left"/>
              <w:rPr/>
            </w:pPr>
            <w:r>
              <w:rPr/>
              <w:t> </w:t>
            </w:r>
            <w:bookmarkStart w:id="376" w:name="xdx_405_eus-gaap--LeaseCost_zRajHDRpD1Z2"/>
            <w:bookmarkEnd w:id="376"/>
          </w:p>
        </w:tc>
      </w:tr>
      <w:tr>
        <w:trPr/>
        <w:tc>
          <w:tcPr>
            <w:tcW w:w="2840" w:type="dxa"/>
            <w:tcBorders/>
            <w:shd w:fill="EEEEEE" w:val="clear"/>
            <w:vAlign w:val="center"/>
          </w:tcPr>
          <w:p>
            <w:pPr>
              <w:pStyle w:val="TableContents"/>
              <w:bidi w:val="0"/>
              <w:spacing w:before="0" w:after="283"/>
              <w:jc w:val="left"/>
              <w:rPr/>
            </w:pPr>
            <w:r>
              <w:rPr/>
              <w:t>Total lease cost</w:t>
            </w:r>
          </w:p>
        </w:tc>
        <w:tc>
          <w:tcPr>
            <w:tcW w:w="60" w:type="dxa"/>
            <w:tcBorders/>
            <w:shd w:fill="EEEEEE" w:val="clear"/>
            <w:vAlign w:val="center"/>
          </w:tcPr>
          <w:p>
            <w:pPr>
              <w:pStyle w:val="TableContents"/>
              <w:bidi w:val="0"/>
              <w:spacing w:before="0" w:after="283"/>
              <w:jc w:val="left"/>
              <w:rPr/>
            </w:pPr>
            <w:r>
              <w:rPr/>
              <w:t> </w:t>
            </w:r>
          </w:p>
        </w:tc>
        <w:tc>
          <w:tcPr>
            <w:tcW w:w="203"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814" w:type="dxa"/>
            <w:tcBorders>
              <w:bottom w:val="double" w:sz="6" w:space="0" w:color="000000"/>
            </w:tcBorders>
            <w:shd w:fill="EEEEEE" w:val="clear"/>
            <w:tcMar>
              <w:bottom w:w="28" w:type="dxa"/>
            </w:tcMar>
            <w:vAlign w:val="center"/>
          </w:tcPr>
          <w:p>
            <w:pPr>
              <w:pStyle w:val="TableContents"/>
              <w:bidi w:val="0"/>
              <w:spacing w:before="0" w:after="283"/>
              <w:jc w:val="right"/>
              <w:rPr/>
            </w:pPr>
            <w:r>
              <w:rPr/>
              <w:t>1,428</w:t>
            </w:r>
          </w:p>
        </w:tc>
        <w:tc>
          <w:tcPr>
            <w:tcW w:w="87" w:type="dxa"/>
            <w:tcBorders/>
            <w:shd w:fill="EEEEEE" w:val="clear"/>
            <w:vAlign w:val="center"/>
          </w:tcPr>
          <w:p>
            <w:pPr>
              <w:pStyle w:val="TableContents"/>
              <w:bidi w:val="0"/>
              <w:spacing w:before="0" w:after="283"/>
              <w:jc w:val="left"/>
              <w:rPr/>
            </w:pPr>
            <w:r>
              <w:rPr/>
              <w:t> </w:t>
            </w:r>
          </w:p>
        </w:tc>
        <w:tc>
          <w:tcPr>
            <w:tcW w:w="87" w:type="dxa"/>
            <w:tcBorders/>
            <w:shd w:fill="EEEEEE" w:val="clear"/>
            <w:vAlign w:val="center"/>
          </w:tcPr>
          <w:p>
            <w:pPr>
              <w:pStyle w:val="TableContents"/>
              <w:bidi w:val="0"/>
              <w:spacing w:before="0" w:after="283"/>
              <w:jc w:val="left"/>
              <w:rPr/>
            </w:pPr>
            <w:r>
              <w:rPr/>
              <w:t> </w:t>
            </w:r>
          </w:p>
        </w:tc>
        <w:tc>
          <w:tcPr>
            <w:tcW w:w="203"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814" w:type="dxa"/>
            <w:tcBorders>
              <w:bottom w:val="double" w:sz="6" w:space="0" w:color="000000"/>
            </w:tcBorders>
            <w:shd w:fill="EEEEEE" w:val="clear"/>
            <w:tcMar>
              <w:bottom w:w="28" w:type="dxa"/>
            </w:tcMar>
            <w:vAlign w:val="center"/>
          </w:tcPr>
          <w:p>
            <w:pPr>
              <w:pStyle w:val="TableContents"/>
              <w:bidi w:val="0"/>
              <w:spacing w:before="0" w:after="283"/>
              <w:jc w:val="right"/>
              <w:rPr/>
            </w:pPr>
            <w:r>
              <w:rPr/>
              <w:t>2,024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91"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764" w:type="dxa"/>
            <w:tcBorders>
              <w:bottom w:val="double" w:sz="6" w:space="0" w:color="000000"/>
            </w:tcBorders>
            <w:shd w:fill="EEEEEE" w:val="clear"/>
            <w:tcMar>
              <w:bottom w:w="28" w:type="dxa"/>
            </w:tcMar>
            <w:vAlign w:val="center"/>
          </w:tcPr>
          <w:p>
            <w:pPr>
              <w:pStyle w:val="TableContents"/>
              <w:bidi w:val="0"/>
              <w:spacing w:before="0" w:after="283"/>
              <w:jc w:val="right"/>
              <w:rPr/>
            </w:pPr>
            <w:r>
              <w:rPr/>
              <w:t>4,325</w:t>
            </w:r>
          </w:p>
        </w:tc>
        <w:tc>
          <w:tcPr>
            <w:tcW w:w="81" w:type="dxa"/>
            <w:tcBorders/>
            <w:shd w:fill="EEEEEE" w:val="clear"/>
            <w:vAlign w:val="center"/>
          </w:tcPr>
          <w:p>
            <w:pPr>
              <w:pStyle w:val="TableContents"/>
              <w:bidi w:val="0"/>
              <w:spacing w:before="0" w:after="283"/>
              <w:jc w:val="left"/>
              <w:rPr/>
            </w:pPr>
            <w:r>
              <w:rPr/>
              <w:t> </w:t>
            </w:r>
          </w:p>
        </w:tc>
        <w:tc>
          <w:tcPr>
            <w:tcW w:w="81" w:type="dxa"/>
            <w:tcBorders/>
            <w:shd w:fill="EEEEEE" w:val="clear"/>
            <w:vAlign w:val="center"/>
          </w:tcPr>
          <w:p>
            <w:pPr>
              <w:pStyle w:val="TableContents"/>
              <w:bidi w:val="0"/>
              <w:spacing w:before="0" w:after="283"/>
              <w:jc w:val="left"/>
              <w:rPr/>
            </w:pPr>
            <w:r>
              <w:rPr/>
              <w:t> </w:t>
            </w:r>
          </w:p>
        </w:tc>
        <w:tc>
          <w:tcPr>
            <w:tcW w:w="191"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764" w:type="dxa"/>
            <w:tcBorders>
              <w:bottom w:val="double" w:sz="6" w:space="0" w:color="000000"/>
            </w:tcBorders>
            <w:shd w:fill="EEEEEE" w:val="clear"/>
            <w:tcMar>
              <w:bottom w:w="28" w:type="dxa"/>
            </w:tcMar>
            <w:vAlign w:val="center"/>
          </w:tcPr>
          <w:p>
            <w:pPr>
              <w:pStyle w:val="TableContents"/>
              <w:bidi w:val="0"/>
              <w:spacing w:before="0" w:after="283"/>
              <w:jc w:val="right"/>
              <w:rPr/>
            </w:pPr>
            <w:r>
              <w:rPr/>
              <w:t>6,101</w:t>
            </w:r>
          </w:p>
        </w:tc>
        <w:tc>
          <w:tcPr>
            <w:tcW w:w="75"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77" w:name="xdx_8AD_ztxa5eZu87Ea"/>
      <w:bookmarkEnd w:id="377"/>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supplemental cash flow information related to leases:</w:t>
      </w:r>
    </w:p>
    <w:p>
      <w:pPr>
        <w:pStyle w:val="Normal"/>
        <w:bidi w:val="0"/>
        <w:spacing w:before="0" w:after="0"/>
        <w:jc w:val="left"/>
        <w:rPr>
          <w:sz w:val="4"/>
          <w:szCs w:val="4"/>
        </w:rPr>
      </w:pPr>
      <w:r>
        <w:rPr>
          <w:sz w:val="4"/>
          <w:szCs w:val="4"/>
        </w:rPr>
      </w:r>
      <w:bookmarkStart w:id="378" w:name="xdx_896_eus-gaap--ScheduleOfCashFlowSupp"/>
      <w:bookmarkStart w:id="379" w:name="xdx_896_eus-gaap--ScheduleOfCashFlowSupp"/>
      <w:bookmarkEnd w:id="379"/>
    </w:p>
    <w:tbl>
      <w:tblPr>
        <w:tblW w:w="10205" w:type="dxa"/>
        <w:jc w:val="left"/>
        <w:tblInd w:w="0" w:type="dxa"/>
        <w:tblLayout w:type="fixed"/>
        <w:tblCellMar>
          <w:top w:w="0" w:type="dxa"/>
          <w:left w:w="0" w:type="dxa"/>
          <w:bottom w:w="0" w:type="dxa"/>
          <w:right w:w="0" w:type="dxa"/>
        </w:tblCellMar>
      </w:tblPr>
      <w:tblGrid>
        <w:gridCol w:w="5933"/>
        <w:gridCol w:w="60"/>
        <w:gridCol w:w="189"/>
        <w:gridCol w:w="759"/>
        <w:gridCol w:w="81"/>
        <w:gridCol w:w="81"/>
        <w:gridCol w:w="189"/>
        <w:gridCol w:w="759"/>
        <w:gridCol w:w="60"/>
        <w:gridCol w:w="60"/>
        <w:gridCol w:w="180"/>
        <w:gridCol w:w="720"/>
        <w:gridCol w:w="76"/>
        <w:gridCol w:w="76"/>
        <w:gridCol w:w="180"/>
        <w:gridCol w:w="720"/>
        <w:gridCol w:w="82"/>
      </w:tblGrid>
      <w:tr>
        <w:trPr/>
        <w:tc>
          <w:tcPr>
            <w:tcW w:w="5933" w:type="dxa"/>
            <w:tcBorders/>
            <w:vAlign w:val="center"/>
          </w:tcPr>
          <w:p>
            <w:pPr>
              <w:pStyle w:val="TableContents"/>
              <w:bidi w:val="0"/>
              <w:spacing w:before="0" w:after="283"/>
              <w:jc w:val="left"/>
              <w:rPr/>
            </w:pPr>
            <w:bookmarkStart w:id="380" w:name="xdx_8B0_zXD1EuWXBc0j"/>
            <w:bookmarkEnd w:id="380"/>
            <w:r>
              <w:rPr/>
              <w:t>Schedule of supplemental cash flow information related to leases</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bookmarkStart w:id="381" w:name="xdx_49C_20230701__20230930_zt2EOJi8qQUa"/>
            <w:bookmarkEnd w:id="381"/>
          </w:p>
        </w:tc>
        <w:tc>
          <w:tcPr>
            <w:tcW w:w="759"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bookmarkStart w:id="382" w:name="xdx_493_20220701__20220930_zM0KzBR6emZ9"/>
            <w:bookmarkEnd w:id="382"/>
          </w:p>
        </w:tc>
        <w:tc>
          <w:tcPr>
            <w:tcW w:w="75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bookmarkStart w:id="383" w:name="xdx_492_20230101__20230930_zW0PwmlKd2Kf"/>
            <w:bookmarkEnd w:id="383"/>
          </w:p>
        </w:tc>
        <w:tc>
          <w:tcPr>
            <w:tcW w:w="720" w:type="dxa"/>
            <w:tcBorders/>
            <w:vAlign w:val="center"/>
          </w:tcPr>
          <w:p>
            <w:pPr>
              <w:pStyle w:val="TableContents"/>
              <w:bidi w:val="0"/>
              <w:spacing w:before="0" w:after="283"/>
              <w:jc w:val="center"/>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bookmarkStart w:id="384" w:name="xdx_491_20220101__20220930_zLB8hTphmBTe"/>
            <w:bookmarkEnd w:id="384"/>
          </w:p>
        </w:tc>
        <w:tc>
          <w:tcPr>
            <w:tcW w:w="720" w:type="dxa"/>
            <w:tcBorders/>
            <w:vAlign w:val="center"/>
          </w:tcPr>
          <w:p>
            <w:pPr>
              <w:pStyle w:val="TableContents"/>
              <w:bidi w:val="0"/>
              <w:spacing w:before="0" w:after="283"/>
              <w:jc w:val="center"/>
              <w:rPr/>
            </w:pPr>
            <w:r>
              <w:rPr/>
              <w:t> </w:t>
            </w:r>
          </w:p>
        </w:tc>
        <w:tc>
          <w:tcPr>
            <w:tcW w:w="82" w:type="dxa"/>
            <w:tcBorders/>
            <w:vAlign w:val="center"/>
          </w:tcPr>
          <w:p>
            <w:pPr>
              <w:pStyle w:val="TableContents"/>
              <w:bidi w:val="0"/>
              <w:spacing w:before="0" w:after="283"/>
              <w:jc w:val="left"/>
              <w:rPr/>
            </w:pPr>
            <w:r>
              <w:rPr/>
              <w:t> </w:t>
            </w:r>
          </w:p>
        </w:tc>
      </w:tr>
      <w:tr>
        <w:trPr/>
        <w:tc>
          <w:tcPr>
            <w:tcW w:w="59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8" w:type="dxa"/>
            <w:gridSpan w:val="6"/>
            <w:tcBorders/>
            <w:vAlign w:val="center"/>
          </w:tcPr>
          <w:p>
            <w:pPr>
              <w:pStyle w:val="TableContents"/>
              <w:bidi w:val="0"/>
              <w:spacing w:before="0" w:after="283"/>
              <w:jc w:val="center"/>
              <w:rPr>
                <w:b/>
              </w:rPr>
            </w:pPr>
            <w:r>
              <w:rPr>
                <w:b/>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2" w:type="dxa"/>
            <w:gridSpan w:val="6"/>
            <w:tcBorders/>
            <w:vAlign w:val="center"/>
          </w:tcPr>
          <w:p>
            <w:pPr>
              <w:pStyle w:val="TableContents"/>
              <w:bidi w:val="0"/>
              <w:spacing w:before="0" w:after="283"/>
              <w:jc w:val="center"/>
              <w:rPr>
                <w:b/>
              </w:rPr>
            </w:pPr>
            <w:r>
              <w:rPr>
                <w:b/>
              </w:rPr>
              <w:t>Nine Months Ended</w:t>
            </w:r>
          </w:p>
        </w:tc>
        <w:tc>
          <w:tcPr>
            <w:tcW w:w="82" w:type="dxa"/>
            <w:tcBorders/>
            <w:vAlign w:val="center"/>
          </w:tcPr>
          <w:p>
            <w:pPr>
              <w:pStyle w:val="TableContents"/>
              <w:bidi w:val="0"/>
              <w:spacing w:before="0" w:after="283"/>
              <w:jc w:val="left"/>
              <w:rPr/>
            </w:pPr>
            <w:r>
              <w:rPr/>
              <w:t> </w:t>
            </w:r>
          </w:p>
        </w:tc>
      </w:tr>
      <w:tr>
        <w:trPr/>
        <w:tc>
          <w:tcPr>
            <w:tcW w:w="59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82" w:type="dxa"/>
            <w:tcBorders/>
            <w:vAlign w:val="center"/>
          </w:tcPr>
          <w:p>
            <w:pPr>
              <w:pStyle w:val="TableContents"/>
              <w:bidi w:val="0"/>
              <w:spacing w:before="0" w:after="283"/>
              <w:jc w:val="left"/>
              <w:rPr/>
            </w:pPr>
            <w:r>
              <w:rPr/>
              <w:t> </w:t>
            </w:r>
          </w:p>
        </w:tc>
      </w:tr>
      <w:tr>
        <w:trPr/>
        <w:tc>
          <w:tcPr>
            <w:tcW w:w="59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4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82" w:type="dxa"/>
            <w:tcBorders/>
            <w:vAlign w:val="center"/>
          </w:tcPr>
          <w:p>
            <w:pPr>
              <w:pStyle w:val="TableContents"/>
              <w:bidi w:val="0"/>
              <w:spacing w:before="0" w:after="283"/>
              <w:jc w:val="left"/>
              <w:rPr/>
            </w:pPr>
            <w:r>
              <w:rPr/>
              <w:t> </w:t>
            </w:r>
          </w:p>
        </w:tc>
      </w:tr>
      <w:tr>
        <w:trPr/>
        <w:tc>
          <w:tcPr>
            <w:tcW w:w="59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8" w:type="dxa"/>
            <w:gridSpan w:val="6"/>
            <w:tcBorders/>
            <w:vAlign w:val="center"/>
          </w:tcPr>
          <w:p>
            <w:pPr>
              <w:pStyle w:val="TableContents"/>
              <w:bidi w:val="0"/>
              <w:spacing w:before="0" w:after="283"/>
              <w:jc w:val="center"/>
              <w:rPr>
                <w:b/>
              </w:rPr>
            </w:pPr>
            <w:r>
              <w:rPr>
                <w:b/>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2" w:type="dxa"/>
            <w:gridSpan w:val="6"/>
            <w:tcBorders/>
            <w:vAlign w:val="center"/>
          </w:tcPr>
          <w:p>
            <w:pPr>
              <w:pStyle w:val="TableContents"/>
              <w:bidi w:val="0"/>
              <w:spacing w:before="0" w:after="283"/>
              <w:jc w:val="center"/>
              <w:rPr>
                <w:b/>
              </w:rPr>
            </w:pPr>
            <w:r>
              <w:rPr>
                <w:b/>
              </w:rPr>
              <w:t>(In thousands)</w:t>
            </w:r>
          </w:p>
        </w:tc>
        <w:tc>
          <w:tcPr>
            <w:tcW w:w="82" w:type="dxa"/>
            <w:tcBorders/>
            <w:vAlign w:val="center"/>
          </w:tcPr>
          <w:p>
            <w:pPr>
              <w:pStyle w:val="TableContents"/>
              <w:bidi w:val="0"/>
              <w:spacing w:before="0" w:after="283"/>
              <w:jc w:val="left"/>
              <w:rPr/>
            </w:pPr>
            <w:r>
              <w:rPr/>
              <w:t> </w:t>
            </w:r>
            <w:bookmarkStart w:id="385" w:name="xdx_40C_ecustom--CashPaidForAmountsInclu"/>
            <w:bookmarkEnd w:id="385"/>
          </w:p>
        </w:tc>
      </w:tr>
      <w:tr>
        <w:trPr/>
        <w:tc>
          <w:tcPr>
            <w:tcW w:w="5933" w:type="dxa"/>
            <w:tcBorders/>
            <w:vAlign w:val="center"/>
          </w:tcPr>
          <w:p>
            <w:pPr>
              <w:pStyle w:val="TableContents"/>
              <w:bidi w:val="0"/>
              <w:spacing w:before="0" w:after="283"/>
              <w:jc w:val="left"/>
              <w:rPr>
                <w:b/>
              </w:rPr>
            </w:pPr>
            <w:r>
              <w:rPr>
                <w:b/>
              </w:rPr>
              <w:t>Cash paid for amounts included in the measurement of lease liabilities:</w:t>
            </w:r>
          </w:p>
        </w:tc>
        <w:tc>
          <w:tcPr>
            <w:tcW w:w="60" w:type="dxa"/>
            <w:tcBorders/>
            <w:vAlign w:val="center"/>
          </w:tcPr>
          <w:p>
            <w:pPr>
              <w:pStyle w:val="TableContents"/>
              <w:bidi w:val="0"/>
              <w:spacing w:before="0" w:after="283"/>
              <w:jc w:val="left"/>
              <w:rPr/>
            </w:pPr>
            <w:r>
              <w:rPr/>
              <w:t> </w:t>
            </w:r>
          </w:p>
        </w:tc>
        <w:tc>
          <w:tcPr>
            <w:tcW w:w="948" w:type="dxa"/>
            <w:gridSpan w:val="2"/>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48"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0" w:type="dxa"/>
            <w:gridSpan w:val="2"/>
            <w:tcBorders/>
            <w:vAlign w:val="center"/>
          </w:tcPr>
          <w:p>
            <w:pPr>
              <w:pStyle w:val="TableContents"/>
              <w:bidi w:val="0"/>
              <w:spacing w:before="0" w:after="283"/>
              <w:jc w:val="center"/>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00" w:type="dxa"/>
            <w:gridSpan w:val="2"/>
            <w:tcBorders/>
            <w:vAlign w:val="center"/>
          </w:tcPr>
          <w:p>
            <w:pPr>
              <w:pStyle w:val="TableContents"/>
              <w:bidi w:val="0"/>
              <w:spacing w:before="0" w:after="283"/>
              <w:jc w:val="center"/>
              <w:rPr/>
            </w:pPr>
            <w:r>
              <w:rPr/>
              <w:t> </w:t>
            </w:r>
          </w:p>
        </w:tc>
        <w:tc>
          <w:tcPr>
            <w:tcW w:w="82" w:type="dxa"/>
            <w:tcBorders/>
            <w:vAlign w:val="center"/>
          </w:tcPr>
          <w:p>
            <w:pPr>
              <w:pStyle w:val="TableContents"/>
              <w:bidi w:val="0"/>
              <w:spacing w:before="0" w:after="283"/>
              <w:jc w:val="left"/>
              <w:rPr/>
            </w:pPr>
            <w:r>
              <w:rPr/>
              <w:t> </w:t>
            </w:r>
            <w:bookmarkStart w:id="386" w:name="xdx_40C_eus-gaap--OperatingLeasePayments"/>
            <w:bookmarkEnd w:id="386"/>
          </w:p>
        </w:tc>
      </w:tr>
      <w:tr>
        <w:trPr/>
        <w:tc>
          <w:tcPr>
            <w:tcW w:w="5933" w:type="dxa"/>
            <w:tcBorders/>
            <w:shd w:fill="EEEEEE" w:val="clear"/>
            <w:vAlign w:val="center"/>
          </w:tcPr>
          <w:p>
            <w:pPr>
              <w:pStyle w:val="TableContents"/>
              <w:bidi w:val="0"/>
              <w:spacing w:before="0" w:after="283"/>
              <w:jc w:val="left"/>
              <w:rPr/>
            </w:pPr>
            <w:r>
              <w:rPr/>
              <w:t>Operating cash flows from operating leases</w:t>
            </w:r>
          </w:p>
        </w:tc>
        <w:tc>
          <w:tcPr>
            <w:tcW w:w="60" w:type="dxa"/>
            <w:tcBorders/>
            <w:shd w:fill="EEEEEE" w:val="clear"/>
            <w:vAlign w:val="center"/>
          </w:tcPr>
          <w:p>
            <w:pPr>
              <w:pStyle w:val="TableContents"/>
              <w:bidi w:val="0"/>
              <w:spacing w:before="0" w:after="283"/>
              <w:jc w:val="left"/>
              <w:rPr/>
            </w:pPr>
            <w:r>
              <w:rPr/>
              <w:t> </w:t>
            </w:r>
          </w:p>
        </w:tc>
        <w:tc>
          <w:tcPr>
            <w:tcW w:w="189" w:type="dxa"/>
            <w:tcBorders/>
            <w:shd w:fill="EEEEEE" w:val="clear"/>
            <w:vAlign w:val="center"/>
          </w:tcPr>
          <w:p>
            <w:pPr>
              <w:pStyle w:val="TableContents"/>
              <w:bidi w:val="0"/>
              <w:spacing w:before="0" w:after="283"/>
              <w:jc w:val="left"/>
              <w:rPr/>
            </w:pPr>
            <w:r>
              <w:rPr/>
              <w:t>$</w:t>
            </w:r>
          </w:p>
        </w:tc>
        <w:tc>
          <w:tcPr>
            <w:tcW w:w="759" w:type="dxa"/>
            <w:tcBorders/>
            <w:shd w:fill="EEEEEE" w:val="clear"/>
            <w:vAlign w:val="center"/>
          </w:tcPr>
          <w:p>
            <w:pPr>
              <w:pStyle w:val="TableContents"/>
              <w:bidi w:val="0"/>
              <w:spacing w:before="0" w:after="283"/>
              <w:jc w:val="right"/>
              <w:rPr/>
            </w:pPr>
            <w:r>
              <w:rPr/>
              <w:t>1,410</w:t>
            </w:r>
          </w:p>
        </w:tc>
        <w:tc>
          <w:tcPr>
            <w:tcW w:w="81" w:type="dxa"/>
            <w:tcBorders/>
            <w:shd w:fill="EEEEEE" w:val="clear"/>
            <w:vAlign w:val="center"/>
          </w:tcPr>
          <w:p>
            <w:pPr>
              <w:pStyle w:val="TableContents"/>
              <w:bidi w:val="0"/>
              <w:spacing w:before="0" w:after="283"/>
              <w:jc w:val="left"/>
              <w:rPr/>
            </w:pPr>
            <w:r>
              <w:rPr/>
              <w:t> </w:t>
            </w:r>
          </w:p>
        </w:tc>
        <w:tc>
          <w:tcPr>
            <w:tcW w:w="81" w:type="dxa"/>
            <w:tcBorders/>
            <w:shd w:fill="EEEEEE" w:val="clear"/>
            <w:vAlign w:val="center"/>
          </w:tcPr>
          <w:p>
            <w:pPr>
              <w:pStyle w:val="TableContents"/>
              <w:bidi w:val="0"/>
              <w:spacing w:before="0" w:after="283"/>
              <w:jc w:val="left"/>
              <w:rPr/>
            </w:pPr>
            <w:r>
              <w:rPr/>
              <w:t> </w:t>
            </w:r>
          </w:p>
        </w:tc>
        <w:tc>
          <w:tcPr>
            <w:tcW w:w="189" w:type="dxa"/>
            <w:tcBorders/>
            <w:shd w:fill="EEEEEE" w:val="clear"/>
            <w:vAlign w:val="center"/>
          </w:tcPr>
          <w:p>
            <w:pPr>
              <w:pStyle w:val="TableContents"/>
              <w:bidi w:val="0"/>
              <w:spacing w:before="0" w:after="283"/>
              <w:jc w:val="left"/>
              <w:rPr/>
            </w:pPr>
            <w:r>
              <w:rPr/>
              <w:t>$</w:t>
            </w:r>
          </w:p>
        </w:tc>
        <w:tc>
          <w:tcPr>
            <w:tcW w:w="759" w:type="dxa"/>
            <w:tcBorders/>
            <w:shd w:fill="EEEEEE" w:val="clear"/>
            <w:vAlign w:val="center"/>
          </w:tcPr>
          <w:p>
            <w:pPr>
              <w:pStyle w:val="TableContents"/>
              <w:bidi w:val="0"/>
              <w:spacing w:before="0" w:after="283"/>
              <w:jc w:val="right"/>
              <w:rPr/>
            </w:pPr>
            <w:r>
              <w:rPr/>
              <w:t>1,921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0" w:type="dxa"/>
            <w:tcBorders/>
            <w:shd w:fill="EEEEEE" w:val="clear"/>
            <w:vAlign w:val="center"/>
          </w:tcPr>
          <w:p>
            <w:pPr>
              <w:pStyle w:val="TableContents"/>
              <w:bidi w:val="0"/>
              <w:spacing w:before="0" w:after="283"/>
              <w:jc w:val="left"/>
              <w:rPr/>
            </w:pPr>
            <w:r>
              <w:rPr/>
              <w:t>$</w:t>
            </w:r>
          </w:p>
        </w:tc>
        <w:tc>
          <w:tcPr>
            <w:tcW w:w="720" w:type="dxa"/>
            <w:tcBorders/>
            <w:shd w:fill="EEEEEE" w:val="clear"/>
            <w:vAlign w:val="center"/>
          </w:tcPr>
          <w:p>
            <w:pPr>
              <w:pStyle w:val="TableContents"/>
              <w:bidi w:val="0"/>
              <w:spacing w:before="0" w:after="283"/>
              <w:jc w:val="right"/>
              <w:rPr/>
            </w:pPr>
            <w:r>
              <w:rPr/>
              <w:t>4,181</w:t>
            </w:r>
          </w:p>
        </w:tc>
        <w:tc>
          <w:tcPr>
            <w:tcW w:w="76" w:type="dxa"/>
            <w:tcBorders/>
            <w:shd w:fill="EEEEEE" w:val="clear"/>
            <w:vAlign w:val="center"/>
          </w:tcPr>
          <w:p>
            <w:pPr>
              <w:pStyle w:val="TableContents"/>
              <w:bidi w:val="0"/>
              <w:spacing w:before="0" w:after="283"/>
              <w:jc w:val="left"/>
              <w:rPr/>
            </w:pPr>
            <w:r>
              <w:rPr/>
              <w:t> </w:t>
            </w:r>
          </w:p>
        </w:tc>
        <w:tc>
          <w:tcPr>
            <w:tcW w:w="76" w:type="dxa"/>
            <w:tcBorders/>
            <w:shd w:fill="EEEEEE" w:val="clear"/>
            <w:vAlign w:val="center"/>
          </w:tcPr>
          <w:p>
            <w:pPr>
              <w:pStyle w:val="TableContents"/>
              <w:bidi w:val="0"/>
              <w:spacing w:before="0" w:after="283"/>
              <w:jc w:val="left"/>
              <w:rPr/>
            </w:pPr>
            <w:r>
              <w:rPr/>
              <w:t> </w:t>
            </w:r>
          </w:p>
        </w:tc>
        <w:tc>
          <w:tcPr>
            <w:tcW w:w="180" w:type="dxa"/>
            <w:tcBorders/>
            <w:shd w:fill="EEEEEE" w:val="clear"/>
            <w:vAlign w:val="center"/>
          </w:tcPr>
          <w:p>
            <w:pPr>
              <w:pStyle w:val="TableContents"/>
              <w:bidi w:val="0"/>
              <w:spacing w:before="0" w:after="283"/>
              <w:jc w:val="left"/>
              <w:rPr/>
            </w:pPr>
            <w:r>
              <w:rPr/>
              <w:t>$</w:t>
            </w:r>
          </w:p>
        </w:tc>
        <w:tc>
          <w:tcPr>
            <w:tcW w:w="720" w:type="dxa"/>
            <w:tcBorders/>
            <w:shd w:fill="EEEEEE" w:val="clear"/>
            <w:vAlign w:val="center"/>
          </w:tcPr>
          <w:p>
            <w:pPr>
              <w:pStyle w:val="TableContents"/>
              <w:bidi w:val="0"/>
              <w:spacing w:before="0" w:after="283"/>
              <w:jc w:val="right"/>
              <w:rPr/>
            </w:pPr>
            <w:r>
              <w:rPr/>
              <w:t>5,616</w:t>
            </w:r>
          </w:p>
        </w:tc>
        <w:tc>
          <w:tcPr>
            <w:tcW w:w="82" w:type="dxa"/>
            <w:tcBorders/>
            <w:shd w:fill="EEEEEE" w:val="clear"/>
            <w:vAlign w:val="center"/>
          </w:tcPr>
          <w:p>
            <w:pPr>
              <w:pStyle w:val="TableContents"/>
              <w:bidi w:val="0"/>
              <w:spacing w:before="0" w:after="283"/>
              <w:jc w:val="left"/>
              <w:rPr/>
            </w:pPr>
            <w:r>
              <w:rPr/>
              <w:t> </w:t>
            </w:r>
            <w:bookmarkStart w:id="387" w:name="xdx_406_eus-gaap--FinanceLeasePrincipalP"/>
            <w:bookmarkEnd w:id="387"/>
          </w:p>
        </w:tc>
      </w:tr>
      <w:tr>
        <w:trPr/>
        <w:tc>
          <w:tcPr>
            <w:tcW w:w="5933" w:type="dxa"/>
            <w:tcBorders/>
            <w:shd w:fill="FFFFFF" w:val="clear"/>
            <w:vAlign w:val="center"/>
          </w:tcPr>
          <w:p>
            <w:pPr>
              <w:pStyle w:val="TableContents"/>
              <w:bidi w:val="0"/>
              <w:spacing w:before="0" w:after="283"/>
              <w:jc w:val="left"/>
              <w:rPr/>
            </w:pPr>
            <w:r>
              <w:rPr/>
              <w:t>Operating cash flows from finance leases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pPr>
            <w:r>
              <w:rPr/>
              <w:t>17</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pPr>
            <w:r>
              <w:rPr/>
              <w:t>249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pPr>
            <w:r>
              <w:rPr/>
              <w:t>139</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pPr>
            <w:r>
              <w:rPr/>
              <w:t>776</w:t>
            </w:r>
          </w:p>
        </w:tc>
        <w:tc>
          <w:tcPr>
            <w:tcW w:w="82" w:type="dxa"/>
            <w:tcBorders/>
            <w:shd w:fill="FFFFFF" w:val="clear"/>
            <w:vAlign w:val="center"/>
          </w:tcPr>
          <w:p>
            <w:pPr>
              <w:pStyle w:val="TableContents"/>
              <w:bidi w:val="0"/>
              <w:spacing w:before="0" w:after="283"/>
              <w:jc w:val="left"/>
              <w:rPr/>
            </w:pPr>
            <w:r>
              <w:rPr/>
              <w:t> </w:t>
            </w:r>
            <w:bookmarkStart w:id="388" w:name="xdx_40F_ecustom--FinancingCashFlowsFromF"/>
            <w:bookmarkEnd w:id="388"/>
          </w:p>
        </w:tc>
      </w:tr>
      <w:tr>
        <w:trPr/>
        <w:tc>
          <w:tcPr>
            <w:tcW w:w="5933" w:type="dxa"/>
            <w:tcBorders/>
            <w:shd w:fill="EEEEEE" w:val="clear"/>
            <w:vAlign w:val="center"/>
          </w:tcPr>
          <w:p>
            <w:pPr>
              <w:pStyle w:val="TableContents"/>
              <w:bidi w:val="0"/>
              <w:spacing w:before="0" w:after="283"/>
              <w:jc w:val="left"/>
              <w:rPr/>
            </w:pPr>
            <w:r>
              <w:rPr/>
              <w:t>Financing cash flows from finance leases</w:t>
            </w:r>
          </w:p>
        </w:tc>
        <w:tc>
          <w:tcPr>
            <w:tcW w:w="60" w:type="dxa"/>
            <w:tcBorders/>
            <w:shd w:fill="EEEEEE" w:val="clear"/>
            <w:vAlign w:val="center"/>
          </w:tcPr>
          <w:p>
            <w:pPr>
              <w:pStyle w:val="TableContents"/>
              <w:bidi w:val="0"/>
              <w:spacing w:before="0" w:after="283"/>
              <w:jc w:val="left"/>
              <w:rPr/>
            </w:pPr>
            <w:r>
              <w:rPr/>
              <w:t> </w:t>
            </w:r>
          </w:p>
        </w:tc>
        <w:tc>
          <w:tcPr>
            <w:tcW w:w="189" w:type="dxa"/>
            <w:tcBorders/>
            <w:shd w:fill="EEEEEE" w:val="clear"/>
            <w:vAlign w:val="center"/>
          </w:tcPr>
          <w:p>
            <w:pPr>
              <w:pStyle w:val="TableContents"/>
              <w:bidi w:val="0"/>
              <w:spacing w:before="0" w:after="283"/>
              <w:jc w:val="left"/>
              <w:rPr/>
            </w:pPr>
            <w:r>
              <w:rPr/>
              <w:t> </w:t>
            </w:r>
          </w:p>
        </w:tc>
        <w:tc>
          <w:tcPr>
            <w:tcW w:w="759" w:type="dxa"/>
            <w:tcBorders/>
            <w:shd w:fill="EEEEEE" w:val="clear"/>
            <w:vAlign w:val="center"/>
          </w:tcPr>
          <w:p>
            <w:pPr>
              <w:pStyle w:val="TableContents"/>
              <w:bidi w:val="0"/>
              <w:spacing w:before="0" w:after="283"/>
              <w:jc w:val="right"/>
              <w:rPr/>
            </w:pPr>
            <w:r>
              <w:rPr/>
              <w:t>1</w:t>
            </w:r>
          </w:p>
        </w:tc>
        <w:tc>
          <w:tcPr>
            <w:tcW w:w="81" w:type="dxa"/>
            <w:tcBorders/>
            <w:shd w:fill="EEEEEE" w:val="clear"/>
            <w:vAlign w:val="center"/>
          </w:tcPr>
          <w:p>
            <w:pPr>
              <w:pStyle w:val="TableContents"/>
              <w:bidi w:val="0"/>
              <w:spacing w:before="0" w:after="283"/>
              <w:jc w:val="left"/>
              <w:rPr/>
            </w:pPr>
            <w:r>
              <w:rPr/>
              <w:t> </w:t>
            </w:r>
          </w:p>
        </w:tc>
        <w:tc>
          <w:tcPr>
            <w:tcW w:w="81" w:type="dxa"/>
            <w:tcBorders/>
            <w:shd w:fill="EEEEEE" w:val="clear"/>
            <w:vAlign w:val="center"/>
          </w:tcPr>
          <w:p>
            <w:pPr>
              <w:pStyle w:val="TableContents"/>
              <w:bidi w:val="0"/>
              <w:spacing w:before="0" w:after="283"/>
              <w:jc w:val="left"/>
              <w:rPr/>
            </w:pPr>
            <w:r>
              <w:rPr/>
              <w:t> </w:t>
            </w:r>
          </w:p>
        </w:tc>
        <w:tc>
          <w:tcPr>
            <w:tcW w:w="189" w:type="dxa"/>
            <w:tcBorders/>
            <w:shd w:fill="EEEEEE" w:val="clear"/>
            <w:vAlign w:val="center"/>
          </w:tcPr>
          <w:p>
            <w:pPr>
              <w:pStyle w:val="TableContents"/>
              <w:bidi w:val="0"/>
              <w:spacing w:before="0" w:after="283"/>
              <w:jc w:val="left"/>
              <w:rPr/>
            </w:pPr>
            <w:r>
              <w:rPr/>
              <w:t> </w:t>
            </w:r>
          </w:p>
        </w:tc>
        <w:tc>
          <w:tcPr>
            <w:tcW w:w="759" w:type="dxa"/>
            <w:tcBorders/>
            <w:shd w:fill="EEEEEE" w:val="clear"/>
            <w:vAlign w:val="center"/>
          </w:tcPr>
          <w:p>
            <w:pPr>
              <w:pStyle w:val="TableContents"/>
              <w:bidi w:val="0"/>
              <w:spacing w:before="0" w:after="283"/>
              <w:jc w:val="right"/>
              <w:rPr/>
            </w:pPr>
            <w:r>
              <w:rPr/>
              <w:t>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0" w:type="dxa"/>
            <w:tcBorders/>
            <w:shd w:fill="EEEEEE" w:val="clear"/>
            <w:vAlign w:val="center"/>
          </w:tcPr>
          <w:p>
            <w:pPr>
              <w:pStyle w:val="TableContents"/>
              <w:bidi w:val="0"/>
              <w:spacing w:before="0" w:after="283"/>
              <w:jc w:val="left"/>
              <w:rPr/>
            </w:pPr>
            <w:r>
              <w:rPr/>
              <w:t> </w:t>
            </w:r>
          </w:p>
        </w:tc>
        <w:tc>
          <w:tcPr>
            <w:tcW w:w="720" w:type="dxa"/>
            <w:tcBorders/>
            <w:shd w:fill="EEEEEE" w:val="clear"/>
            <w:vAlign w:val="center"/>
          </w:tcPr>
          <w:p>
            <w:pPr>
              <w:pStyle w:val="TableContents"/>
              <w:bidi w:val="0"/>
              <w:spacing w:before="0" w:after="283"/>
              <w:jc w:val="right"/>
              <w:rPr/>
            </w:pPr>
            <w:r>
              <w:rPr/>
              <w:t>5</w:t>
            </w:r>
          </w:p>
        </w:tc>
        <w:tc>
          <w:tcPr>
            <w:tcW w:w="76" w:type="dxa"/>
            <w:tcBorders/>
            <w:shd w:fill="EEEEEE" w:val="clear"/>
            <w:vAlign w:val="center"/>
          </w:tcPr>
          <w:p>
            <w:pPr>
              <w:pStyle w:val="TableContents"/>
              <w:bidi w:val="0"/>
              <w:spacing w:before="0" w:after="283"/>
              <w:jc w:val="left"/>
              <w:rPr/>
            </w:pPr>
            <w:r>
              <w:rPr/>
              <w:t> </w:t>
            </w:r>
          </w:p>
        </w:tc>
        <w:tc>
          <w:tcPr>
            <w:tcW w:w="76" w:type="dxa"/>
            <w:tcBorders/>
            <w:shd w:fill="EEEEEE" w:val="clear"/>
            <w:vAlign w:val="center"/>
          </w:tcPr>
          <w:p>
            <w:pPr>
              <w:pStyle w:val="TableContents"/>
              <w:bidi w:val="0"/>
              <w:spacing w:before="0" w:after="283"/>
              <w:jc w:val="left"/>
              <w:rPr/>
            </w:pPr>
            <w:r>
              <w:rPr/>
              <w:t> </w:t>
            </w:r>
          </w:p>
        </w:tc>
        <w:tc>
          <w:tcPr>
            <w:tcW w:w="180" w:type="dxa"/>
            <w:tcBorders/>
            <w:shd w:fill="EEEEEE" w:val="clear"/>
            <w:vAlign w:val="center"/>
          </w:tcPr>
          <w:p>
            <w:pPr>
              <w:pStyle w:val="TableContents"/>
              <w:bidi w:val="0"/>
              <w:spacing w:before="0" w:after="283"/>
              <w:jc w:val="left"/>
              <w:rPr/>
            </w:pPr>
            <w:r>
              <w:rPr/>
              <w:t> </w:t>
            </w:r>
          </w:p>
        </w:tc>
        <w:tc>
          <w:tcPr>
            <w:tcW w:w="720" w:type="dxa"/>
            <w:tcBorders/>
            <w:shd w:fill="EEEEEE" w:val="clear"/>
            <w:vAlign w:val="center"/>
          </w:tcPr>
          <w:p>
            <w:pPr>
              <w:pStyle w:val="TableContents"/>
              <w:bidi w:val="0"/>
              <w:spacing w:before="0" w:after="283"/>
              <w:jc w:val="right"/>
              <w:rPr/>
            </w:pPr>
            <w:r>
              <w:rPr/>
              <w:t>36</w:t>
            </w:r>
          </w:p>
        </w:tc>
        <w:tc>
          <w:tcPr>
            <w:tcW w:w="82"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89" w:name="xdx_8AB_zDehxcZvtyo6"/>
      <w:bookmarkEnd w:id="389"/>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90" w:name="xdx_863_zgGDQoGif8f7"/>
      <w:bookmarkStart w:id="391" w:name="xdx_84C_eus-gaap--ShareBasedCompensation"/>
      <w:bookmarkEnd w:id="390"/>
      <w:bookmarkEnd w:id="391"/>
      <w:r>
        <w:rPr>
          <w:rFonts w:ascii="Times New Roman;Times;Serif" w:hAnsi="Times New Roman;Times;Serif"/>
          <w:b/>
          <w:i w:val="false"/>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compensation costs in the financial statements for all share-based payments based on the grant date fair value estimated in accordance with the provisions of ASC 718 “Stock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nine months ended September 30, 2023, we recorded stock-based compensation costs in the amount of $</w:t>
      </w:r>
      <w:bookmarkStart w:id="392" w:name="xdx_903_eus-gaap--ShareBasedCompensation"/>
      <w:bookmarkEnd w:id="392"/>
      <w:r>
        <w:rPr>
          <w:rFonts w:ascii="Times New Roman;Times;Serif" w:hAnsi="Times New Roman;Times;Serif"/>
          <w:b w:val="false"/>
          <w:i w:val="false"/>
          <w:caps w:val="false"/>
          <w:smallCaps w:val="false"/>
          <w:sz w:val="20"/>
        </w:rPr>
        <w:t>816,000 and $</w:t>
      </w:r>
      <w:bookmarkStart w:id="393" w:name="xdx_90A_eus-gaap--ShareBasedCompensation"/>
      <w:bookmarkEnd w:id="393"/>
      <w:r>
        <w:rPr>
          <w:rFonts w:ascii="Times New Roman;Times;Serif" w:hAnsi="Times New Roman;Times;Serif"/>
          <w:b w:val="false"/>
          <w:i w:val="false"/>
          <w:caps w:val="false"/>
          <w:smallCaps w:val="false"/>
          <w:sz w:val="20"/>
        </w:rPr>
        <w:t>2.6 million, respectively. These stock-based compensation costs were $</w:t>
      </w:r>
      <w:bookmarkStart w:id="394" w:name="xdx_908_eus-gaap--ShareBasedCompensation"/>
      <w:bookmarkEnd w:id="394"/>
      <w:r>
        <w:rPr>
          <w:rFonts w:ascii="Times New Roman;Times;Serif" w:hAnsi="Times New Roman;Times;Serif"/>
          <w:b w:val="false"/>
          <w:i w:val="false"/>
          <w:caps w:val="false"/>
          <w:smallCaps w:val="false"/>
          <w:sz w:val="20"/>
        </w:rPr>
        <w:t>1.4 million and $</w:t>
      </w:r>
      <w:bookmarkStart w:id="395" w:name="xdx_904_eus-gaap--ShareBasedCompensation"/>
      <w:bookmarkEnd w:id="395"/>
      <w:r>
        <w:rPr>
          <w:rFonts w:ascii="Times New Roman;Times;Serif" w:hAnsi="Times New Roman;Times;Serif"/>
          <w:b w:val="false"/>
          <w:i w:val="false"/>
          <w:caps w:val="false"/>
          <w:smallCaps w:val="false"/>
          <w:sz w:val="20"/>
        </w:rPr>
        <w:t>3.0 million for the three and nine months ended September 30, 2022. As of September 30, 2023, unrecognized stock-based compensation costs to be recognized over future periods equaled $</w:t>
      </w:r>
      <w:bookmarkStart w:id="396" w:name="xdx_902_eus-gaap--EmployeeServiceShareBa"/>
      <w:bookmarkEnd w:id="396"/>
      <w:r>
        <w:rPr>
          <w:rFonts w:ascii="Times New Roman;Times;Serif" w:hAnsi="Times New Roman;Times;Serif"/>
          <w:b w:val="false"/>
          <w:i w:val="false"/>
          <w:caps w:val="false"/>
          <w:smallCaps w:val="false"/>
          <w:sz w:val="20"/>
        </w:rPr>
        <w:t xml:space="preserve">6.8 million. This amount will be recognized as expense over a weighted-average period of </w:t>
      </w:r>
      <w:bookmarkStart w:id="397" w:name="xdx_904_eus-gaap--EmployeeServiceShareBa"/>
      <w:bookmarkEnd w:id="397"/>
      <w:r>
        <w:rPr>
          <w:rFonts w:ascii="Times New Roman;Times;Serif" w:hAnsi="Times New Roman;Times;Serif"/>
          <w:b w:val="false"/>
          <w:i w:val="false"/>
          <w:caps w:val="false"/>
          <w:smallCaps w:val="false"/>
          <w:sz w:val="20"/>
        </w:rPr>
        <w:t>2.0 years.</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represents stock option activity for the nine months ended September 30, 2023:</w:t>
      </w:r>
    </w:p>
    <w:p>
      <w:pPr>
        <w:pStyle w:val="Normal"/>
        <w:bidi w:val="0"/>
        <w:spacing w:before="0" w:after="0"/>
        <w:ind w:left="0" w:right="0" w:hanging="0"/>
        <w:jc w:val="left"/>
        <w:rPr>
          <w:sz w:val="4"/>
          <w:szCs w:val="4"/>
        </w:rPr>
      </w:pPr>
      <w:r>
        <w:rPr>
          <w:sz w:val="4"/>
          <w:szCs w:val="4"/>
        </w:rPr>
      </w:r>
      <w:bookmarkStart w:id="398" w:name="xdx_894_eus-gaap--ScheduleOfShareBasedCo"/>
      <w:bookmarkStart w:id="399" w:name="xdx_894_eus-gaap--ScheduleOfShareBasedCo"/>
      <w:bookmarkEnd w:id="399"/>
    </w:p>
    <w:tbl>
      <w:tblPr>
        <w:tblW w:w="9578" w:type="dxa"/>
        <w:jc w:val="left"/>
        <w:tblInd w:w="0" w:type="dxa"/>
        <w:tblLayout w:type="fixed"/>
        <w:tblCellMar>
          <w:top w:w="0" w:type="dxa"/>
          <w:left w:w="0" w:type="dxa"/>
          <w:bottom w:w="0" w:type="dxa"/>
          <w:right w:w="0" w:type="dxa"/>
        </w:tblCellMar>
      </w:tblPr>
      <w:tblGrid>
        <w:gridCol w:w="4430"/>
        <w:gridCol w:w="60"/>
        <w:gridCol w:w="116"/>
        <w:gridCol w:w="1343"/>
        <w:gridCol w:w="95"/>
        <w:gridCol w:w="60"/>
        <w:gridCol w:w="352"/>
        <w:gridCol w:w="1107"/>
        <w:gridCol w:w="60"/>
        <w:gridCol w:w="60"/>
        <w:gridCol w:w="1895"/>
      </w:tblGrid>
      <w:tr>
        <w:trPr/>
        <w:tc>
          <w:tcPr>
            <w:tcW w:w="4430" w:type="dxa"/>
            <w:tcBorders/>
            <w:vAlign w:val="center"/>
          </w:tcPr>
          <w:p>
            <w:pPr>
              <w:pStyle w:val="TableContents"/>
              <w:bidi w:val="0"/>
              <w:spacing w:before="0" w:after="283"/>
              <w:jc w:val="left"/>
              <w:rPr/>
            </w:pPr>
            <w:bookmarkStart w:id="400" w:name="xdx_8B6_zQIc1r4KGjB6"/>
            <w:bookmarkEnd w:id="400"/>
            <w:r>
              <w:rPr/>
              <w:t>Schedule of option activity</w:t>
            </w:r>
          </w:p>
        </w:tc>
        <w:tc>
          <w:tcPr>
            <w:tcW w:w="6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343"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pPr>
            <w:r>
              <w:rPr/>
              <w:t> </w:t>
            </w:r>
          </w:p>
        </w:tc>
      </w:tr>
      <w:tr>
        <w:trPr/>
        <w:tc>
          <w:tcPr>
            <w:tcW w:w="4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b/>
              </w:rPr>
            </w:pPr>
            <w:r>
              <w:rPr>
                <w:b/>
              </w:rPr>
              <w:t>Weighted</w:t>
            </w:r>
          </w:p>
        </w:tc>
      </w:tr>
      <w:tr>
        <w:trPr/>
        <w:tc>
          <w:tcPr>
            <w:tcW w:w="4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b/>
              </w:rPr>
            </w:pPr>
            <w:r>
              <w:rPr>
                <w:b/>
              </w:rPr>
              <w:t>Number of</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b/>
              </w:rPr>
            </w:pPr>
            <w:r>
              <w:rPr>
                <w:b/>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b/>
              </w:rPr>
            </w:pPr>
            <w:r>
              <w:rPr>
                <w:b/>
              </w:rPr>
              <w:t>Average</w:t>
            </w:r>
          </w:p>
        </w:tc>
      </w:tr>
      <w:tr>
        <w:trPr/>
        <w:tc>
          <w:tcPr>
            <w:tcW w:w="4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b/>
              </w:rPr>
            </w:pPr>
            <w:r>
              <w:rPr>
                <w:b/>
              </w:rPr>
              <w:t>Remaining</w:t>
            </w:r>
          </w:p>
        </w:tc>
      </w:tr>
      <w:tr>
        <w:trPr/>
        <w:tc>
          <w:tcPr>
            <w:tcW w:w="4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 thousands)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tcBorders>
              <w:bottom w:val="single" w:sz="8" w:space="0" w:color="000000"/>
            </w:tcBorders>
            <w:tcMar>
              <w:bottom w:w="28" w:type="dxa"/>
            </w:tcMar>
            <w:vAlign w:val="center"/>
          </w:tcPr>
          <w:p>
            <w:pPr>
              <w:pStyle w:val="TableContents"/>
              <w:bidi w:val="0"/>
              <w:spacing w:before="0" w:after="283"/>
              <w:jc w:val="center"/>
              <w:rPr>
                <w:b/>
              </w:rPr>
            </w:pPr>
            <w:r>
              <w:rPr>
                <w:b/>
              </w:rPr>
              <w:t>Contractual Term</w:t>
            </w:r>
          </w:p>
        </w:tc>
      </w:tr>
      <w:tr>
        <w:trPr/>
        <w:tc>
          <w:tcPr>
            <w:tcW w:w="4430" w:type="dxa"/>
            <w:tcBorders/>
            <w:shd w:fill="EEEEEE" w:val="clear"/>
            <w:vAlign w:val="center"/>
          </w:tcPr>
          <w:p>
            <w:pPr>
              <w:pStyle w:val="TableContents"/>
              <w:bidi w:val="0"/>
              <w:spacing w:before="0" w:after="283"/>
              <w:jc w:val="left"/>
              <w:rPr/>
            </w:pPr>
            <w:r>
              <w:rPr/>
              <w:t>Options outstanding at the beginning of period</w:t>
            </w:r>
          </w:p>
        </w:tc>
        <w:tc>
          <w:tcPr>
            <w:tcW w:w="60" w:type="dxa"/>
            <w:tcBorders/>
            <w:shd w:fill="EEEEEE" w:val="clear"/>
            <w:vAlign w:val="center"/>
          </w:tcPr>
          <w:p>
            <w:pPr>
              <w:pStyle w:val="TableContents"/>
              <w:bidi w:val="0"/>
              <w:spacing w:before="0" w:after="283"/>
              <w:jc w:val="left"/>
              <w:rPr/>
            </w:pPr>
            <w:r>
              <w:rPr/>
              <w:t> </w:t>
            </w:r>
          </w:p>
        </w:tc>
        <w:tc>
          <w:tcPr>
            <w:tcW w:w="116" w:type="dxa"/>
            <w:tcBorders/>
            <w:shd w:fill="EEEEEE" w:val="clear"/>
            <w:vAlign w:val="center"/>
          </w:tcPr>
          <w:p>
            <w:pPr>
              <w:pStyle w:val="TableContents"/>
              <w:bidi w:val="0"/>
              <w:spacing w:before="0" w:after="283"/>
              <w:jc w:val="left"/>
              <w:rPr/>
            </w:pPr>
            <w:r>
              <w:rPr/>
              <w:t> </w:t>
            </w:r>
            <w:bookmarkStart w:id="401" w:name="xdx_98E_eus-gaap--ShareBasedCompensation"/>
            <w:bookmarkEnd w:id="401"/>
          </w:p>
        </w:tc>
        <w:tc>
          <w:tcPr>
            <w:tcW w:w="1343" w:type="dxa"/>
            <w:tcBorders/>
            <w:shd w:fill="EEEEEE" w:val="clear"/>
            <w:vAlign w:val="center"/>
          </w:tcPr>
          <w:p>
            <w:pPr>
              <w:pStyle w:val="TableContents"/>
              <w:bidi w:val="0"/>
              <w:spacing w:before="0" w:after="283"/>
              <w:jc w:val="right"/>
              <w:rPr/>
            </w:pPr>
            <w:r>
              <w:rPr/>
              <w:t>11,167</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352" w:type="dxa"/>
            <w:tcBorders/>
            <w:shd w:fill="EEEEEE" w:val="clear"/>
            <w:vAlign w:val="center"/>
          </w:tcPr>
          <w:p>
            <w:pPr>
              <w:pStyle w:val="TableContents"/>
              <w:bidi w:val="0"/>
              <w:spacing w:before="0" w:after="283"/>
              <w:jc w:val="left"/>
              <w:rPr/>
            </w:pPr>
            <w:r>
              <w:rPr/>
              <w:t>$</w:t>
            </w:r>
            <w:bookmarkStart w:id="402" w:name="xdx_980_eus-gaap--ShareBasedCompensation"/>
            <w:bookmarkEnd w:id="402"/>
          </w:p>
        </w:tc>
        <w:tc>
          <w:tcPr>
            <w:tcW w:w="1107" w:type="dxa"/>
            <w:tcBorders/>
            <w:shd w:fill="EEEEEE" w:val="clear"/>
            <w:vAlign w:val="center"/>
          </w:tcPr>
          <w:p>
            <w:pPr>
              <w:pStyle w:val="TableContents"/>
              <w:bidi w:val="0"/>
              <w:spacing w:before="0" w:after="283"/>
              <w:jc w:val="right"/>
              <w:rPr/>
            </w:pPr>
            <w:r>
              <w:rPr/>
              <w:t>5.21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95" w:type="dxa"/>
            <w:tcBorders/>
            <w:shd w:fill="EEEEEE" w:val="clear"/>
            <w:vAlign w:val="center"/>
          </w:tcPr>
          <w:p>
            <w:pPr>
              <w:pStyle w:val="TableContents"/>
              <w:bidi w:val="0"/>
              <w:spacing w:before="0" w:after="283"/>
              <w:jc w:val="center"/>
              <w:rPr/>
            </w:pPr>
            <w:r>
              <w:rPr/>
              <w:t>N/A</w:t>
            </w:r>
          </w:p>
        </w:tc>
      </w:tr>
      <w:tr>
        <w:trPr/>
        <w:tc>
          <w:tcPr>
            <w:tcW w:w="443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bookmarkStart w:id="403" w:name="xdx_98A_eus-gaap--ShareBasedCompensation"/>
            <w:bookmarkEnd w:id="403"/>
          </w:p>
        </w:tc>
        <w:tc>
          <w:tcPr>
            <w:tcW w:w="134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bookmarkStart w:id="404" w:name="xdx_98E_eus-gaap--ShareBasedCompensation"/>
            <w:bookmarkEnd w:id="404"/>
          </w:p>
        </w:tc>
        <w:tc>
          <w:tcPr>
            <w:tcW w:w="110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5" w:type="dxa"/>
            <w:tcBorders/>
            <w:shd w:fill="FFFFFF" w:val="clear"/>
            <w:vAlign w:val="center"/>
          </w:tcPr>
          <w:p>
            <w:pPr>
              <w:pStyle w:val="TableContents"/>
              <w:bidi w:val="0"/>
              <w:spacing w:before="0" w:after="283"/>
              <w:jc w:val="center"/>
              <w:rPr/>
            </w:pPr>
            <w:r>
              <w:rPr/>
              <w:t>N/A</w:t>
            </w:r>
          </w:p>
        </w:tc>
      </w:tr>
      <w:tr>
        <w:trPr/>
        <w:tc>
          <w:tcPr>
            <w:tcW w:w="4430" w:type="dxa"/>
            <w:tcBorders/>
            <w:shd w:fill="EEEEEE" w:val="clear"/>
            <w:vAlign w:val="center"/>
          </w:tcPr>
          <w:p>
            <w:pPr>
              <w:pStyle w:val="TableContents"/>
              <w:bidi w:val="0"/>
              <w:spacing w:before="0" w:after="283"/>
              <w:jc w:val="left"/>
              <w:rPr/>
            </w:pPr>
            <w:r>
              <w:rPr/>
              <w:t>Exercised</w:t>
            </w:r>
          </w:p>
        </w:tc>
        <w:tc>
          <w:tcPr>
            <w:tcW w:w="60" w:type="dxa"/>
            <w:tcBorders/>
            <w:shd w:fill="EEEEEE" w:val="clear"/>
            <w:vAlign w:val="center"/>
          </w:tcPr>
          <w:p>
            <w:pPr>
              <w:pStyle w:val="TableContents"/>
              <w:bidi w:val="0"/>
              <w:spacing w:before="0" w:after="283"/>
              <w:jc w:val="left"/>
              <w:rPr/>
            </w:pPr>
            <w:r>
              <w:rPr/>
              <w:t> </w:t>
            </w:r>
          </w:p>
        </w:tc>
        <w:tc>
          <w:tcPr>
            <w:tcW w:w="116" w:type="dxa"/>
            <w:tcBorders/>
            <w:shd w:fill="EEEEEE" w:val="clear"/>
            <w:vAlign w:val="center"/>
          </w:tcPr>
          <w:p>
            <w:pPr>
              <w:pStyle w:val="TableContents"/>
              <w:bidi w:val="0"/>
              <w:spacing w:before="0" w:after="283"/>
              <w:jc w:val="left"/>
              <w:rPr/>
            </w:pPr>
            <w:r>
              <w:rPr/>
              <w:t> </w:t>
            </w:r>
            <w:bookmarkStart w:id="405" w:name="xdx_982_eus-gaap--StockIssuedDuringPerio"/>
            <w:bookmarkEnd w:id="405"/>
          </w:p>
        </w:tc>
        <w:tc>
          <w:tcPr>
            <w:tcW w:w="1343" w:type="dxa"/>
            <w:tcBorders/>
            <w:shd w:fill="EEEEEE" w:val="clear"/>
            <w:vAlign w:val="center"/>
          </w:tcPr>
          <w:p>
            <w:pPr>
              <w:pStyle w:val="TableContents"/>
              <w:bidi w:val="0"/>
              <w:spacing w:before="0" w:after="283"/>
              <w:jc w:val="right"/>
              <w:rPr/>
            </w:pPr>
            <w:r>
              <w:rPr/>
              <w:t>(2,832</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352" w:type="dxa"/>
            <w:tcBorders/>
            <w:shd w:fill="EEEEEE" w:val="clear"/>
            <w:vAlign w:val="center"/>
          </w:tcPr>
          <w:p>
            <w:pPr>
              <w:pStyle w:val="TableContents"/>
              <w:bidi w:val="0"/>
              <w:spacing w:before="0" w:after="283"/>
              <w:jc w:val="left"/>
              <w:rPr/>
            </w:pPr>
            <w:r>
              <w:rPr/>
              <w:t> </w:t>
            </w:r>
            <w:bookmarkStart w:id="406" w:name="xdx_98E_eus-gaap--ShareBasedCompensation"/>
            <w:bookmarkEnd w:id="406"/>
          </w:p>
        </w:tc>
        <w:tc>
          <w:tcPr>
            <w:tcW w:w="1107" w:type="dxa"/>
            <w:tcBorders/>
            <w:shd w:fill="EEEEEE" w:val="clear"/>
            <w:vAlign w:val="center"/>
          </w:tcPr>
          <w:p>
            <w:pPr>
              <w:pStyle w:val="TableContents"/>
              <w:bidi w:val="0"/>
              <w:spacing w:before="0" w:after="283"/>
              <w:jc w:val="right"/>
              <w:rPr/>
            </w:pPr>
            <w:r>
              <w:rPr/>
              <w:t>5.59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95" w:type="dxa"/>
            <w:tcBorders/>
            <w:shd w:fill="EEEEEE" w:val="clear"/>
            <w:vAlign w:val="center"/>
          </w:tcPr>
          <w:p>
            <w:pPr>
              <w:pStyle w:val="TableContents"/>
              <w:bidi w:val="0"/>
              <w:spacing w:before="0" w:after="283"/>
              <w:jc w:val="center"/>
              <w:rPr/>
            </w:pPr>
            <w:r>
              <w:rPr/>
              <w:t>N/A</w:t>
            </w:r>
          </w:p>
        </w:tc>
      </w:tr>
      <w:tr>
        <w:trPr/>
        <w:tc>
          <w:tcPr>
            <w:tcW w:w="4430"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07" w:name="xdx_985_eus-gaap--ShareBasedCompensation"/>
            <w:bookmarkEnd w:id="407"/>
          </w:p>
        </w:tc>
        <w:tc>
          <w:tcPr>
            <w:tcW w:w="134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08" w:name="xdx_989_eus-gaap--ShareBasedCompensation"/>
            <w:bookmarkEnd w:id="408"/>
          </w:p>
        </w:tc>
        <w:tc>
          <w:tcPr>
            <w:tcW w:w="110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5" w:type="dxa"/>
            <w:tcBorders/>
            <w:shd w:fill="FFFFFF" w:val="clear"/>
            <w:vAlign w:val="center"/>
          </w:tcPr>
          <w:p>
            <w:pPr>
              <w:pStyle w:val="TableContents"/>
              <w:bidi w:val="0"/>
              <w:spacing w:before="0" w:after="283"/>
              <w:jc w:val="center"/>
              <w:rPr/>
            </w:pPr>
            <w:r>
              <w:rPr/>
              <w:t>N/A</w:t>
            </w:r>
          </w:p>
        </w:tc>
      </w:tr>
      <w:tr>
        <w:trPr/>
        <w:tc>
          <w:tcPr>
            <w:tcW w:w="4430" w:type="dxa"/>
            <w:tcBorders/>
            <w:shd w:fill="EEEEEE" w:val="clear"/>
            <w:vAlign w:val="center"/>
          </w:tcPr>
          <w:p>
            <w:pPr>
              <w:pStyle w:val="TableContents"/>
              <w:bidi w:val="0"/>
              <w:spacing w:before="0" w:after="283"/>
              <w:jc w:val="left"/>
              <w:rPr/>
            </w:pPr>
            <w:r>
              <w:rPr/>
              <w:t>Options outstanding at the end of period</w:t>
            </w:r>
          </w:p>
        </w:tc>
        <w:tc>
          <w:tcPr>
            <w:tcW w:w="60" w:type="dxa"/>
            <w:tcBorders/>
            <w:shd w:fill="EEEEEE" w:val="clear"/>
            <w:vAlign w:val="center"/>
          </w:tcPr>
          <w:p>
            <w:pPr>
              <w:pStyle w:val="TableContents"/>
              <w:bidi w:val="0"/>
              <w:spacing w:before="0" w:after="283"/>
              <w:jc w:val="left"/>
              <w:rPr/>
            </w:pPr>
            <w:r>
              <w:rPr/>
              <w:t> </w:t>
            </w:r>
          </w:p>
        </w:tc>
        <w:tc>
          <w:tcPr>
            <w:tcW w:w="116"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bookmarkStart w:id="409" w:name="xdx_98C_eus-gaap--ShareBasedCompensation"/>
            <w:bookmarkEnd w:id="409"/>
          </w:p>
        </w:tc>
        <w:tc>
          <w:tcPr>
            <w:tcW w:w="1343" w:type="dxa"/>
            <w:tcBorders>
              <w:bottom w:val="double" w:sz="6" w:space="0" w:color="000000"/>
            </w:tcBorders>
            <w:shd w:fill="EEEEEE" w:val="clear"/>
            <w:tcMar>
              <w:bottom w:w="28" w:type="dxa"/>
            </w:tcMar>
            <w:vAlign w:val="center"/>
          </w:tcPr>
          <w:p>
            <w:pPr>
              <w:pStyle w:val="TableContents"/>
              <w:bidi w:val="0"/>
              <w:spacing w:before="0" w:after="283"/>
              <w:jc w:val="right"/>
              <w:rPr/>
            </w:pPr>
            <w:r>
              <w:rPr/>
              <w:t>8,335</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352"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410" w:name="xdx_987_eus-gaap--ShareBasedCompensation"/>
            <w:bookmarkEnd w:id="410"/>
          </w:p>
        </w:tc>
        <w:tc>
          <w:tcPr>
            <w:tcW w:w="1107" w:type="dxa"/>
            <w:tcBorders>
              <w:bottom w:val="double" w:sz="6" w:space="0" w:color="000000"/>
            </w:tcBorders>
            <w:shd w:fill="EEEEEE" w:val="clear"/>
            <w:tcMar>
              <w:bottom w:w="28" w:type="dxa"/>
            </w:tcMar>
            <w:vAlign w:val="center"/>
          </w:tcPr>
          <w:p>
            <w:pPr>
              <w:pStyle w:val="TableContents"/>
              <w:bidi w:val="0"/>
              <w:spacing w:before="0" w:after="283"/>
              <w:jc w:val="right"/>
              <w:rPr/>
            </w:pPr>
            <w:r>
              <w:rPr/>
              <w:t>5.08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95" w:type="dxa"/>
            <w:tcBorders/>
            <w:shd w:fill="EEEEEE" w:val="clear"/>
            <w:vAlign w:val="center"/>
          </w:tcPr>
          <w:p>
            <w:pPr>
              <w:pStyle w:val="TableContents"/>
              <w:bidi w:val="0"/>
              <w:spacing w:before="0" w:after="283"/>
              <w:jc w:val="center"/>
              <w:rPr/>
            </w:pPr>
            <w:bookmarkStart w:id="411" w:name="xdx_908_eus-gaap--SharebasedCompensation"/>
            <w:bookmarkEnd w:id="411"/>
            <w:r>
              <w:rPr/>
              <w:t>3.36 years</w:t>
            </w:r>
          </w:p>
        </w:tc>
      </w:tr>
      <w:tr>
        <w:trPr/>
        <w:tc>
          <w:tcPr>
            <w:tcW w:w="4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34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5" w:type="dxa"/>
            <w:tcBorders/>
            <w:shd w:fill="FFFFFF" w:val="clear"/>
            <w:vAlign w:val="center"/>
          </w:tcPr>
          <w:p>
            <w:pPr>
              <w:pStyle w:val="TableContents"/>
              <w:bidi w:val="0"/>
              <w:spacing w:before="0" w:after="283"/>
              <w:jc w:val="left"/>
              <w:rPr/>
            </w:pPr>
            <w:r>
              <w:rPr/>
              <w:t> </w:t>
            </w:r>
          </w:p>
        </w:tc>
      </w:tr>
      <w:tr>
        <w:trPr/>
        <w:tc>
          <w:tcPr>
            <w:tcW w:w="4430" w:type="dxa"/>
            <w:tcBorders/>
            <w:shd w:fill="EEEEEE" w:val="clear"/>
            <w:vAlign w:val="center"/>
          </w:tcPr>
          <w:p>
            <w:pPr>
              <w:pStyle w:val="TableContents"/>
              <w:bidi w:val="0"/>
              <w:spacing w:before="0" w:after="283"/>
              <w:jc w:val="left"/>
              <w:rPr/>
            </w:pPr>
            <w:r>
              <w:rPr/>
              <w:t>Options exercisable at the end of period</w:t>
            </w:r>
          </w:p>
        </w:tc>
        <w:tc>
          <w:tcPr>
            <w:tcW w:w="60" w:type="dxa"/>
            <w:tcBorders/>
            <w:shd w:fill="EEEEEE" w:val="clear"/>
            <w:vAlign w:val="center"/>
          </w:tcPr>
          <w:p>
            <w:pPr>
              <w:pStyle w:val="TableContents"/>
              <w:bidi w:val="0"/>
              <w:spacing w:before="0" w:after="283"/>
              <w:jc w:val="left"/>
              <w:rPr/>
            </w:pPr>
            <w:r>
              <w:rPr/>
              <w:t> </w:t>
            </w:r>
          </w:p>
        </w:tc>
        <w:tc>
          <w:tcPr>
            <w:tcW w:w="116"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bookmarkStart w:id="412" w:name="xdx_98A_eus-gaap--ShareBasedCompensation"/>
            <w:bookmarkEnd w:id="412"/>
          </w:p>
        </w:tc>
        <w:tc>
          <w:tcPr>
            <w:tcW w:w="1343" w:type="dxa"/>
            <w:tcBorders>
              <w:bottom w:val="double" w:sz="6" w:space="0" w:color="000000"/>
            </w:tcBorders>
            <w:shd w:fill="EEEEEE" w:val="clear"/>
            <w:tcMar>
              <w:bottom w:w="28" w:type="dxa"/>
            </w:tcMar>
            <w:vAlign w:val="center"/>
          </w:tcPr>
          <w:p>
            <w:pPr>
              <w:pStyle w:val="TableContents"/>
              <w:bidi w:val="0"/>
              <w:spacing w:before="0" w:after="283"/>
              <w:jc w:val="right"/>
              <w:rPr/>
            </w:pPr>
            <w:r>
              <w:rPr/>
              <w:t>6,250</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352"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413" w:name="xdx_98D_eus-gaap--ShareBasedCompensation"/>
            <w:bookmarkEnd w:id="413"/>
          </w:p>
        </w:tc>
        <w:tc>
          <w:tcPr>
            <w:tcW w:w="1107" w:type="dxa"/>
            <w:tcBorders>
              <w:bottom w:val="double" w:sz="6" w:space="0" w:color="000000"/>
            </w:tcBorders>
            <w:shd w:fill="EEEEEE" w:val="clear"/>
            <w:tcMar>
              <w:bottom w:w="28" w:type="dxa"/>
            </w:tcMar>
            <w:vAlign w:val="center"/>
          </w:tcPr>
          <w:p>
            <w:pPr>
              <w:pStyle w:val="TableContents"/>
              <w:bidi w:val="0"/>
              <w:spacing w:before="0" w:after="283"/>
              <w:jc w:val="right"/>
              <w:rPr/>
            </w:pPr>
            <w:r>
              <w:rPr/>
              <w:t>4.30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95" w:type="dxa"/>
            <w:tcBorders/>
            <w:shd w:fill="EEEEEE" w:val="clear"/>
            <w:vAlign w:val="center"/>
          </w:tcPr>
          <w:p>
            <w:pPr>
              <w:pStyle w:val="TableContents"/>
              <w:bidi w:val="0"/>
              <w:spacing w:before="0" w:after="283"/>
              <w:jc w:val="center"/>
              <w:rPr/>
            </w:pPr>
            <w:bookmarkStart w:id="414" w:name="xdx_90A_eus-gaap--SharebasedCompensation"/>
            <w:bookmarkEnd w:id="414"/>
            <w:r>
              <w:rPr/>
              <w:t>2.80 years</w:t>
            </w:r>
          </w:p>
        </w:tc>
      </w:tr>
    </w:tbl>
    <w:p>
      <w:pPr>
        <w:pStyle w:val="TextBody"/>
        <w:bidi w:val="0"/>
        <w:spacing w:before="0" w:after="0"/>
        <w:ind w:left="0" w:right="0" w:hanging="0"/>
        <w:jc w:val="both"/>
        <w:rPr>
          <w:caps w:val="false"/>
          <w:smallCaps w:val="false"/>
        </w:rPr>
      </w:pPr>
      <w:bookmarkStart w:id="415" w:name="xdx_8AC_zu6dXx2N9cg5"/>
      <w:bookmarkEnd w:id="415"/>
      <w:r>
        <w:rPr>
          <w:caps w:val="false"/>
          <w:smallCaps w:val="false"/>
        </w:rPr>
        <w:t> </w:t>
      </w:r>
    </w:p>
    <w:p>
      <w:pPr>
        <w:pStyle w:val="TextBody"/>
        <w:bidi w:val="0"/>
        <w:spacing w:before="0" w:after="0"/>
        <w:ind w:left="0" w:right="0" w:firstLine="144"/>
        <w:jc w:val="both"/>
        <w:rPr>
          <w:caps w:val="false"/>
          <w:smallCaps w:val="false"/>
        </w:rPr>
      </w:pPr>
      <w:bookmarkStart w:id="416" w:name="xdx_237_zoqZZSkoH2E"/>
      <w:bookmarkEnd w:id="416"/>
      <w:r>
        <w:rPr>
          <w:caps w:val="false"/>
          <w:smallCaps w:val="false"/>
        </w:rPr>
        <w:t> </w:t>
      </w:r>
    </w:p>
    <w:p>
      <w:pPr>
        <w:pStyle w:val="TextBody"/>
        <w:bidi w:val="0"/>
        <w:spacing w:before="0" w:after="0"/>
        <w:ind w:left="0" w:right="0" w:firstLine="144"/>
        <w:jc w:val="both"/>
        <w:rPr>
          <w:caps w:val="false"/>
          <w:smallCaps w:val="false"/>
        </w:rPr>
      </w:pPr>
      <w:bookmarkStart w:id="417" w:name="xdx_23E_zDsVdc9t7Ygf"/>
      <w:bookmarkEnd w:id="417"/>
      <w:r>
        <w:rPr>
          <w:caps w:val="false"/>
          <w:smallCaps w:val="false"/>
        </w:rPr>
        <w:t> </w:t>
      </w:r>
    </w:p>
    <w:p>
      <w:pPr>
        <w:pStyle w:val="TextBody"/>
        <w:bidi w:val="0"/>
        <w:spacing w:before="0" w:after="0"/>
        <w:ind w:left="0" w:right="0" w:firstLine="144"/>
        <w:jc w:val="both"/>
        <w:rPr>
          <w:caps w:val="false"/>
          <w:smallCaps w:val="false"/>
        </w:rPr>
      </w:pPr>
      <w:bookmarkStart w:id="418" w:name="xdx_239_zQjRNVhtelFf"/>
      <w:bookmarkEnd w:id="418"/>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144"/>
        <w:jc w:val="both"/>
        <w:rPr>
          <w:caps w:val="false"/>
          <w:smallCaps w:val="false"/>
        </w:rPr>
      </w:pPr>
      <w:bookmarkStart w:id="419" w:name="xdx_230_zItl65kxS3w3"/>
      <w:bookmarkEnd w:id="419"/>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20" w:name="xdx_23B_zeVcWDWyxoj2"/>
      <w:bookmarkEnd w:id="420"/>
      <w:r>
        <w:rPr>
          <w:rFonts w:ascii="Times New Roman;Times;Serif" w:hAnsi="Times New Roman;Times;Serif"/>
          <w:b/>
          <w:i w:val="false"/>
          <w:caps w:val="false"/>
          <w:smallCaps w:val="false"/>
          <w:sz w:val="20"/>
        </w:rPr>
        <w:t>CONSUMER PORTFOLIO SERVICES,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21" w:name="xdx_23F_ziMWqdrp4yPa"/>
      <w:bookmarkEnd w:id="421"/>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firstLine="144"/>
        <w:jc w:val="both"/>
        <w:rPr>
          <w:caps w:val="false"/>
          <w:smallCaps w:val="false"/>
        </w:rPr>
      </w:pPr>
      <w:bookmarkStart w:id="422" w:name="xdx_23A_z0fWWF55eMo3"/>
      <w:bookmarkEnd w:id="422"/>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price distribution of stock options outstanding and exercisable for the years ended September 30, 2023 and December 31, 2022:</w:t>
      </w:r>
    </w:p>
    <w:p>
      <w:pPr>
        <w:pStyle w:val="Normal"/>
        <w:bidi w:val="0"/>
        <w:spacing w:before="0" w:after="0"/>
        <w:jc w:val="left"/>
        <w:rPr>
          <w:sz w:val="4"/>
          <w:szCs w:val="4"/>
        </w:rPr>
      </w:pPr>
      <w:r>
        <w:rPr>
          <w:sz w:val="4"/>
          <w:szCs w:val="4"/>
        </w:rPr>
      </w:r>
      <w:bookmarkStart w:id="423" w:name="xdx_895_eus-gaap--ScheduleOfShareBasedCo"/>
      <w:bookmarkStart w:id="424" w:name="xdx_895_eus-gaap--ScheduleOfShareBasedCo"/>
      <w:bookmarkEnd w:id="424"/>
    </w:p>
    <w:tbl>
      <w:tblPr>
        <w:tblW w:w="10205" w:type="dxa"/>
        <w:jc w:val="left"/>
        <w:tblInd w:w="0" w:type="dxa"/>
        <w:tblLayout w:type="fixed"/>
        <w:tblCellMar>
          <w:top w:w="0" w:type="dxa"/>
          <w:left w:w="0" w:type="dxa"/>
          <w:bottom w:w="0" w:type="dxa"/>
          <w:right w:w="0" w:type="dxa"/>
        </w:tblCellMar>
      </w:tblPr>
      <w:tblGrid>
        <w:gridCol w:w="4631"/>
        <w:gridCol w:w="60"/>
        <w:gridCol w:w="123"/>
        <w:gridCol w:w="1157"/>
        <w:gridCol w:w="98"/>
        <w:gridCol w:w="98"/>
        <w:gridCol w:w="115"/>
        <w:gridCol w:w="1075"/>
        <w:gridCol w:w="60"/>
        <w:gridCol w:w="60"/>
        <w:gridCol w:w="103"/>
        <w:gridCol w:w="1177"/>
        <w:gridCol w:w="90"/>
        <w:gridCol w:w="90"/>
        <w:gridCol w:w="115"/>
        <w:gridCol w:w="1075"/>
        <w:gridCol w:w="78"/>
      </w:tblGrid>
      <w:tr>
        <w:trPr/>
        <w:tc>
          <w:tcPr>
            <w:tcW w:w="4631" w:type="dxa"/>
            <w:tcBorders/>
            <w:vAlign w:val="center"/>
          </w:tcPr>
          <w:p>
            <w:pPr>
              <w:pStyle w:val="TableContents"/>
              <w:bidi w:val="0"/>
              <w:spacing w:before="0" w:after="283"/>
              <w:jc w:val="left"/>
              <w:rPr/>
            </w:pPr>
            <w:bookmarkStart w:id="425" w:name="xdx_8B8_zRtS8zXmYMy6"/>
            <w:bookmarkEnd w:id="425"/>
            <w:r>
              <w:rPr/>
              <w:t>Schedule of stock options outstanding and exercisable</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right"/>
              <w:rPr/>
            </w:pPr>
            <w:r>
              <w:rPr/>
              <w:t> </w:t>
            </w:r>
          </w:p>
        </w:tc>
        <w:tc>
          <w:tcPr>
            <w:tcW w:w="78" w:type="dxa"/>
            <w:tcBorders/>
            <w:vAlign w:val="center"/>
          </w:tcPr>
          <w:p>
            <w:pPr>
              <w:pStyle w:val="TableContents"/>
              <w:bidi w:val="0"/>
              <w:spacing w:before="0" w:after="283"/>
              <w:jc w:val="left"/>
              <w:rPr/>
            </w:pPr>
            <w:r>
              <w:rPr/>
              <w:t> </w:t>
            </w:r>
          </w:p>
        </w:tc>
      </w:tr>
      <w:tr>
        <w:trPr/>
        <w:tc>
          <w:tcPr>
            <w:tcW w:w="46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6" w:type="dxa"/>
            <w:gridSpan w:val="6"/>
            <w:tcBorders/>
            <w:vAlign w:val="center"/>
          </w:tcPr>
          <w:p>
            <w:pPr>
              <w:pStyle w:val="TableContents"/>
              <w:bidi w:val="0"/>
              <w:spacing w:before="0" w:after="283"/>
              <w:jc w:val="center"/>
              <w:rPr>
                <w:b/>
              </w:rPr>
            </w:pPr>
            <w:r>
              <w:rPr>
                <w:b/>
              </w:rPr>
              <w:t>Number of shares as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0" w:type="dxa"/>
            <w:gridSpan w:val="6"/>
            <w:tcBorders/>
            <w:vAlign w:val="center"/>
          </w:tcPr>
          <w:p>
            <w:pPr>
              <w:pStyle w:val="TableContents"/>
              <w:bidi w:val="0"/>
              <w:spacing w:before="0" w:after="283"/>
              <w:jc w:val="center"/>
              <w:rPr>
                <w:b/>
              </w:rPr>
            </w:pPr>
            <w:r>
              <w:rPr>
                <w:b/>
              </w:rPr>
              <w:t>Number of shares as of</w:t>
            </w:r>
          </w:p>
        </w:tc>
        <w:tc>
          <w:tcPr>
            <w:tcW w:w="78" w:type="dxa"/>
            <w:tcBorders/>
            <w:vAlign w:val="center"/>
          </w:tcPr>
          <w:p>
            <w:pPr>
              <w:pStyle w:val="TableContents"/>
              <w:bidi w:val="0"/>
              <w:spacing w:before="0" w:after="283"/>
              <w:jc w:val="left"/>
              <w:rPr/>
            </w:pPr>
            <w:r>
              <w:rPr/>
              <w:t> </w:t>
            </w:r>
          </w:p>
        </w:tc>
      </w:tr>
      <w:tr>
        <w:trPr/>
        <w:tc>
          <w:tcPr>
            <w:tcW w:w="46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 2022</w:t>
            </w:r>
          </w:p>
        </w:tc>
        <w:tc>
          <w:tcPr>
            <w:tcW w:w="78" w:type="dxa"/>
            <w:tcBorders/>
            <w:vAlign w:val="center"/>
          </w:tcPr>
          <w:p>
            <w:pPr>
              <w:pStyle w:val="TableContents"/>
              <w:bidi w:val="0"/>
              <w:spacing w:before="0" w:after="283"/>
              <w:jc w:val="left"/>
              <w:rPr/>
            </w:pPr>
            <w:r>
              <w:rPr/>
              <w:t> </w:t>
            </w:r>
          </w:p>
        </w:tc>
      </w:tr>
      <w:tr>
        <w:trPr/>
        <w:tc>
          <w:tcPr>
            <w:tcW w:w="46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Outstanding</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Exercisable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Outstanding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Exercisable</w:t>
            </w:r>
          </w:p>
        </w:tc>
        <w:tc>
          <w:tcPr>
            <w:tcW w:w="78" w:type="dxa"/>
            <w:tcBorders/>
            <w:vAlign w:val="center"/>
          </w:tcPr>
          <w:p>
            <w:pPr>
              <w:pStyle w:val="TableContents"/>
              <w:bidi w:val="0"/>
              <w:spacing w:before="0" w:after="283"/>
              <w:jc w:val="left"/>
              <w:rPr/>
            </w:pPr>
            <w:r>
              <w:rPr/>
              <w:t> </w:t>
            </w:r>
          </w:p>
        </w:tc>
      </w:tr>
      <w:tr>
        <w:trPr/>
        <w:tc>
          <w:tcPr>
            <w:tcW w:w="46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6" w:type="dxa"/>
            <w:gridSpan w:val="6"/>
            <w:tcBorders/>
            <w:vAlign w:val="center"/>
          </w:tcPr>
          <w:p>
            <w:pPr>
              <w:pStyle w:val="TableContents"/>
              <w:bidi w:val="0"/>
              <w:spacing w:before="0" w:after="283"/>
              <w:jc w:val="center"/>
              <w:rPr>
                <w:b/>
              </w:rPr>
            </w:pPr>
            <w:r>
              <w:rPr>
                <w:b/>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0" w:type="dxa"/>
            <w:gridSpan w:val="6"/>
            <w:tcBorders/>
            <w:vAlign w:val="center"/>
          </w:tcPr>
          <w:p>
            <w:pPr>
              <w:pStyle w:val="TableContents"/>
              <w:bidi w:val="0"/>
              <w:spacing w:before="0" w:after="283"/>
              <w:jc w:val="center"/>
              <w:rPr>
                <w:b/>
              </w:rPr>
            </w:pPr>
            <w:r>
              <w:rPr>
                <w:b/>
              </w:rPr>
              <w:t>(In thousands)</w:t>
            </w:r>
          </w:p>
        </w:tc>
        <w:tc>
          <w:tcPr>
            <w:tcW w:w="78" w:type="dxa"/>
            <w:tcBorders/>
            <w:vAlign w:val="center"/>
          </w:tcPr>
          <w:p>
            <w:pPr>
              <w:pStyle w:val="TableContents"/>
              <w:bidi w:val="0"/>
              <w:spacing w:before="0" w:after="283"/>
              <w:jc w:val="left"/>
              <w:rPr/>
            </w:pPr>
            <w:r>
              <w:rPr/>
              <w:t> </w:t>
            </w:r>
          </w:p>
        </w:tc>
      </w:tr>
      <w:tr>
        <w:trPr/>
        <w:tc>
          <w:tcPr>
            <w:tcW w:w="4631" w:type="dxa"/>
            <w:tcBorders/>
            <w:vAlign w:val="center"/>
          </w:tcPr>
          <w:p>
            <w:pPr>
              <w:pStyle w:val="TableContents"/>
              <w:bidi w:val="0"/>
              <w:spacing w:before="0" w:after="283"/>
              <w:jc w:val="left"/>
              <w:rPr>
                <w:b/>
              </w:rPr>
            </w:pPr>
            <w:r>
              <w:rPr>
                <w:b/>
              </w:rPr>
              <w:t>Range of exercise prices:</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78" w:type="dxa"/>
            <w:tcBorders/>
            <w:vAlign w:val="center"/>
          </w:tcPr>
          <w:p>
            <w:pPr>
              <w:pStyle w:val="TableContents"/>
              <w:bidi w:val="0"/>
              <w:spacing w:before="0" w:after="283"/>
              <w:jc w:val="left"/>
              <w:rPr/>
            </w:pPr>
            <w:r>
              <w:rPr/>
              <w:t> </w:t>
            </w:r>
          </w:p>
        </w:tc>
      </w:tr>
      <w:tr>
        <w:trPr/>
        <w:tc>
          <w:tcPr>
            <w:tcW w:w="4631" w:type="dxa"/>
            <w:tcBorders/>
            <w:shd w:fill="EEEEEE" w:val="clear"/>
            <w:vAlign w:val="center"/>
          </w:tcPr>
          <w:p>
            <w:pPr>
              <w:pStyle w:val="TableContents"/>
              <w:bidi w:val="0"/>
              <w:spacing w:before="0" w:after="283"/>
              <w:jc w:val="left"/>
              <w:rPr/>
            </w:pPr>
            <w:r>
              <w:rPr/>
              <w:t>$2.00 - $2.99</w:t>
            </w:r>
          </w:p>
        </w:tc>
        <w:tc>
          <w:tcPr>
            <w:tcW w:w="60" w:type="dxa"/>
            <w:tcBorders/>
            <w:shd w:fill="EEEEEE" w:val="clear"/>
            <w:vAlign w:val="center"/>
          </w:tcPr>
          <w:p>
            <w:pPr>
              <w:pStyle w:val="TableContents"/>
              <w:bidi w:val="0"/>
              <w:spacing w:before="0" w:after="283"/>
              <w:jc w:val="left"/>
              <w:rPr/>
            </w:pPr>
            <w:r>
              <w:rPr/>
              <w:t> </w:t>
            </w:r>
          </w:p>
        </w:tc>
        <w:tc>
          <w:tcPr>
            <w:tcW w:w="123" w:type="dxa"/>
            <w:tcBorders/>
            <w:shd w:fill="EEEEEE" w:val="clear"/>
            <w:vAlign w:val="center"/>
          </w:tcPr>
          <w:p>
            <w:pPr>
              <w:pStyle w:val="TableContents"/>
              <w:bidi w:val="0"/>
              <w:spacing w:before="0" w:after="283"/>
              <w:jc w:val="left"/>
              <w:rPr/>
            </w:pPr>
            <w:r>
              <w:rPr/>
              <w:t> </w:t>
            </w:r>
            <w:bookmarkStart w:id="426" w:name="xdx_980_eus-gaap--ShareBasedCompensation"/>
            <w:bookmarkEnd w:id="426"/>
          </w:p>
        </w:tc>
        <w:tc>
          <w:tcPr>
            <w:tcW w:w="1157" w:type="dxa"/>
            <w:tcBorders/>
            <w:shd w:fill="EEEEEE" w:val="clear"/>
            <w:vAlign w:val="center"/>
          </w:tcPr>
          <w:p>
            <w:pPr>
              <w:pStyle w:val="TableContents"/>
              <w:bidi w:val="0"/>
              <w:spacing w:before="0" w:after="283"/>
              <w:jc w:val="right"/>
              <w:rPr/>
            </w:pPr>
            <w:r>
              <w:rPr/>
              <w:t>1,440</w:t>
            </w:r>
          </w:p>
        </w:tc>
        <w:tc>
          <w:tcPr>
            <w:tcW w:w="98" w:type="dxa"/>
            <w:tcBorders/>
            <w:shd w:fill="EEEEEE" w:val="clear"/>
            <w:vAlign w:val="center"/>
          </w:tcPr>
          <w:p>
            <w:pPr>
              <w:pStyle w:val="TableContents"/>
              <w:bidi w:val="0"/>
              <w:spacing w:before="0" w:after="283"/>
              <w:jc w:val="left"/>
              <w:rPr/>
            </w:pPr>
            <w:r>
              <w:rPr/>
              <w:t> </w:t>
            </w:r>
          </w:p>
        </w:tc>
        <w:tc>
          <w:tcPr>
            <w:tcW w:w="98" w:type="dxa"/>
            <w:tcBorders/>
            <w:shd w:fill="EEEEEE" w:val="clear"/>
            <w:vAlign w:val="center"/>
          </w:tcPr>
          <w:p>
            <w:pPr>
              <w:pStyle w:val="TableContents"/>
              <w:bidi w:val="0"/>
              <w:spacing w:before="0" w:after="283"/>
              <w:jc w:val="left"/>
              <w:rPr/>
            </w:pPr>
            <w:r>
              <w:rPr/>
              <w:t> </w:t>
            </w:r>
          </w:p>
        </w:tc>
        <w:tc>
          <w:tcPr>
            <w:tcW w:w="115" w:type="dxa"/>
            <w:tcBorders/>
            <w:shd w:fill="EEEEEE" w:val="clear"/>
            <w:vAlign w:val="center"/>
          </w:tcPr>
          <w:p>
            <w:pPr>
              <w:pStyle w:val="TableContents"/>
              <w:bidi w:val="0"/>
              <w:spacing w:before="0" w:after="283"/>
              <w:jc w:val="left"/>
              <w:rPr/>
            </w:pPr>
            <w:r>
              <w:rPr/>
              <w:t> </w:t>
            </w:r>
            <w:bookmarkStart w:id="427" w:name="xdx_984_eus-gaap--ShareBasedCompensation"/>
            <w:bookmarkEnd w:id="427"/>
          </w:p>
        </w:tc>
        <w:tc>
          <w:tcPr>
            <w:tcW w:w="1075" w:type="dxa"/>
            <w:tcBorders/>
            <w:shd w:fill="EEEEEE" w:val="clear"/>
            <w:vAlign w:val="center"/>
          </w:tcPr>
          <w:p>
            <w:pPr>
              <w:pStyle w:val="TableContents"/>
              <w:bidi w:val="0"/>
              <w:spacing w:before="0" w:after="283"/>
              <w:jc w:val="right"/>
              <w:rPr/>
            </w:pPr>
            <w:r>
              <w:rPr/>
              <w:t>1,105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03" w:type="dxa"/>
            <w:tcBorders/>
            <w:shd w:fill="EEEEEE" w:val="clear"/>
            <w:vAlign w:val="center"/>
          </w:tcPr>
          <w:p>
            <w:pPr>
              <w:pStyle w:val="TableContents"/>
              <w:bidi w:val="0"/>
              <w:spacing w:before="0" w:after="283"/>
              <w:jc w:val="left"/>
              <w:rPr/>
            </w:pPr>
            <w:r>
              <w:rPr/>
              <w:t> </w:t>
            </w:r>
            <w:bookmarkStart w:id="428" w:name="xdx_98C_eus-gaap--ShareBasedCompensation"/>
            <w:bookmarkEnd w:id="428"/>
          </w:p>
        </w:tc>
        <w:tc>
          <w:tcPr>
            <w:tcW w:w="1177" w:type="dxa"/>
            <w:tcBorders/>
            <w:shd w:fill="EEEEEE" w:val="clear"/>
            <w:vAlign w:val="center"/>
          </w:tcPr>
          <w:p>
            <w:pPr>
              <w:pStyle w:val="TableContents"/>
              <w:bidi w:val="0"/>
              <w:spacing w:before="0" w:after="283"/>
              <w:jc w:val="right"/>
              <w:rPr/>
            </w:pPr>
            <w:r>
              <w:rPr/>
              <w:t>1,445</w:t>
            </w:r>
          </w:p>
        </w:tc>
        <w:tc>
          <w:tcPr>
            <w:tcW w:w="90" w:type="dxa"/>
            <w:tcBorders/>
            <w:shd w:fill="EEEEEE" w:val="clear"/>
            <w:vAlign w:val="center"/>
          </w:tcPr>
          <w:p>
            <w:pPr>
              <w:pStyle w:val="TableContents"/>
              <w:bidi w:val="0"/>
              <w:spacing w:before="0" w:after="283"/>
              <w:jc w:val="left"/>
              <w:rPr/>
            </w:pPr>
            <w:r>
              <w:rPr/>
              <w:t> </w:t>
            </w:r>
          </w:p>
        </w:tc>
        <w:tc>
          <w:tcPr>
            <w:tcW w:w="90" w:type="dxa"/>
            <w:tcBorders/>
            <w:shd w:fill="EEEEEE" w:val="clear"/>
            <w:vAlign w:val="center"/>
          </w:tcPr>
          <w:p>
            <w:pPr>
              <w:pStyle w:val="TableContents"/>
              <w:bidi w:val="0"/>
              <w:spacing w:before="0" w:after="283"/>
              <w:jc w:val="left"/>
              <w:rPr/>
            </w:pPr>
            <w:r>
              <w:rPr/>
              <w:t> </w:t>
            </w:r>
          </w:p>
        </w:tc>
        <w:tc>
          <w:tcPr>
            <w:tcW w:w="115" w:type="dxa"/>
            <w:tcBorders/>
            <w:shd w:fill="EEEEEE" w:val="clear"/>
            <w:vAlign w:val="center"/>
          </w:tcPr>
          <w:p>
            <w:pPr>
              <w:pStyle w:val="TableContents"/>
              <w:bidi w:val="0"/>
              <w:spacing w:before="0" w:after="283"/>
              <w:jc w:val="left"/>
              <w:rPr/>
            </w:pPr>
            <w:r>
              <w:rPr/>
              <w:t> </w:t>
            </w:r>
            <w:bookmarkStart w:id="429" w:name="xdx_98A_eus-gaap--ShareBasedCompensation"/>
            <w:bookmarkEnd w:id="429"/>
          </w:p>
        </w:tc>
        <w:tc>
          <w:tcPr>
            <w:tcW w:w="1075" w:type="dxa"/>
            <w:tcBorders/>
            <w:shd w:fill="EEEEEE" w:val="clear"/>
            <w:vAlign w:val="center"/>
          </w:tcPr>
          <w:p>
            <w:pPr>
              <w:pStyle w:val="TableContents"/>
              <w:bidi w:val="0"/>
              <w:spacing w:before="0" w:after="283"/>
              <w:jc w:val="right"/>
              <w:rPr/>
            </w:pPr>
            <w:r>
              <w:rPr/>
              <w:t>775</w:t>
            </w:r>
          </w:p>
        </w:tc>
        <w:tc>
          <w:tcPr>
            <w:tcW w:w="78" w:type="dxa"/>
            <w:tcBorders/>
            <w:shd w:fill="EEEEEE" w:val="clear"/>
            <w:vAlign w:val="center"/>
          </w:tcPr>
          <w:p>
            <w:pPr>
              <w:pStyle w:val="TableContents"/>
              <w:bidi w:val="0"/>
              <w:spacing w:before="0" w:after="283"/>
              <w:jc w:val="left"/>
              <w:rPr/>
            </w:pPr>
            <w:r>
              <w:rPr/>
              <w:t> </w:t>
            </w:r>
          </w:p>
        </w:tc>
      </w:tr>
      <w:tr>
        <w:trPr/>
        <w:tc>
          <w:tcPr>
            <w:tcW w:w="4631" w:type="dxa"/>
            <w:tcBorders/>
            <w:shd w:fill="FFFFFF" w:val="clear"/>
            <w:vAlign w:val="center"/>
          </w:tcPr>
          <w:p>
            <w:pPr>
              <w:pStyle w:val="TableContents"/>
              <w:bidi w:val="0"/>
              <w:spacing w:before="0" w:after="283"/>
              <w:jc w:val="left"/>
              <w:rPr/>
            </w:pPr>
            <w:r>
              <w:rPr/>
              <w:t>$3.00 - $3.99</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bookmarkStart w:id="430" w:name="xdx_989_eus-gaap--ShareBasedCompensation"/>
            <w:bookmarkEnd w:id="430"/>
          </w:p>
        </w:tc>
        <w:tc>
          <w:tcPr>
            <w:tcW w:w="1157" w:type="dxa"/>
            <w:tcBorders/>
            <w:shd w:fill="FFFFFF" w:val="clear"/>
            <w:vAlign w:val="center"/>
          </w:tcPr>
          <w:p>
            <w:pPr>
              <w:pStyle w:val="TableContents"/>
              <w:bidi w:val="0"/>
              <w:spacing w:before="0" w:after="283"/>
              <w:jc w:val="right"/>
              <w:rPr/>
            </w:pPr>
            <w:r>
              <w:rPr/>
              <w:t>2,533</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bookmarkStart w:id="431" w:name="xdx_98A_eus-gaap--ShareBasedCompensation"/>
            <w:bookmarkEnd w:id="431"/>
          </w:p>
        </w:tc>
        <w:tc>
          <w:tcPr>
            <w:tcW w:w="1075" w:type="dxa"/>
            <w:tcBorders/>
            <w:shd w:fill="FFFFFF" w:val="clear"/>
            <w:vAlign w:val="center"/>
          </w:tcPr>
          <w:p>
            <w:pPr>
              <w:pStyle w:val="TableContents"/>
              <w:bidi w:val="0"/>
              <w:spacing w:before="0" w:after="283"/>
              <w:jc w:val="right"/>
              <w:rPr/>
            </w:pPr>
            <w:r>
              <w:rPr/>
              <w:t>2,533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bookmarkStart w:id="432" w:name="xdx_98F_eus-gaap--ShareBasedCompensation"/>
            <w:bookmarkEnd w:id="432"/>
          </w:p>
        </w:tc>
        <w:tc>
          <w:tcPr>
            <w:tcW w:w="1177" w:type="dxa"/>
            <w:tcBorders/>
            <w:shd w:fill="FFFFFF" w:val="clear"/>
            <w:vAlign w:val="center"/>
          </w:tcPr>
          <w:p>
            <w:pPr>
              <w:pStyle w:val="TableContents"/>
              <w:bidi w:val="0"/>
              <w:spacing w:before="0" w:after="283"/>
              <w:jc w:val="right"/>
              <w:rPr/>
            </w:pPr>
            <w:r>
              <w:rPr/>
              <w:t>3,785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bookmarkStart w:id="433" w:name="xdx_98C_eus-gaap--ShareBasedCompensation"/>
            <w:bookmarkEnd w:id="433"/>
          </w:p>
        </w:tc>
        <w:tc>
          <w:tcPr>
            <w:tcW w:w="1075" w:type="dxa"/>
            <w:tcBorders/>
            <w:shd w:fill="FFFFFF" w:val="clear"/>
            <w:vAlign w:val="center"/>
          </w:tcPr>
          <w:p>
            <w:pPr>
              <w:pStyle w:val="TableContents"/>
              <w:bidi w:val="0"/>
              <w:spacing w:before="0" w:after="283"/>
              <w:jc w:val="right"/>
              <w:rPr/>
            </w:pPr>
            <w:r>
              <w:rPr/>
              <w:t>3,495</w:t>
            </w:r>
          </w:p>
        </w:tc>
        <w:tc>
          <w:tcPr>
            <w:tcW w:w="78" w:type="dxa"/>
            <w:tcBorders/>
            <w:shd w:fill="FFFFFF" w:val="clear"/>
            <w:vAlign w:val="center"/>
          </w:tcPr>
          <w:p>
            <w:pPr>
              <w:pStyle w:val="TableContents"/>
              <w:bidi w:val="0"/>
              <w:spacing w:before="0" w:after="283"/>
              <w:jc w:val="left"/>
              <w:rPr/>
            </w:pPr>
            <w:r>
              <w:rPr/>
              <w:t> </w:t>
            </w:r>
          </w:p>
        </w:tc>
      </w:tr>
      <w:tr>
        <w:trPr/>
        <w:tc>
          <w:tcPr>
            <w:tcW w:w="4631" w:type="dxa"/>
            <w:tcBorders/>
            <w:shd w:fill="EEEEEE" w:val="clear"/>
            <w:vAlign w:val="center"/>
          </w:tcPr>
          <w:p>
            <w:pPr>
              <w:pStyle w:val="TableContents"/>
              <w:bidi w:val="0"/>
              <w:spacing w:before="0" w:after="283"/>
              <w:jc w:val="left"/>
              <w:rPr/>
            </w:pPr>
            <w:r>
              <w:rPr/>
              <w:t>$4.00 - $4.99</w:t>
            </w:r>
          </w:p>
        </w:tc>
        <w:tc>
          <w:tcPr>
            <w:tcW w:w="60" w:type="dxa"/>
            <w:tcBorders/>
            <w:shd w:fill="EEEEEE" w:val="clear"/>
            <w:vAlign w:val="center"/>
          </w:tcPr>
          <w:p>
            <w:pPr>
              <w:pStyle w:val="TableContents"/>
              <w:bidi w:val="0"/>
              <w:spacing w:before="0" w:after="283"/>
              <w:jc w:val="left"/>
              <w:rPr/>
            </w:pPr>
            <w:r>
              <w:rPr/>
              <w:t> </w:t>
            </w:r>
          </w:p>
        </w:tc>
        <w:tc>
          <w:tcPr>
            <w:tcW w:w="123" w:type="dxa"/>
            <w:tcBorders/>
            <w:shd w:fill="EEEEEE" w:val="clear"/>
            <w:vAlign w:val="center"/>
          </w:tcPr>
          <w:p>
            <w:pPr>
              <w:pStyle w:val="TableContents"/>
              <w:bidi w:val="0"/>
              <w:spacing w:before="0" w:after="283"/>
              <w:jc w:val="left"/>
              <w:rPr/>
            </w:pPr>
            <w:r>
              <w:rPr/>
              <w:t> </w:t>
            </w:r>
            <w:bookmarkStart w:id="434" w:name="xdx_98F_eus-gaap--ShareBasedCompensation"/>
            <w:bookmarkEnd w:id="434"/>
          </w:p>
        </w:tc>
        <w:tc>
          <w:tcPr>
            <w:tcW w:w="1157" w:type="dxa"/>
            <w:tcBorders/>
            <w:shd w:fill="EEEEEE" w:val="clear"/>
            <w:vAlign w:val="center"/>
          </w:tcPr>
          <w:p>
            <w:pPr>
              <w:pStyle w:val="TableContents"/>
              <w:bidi w:val="0"/>
              <w:spacing w:before="0" w:after="283"/>
              <w:jc w:val="right"/>
              <w:rPr/>
            </w:pPr>
            <w:r>
              <w:rPr/>
              <w:t>2,659</w:t>
            </w:r>
          </w:p>
        </w:tc>
        <w:tc>
          <w:tcPr>
            <w:tcW w:w="98" w:type="dxa"/>
            <w:tcBorders/>
            <w:shd w:fill="EEEEEE" w:val="clear"/>
            <w:vAlign w:val="center"/>
          </w:tcPr>
          <w:p>
            <w:pPr>
              <w:pStyle w:val="TableContents"/>
              <w:bidi w:val="0"/>
              <w:spacing w:before="0" w:after="283"/>
              <w:jc w:val="left"/>
              <w:rPr/>
            </w:pPr>
            <w:r>
              <w:rPr/>
              <w:t> </w:t>
            </w:r>
          </w:p>
        </w:tc>
        <w:tc>
          <w:tcPr>
            <w:tcW w:w="98" w:type="dxa"/>
            <w:tcBorders/>
            <w:shd w:fill="EEEEEE" w:val="clear"/>
            <w:vAlign w:val="center"/>
          </w:tcPr>
          <w:p>
            <w:pPr>
              <w:pStyle w:val="TableContents"/>
              <w:bidi w:val="0"/>
              <w:spacing w:before="0" w:after="283"/>
              <w:jc w:val="left"/>
              <w:rPr/>
            </w:pPr>
            <w:r>
              <w:rPr/>
              <w:t> </w:t>
            </w:r>
          </w:p>
        </w:tc>
        <w:tc>
          <w:tcPr>
            <w:tcW w:w="115" w:type="dxa"/>
            <w:tcBorders/>
            <w:shd w:fill="EEEEEE" w:val="clear"/>
            <w:vAlign w:val="center"/>
          </w:tcPr>
          <w:p>
            <w:pPr>
              <w:pStyle w:val="TableContents"/>
              <w:bidi w:val="0"/>
              <w:spacing w:before="0" w:after="283"/>
              <w:jc w:val="left"/>
              <w:rPr/>
            </w:pPr>
            <w:r>
              <w:rPr/>
              <w:t> </w:t>
            </w:r>
            <w:bookmarkStart w:id="435" w:name="xdx_987_eus-gaap--ShareBasedCompensation"/>
            <w:bookmarkEnd w:id="435"/>
          </w:p>
        </w:tc>
        <w:tc>
          <w:tcPr>
            <w:tcW w:w="1075" w:type="dxa"/>
            <w:tcBorders/>
            <w:shd w:fill="EEEEEE" w:val="clear"/>
            <w:vAlign w:val="center"/>
          </w:tcPr>
          <w:p>
            <w:pPr>
              <w:pStyle w:val="TableContents"/>
              <w:bidi w:val="0"/>
              <w:spacing w:before="0" w:after="283"/>
              <w:jc w:val="right"/>
              <w:rPr/>
            </w:pPr>
            <w:r>
              <w:rPr/>
              <w:t>2,034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03" w:type="dxa"/>
            <w:tcBorders/>
            <w:shd w:fill="EEEEEE" w:val="clear"/>
            <w:vAlign w:val="center"/>
          </w:tcPr>
          <w:p>
            <w:pPr>
              <w:pStyle w:val="TableContents"/>
              <w:bidi w:val="0"/>
              <w:spacing w:before="0" w:after="283"/>
              <w:jc w:val="left"/>
              <w:rPr/>
            </w:pPr>
            <w:r>
              <w:rPr/>
              <w:t> </w:t>
            </w:r>
            <w:bookmarkStart w:id="436" w:name="xdx_981_eus-gaap--ShareBasedCompensation"/>
            <w:bookmarkEnd w:id="436"/>
          </w:p>
        </w:tc>
        <w:tc>
          <w:tcPr>
            <w:tcW w:w="1177" w:type="dxa"/>
            <w:tcBorders/>
            <w:shd w:fill="EEEEEE" w:val="clear"/>
            <w:vAlign w:val="center"/>
          </w:tcPr>
          <w:p>
            <w:pPr>
              <w:pStyle w:val="TableContents"/>
              <w:bidi w:val="0"/>
              <w:spacing w:before="0" w:after="283"/>
              <w:jc w:val="right"/>
              <w:rPr/>
            </w:pPr>
            <w:r>
              <w:rPr/>
              <w:t>2,739</w:t>
            </w:r>
          </w:p>
        </w:tc>
        <w:tc>
          <w:tcPr>
            <w:tcW w:w="90" w:type="dxa"/>
            <w:tcBorders/>
            <w:shd w:fill="EEEEEE" w:val="clear"/>
            <w:vAlign w:val="center"/>
          </w:tcPr>
          <w:p>
            <w:pPr>
              <w:pStyle w:val="TableContents"/>
              <w:bidi w:val="0"/>
              <w:spacing w:before="0" w:after="283"/>
              <w:jc w:val="left"/>
              <w:rPr/>
            </w:pPr>
            <w:r>
              <w:rPr/>
              <w:t> </w:t>
            </w:r>
          </w:p>
        </w:tc>
        <w:tc>
          <w:tcPr>
            <w:tcW w:w="90" w:type="dxa"/>
            <w:tcBorders/>
            <w:shd w:fill="EEEEEE" w:val="clear"/>
            <w:vAlign w:val="center"/>
          </w:tcPr>
          <w:p>
            <w:pPr>
              <w:pStyle w:val="TableContents"/>
              <w:bidi w:val="0"/>
              <w:spacing w:before="0" w:after="283"/>
              <w:jc w:val="left"/>
              <w:rPr/>
            </w:pPr>
            <w:r>
              <w:rPr/>
              <w:t> </w:t>
            </w:r>
          </w:p>
        </w:tc>
        <w:tc>
          <w:tcPr>
            <w:tcW w:w="115" w:type="dxa"/>
            <w:tcBorders/>
            <w:shd w:fill="EEEEEE" w:val="clear"/>
            <w:vAlign w:val="center"/>
          </w:tcPr>
          <w:p>
            <w:pPr>
              <w:pStyle w:val="TableContents"/>
              <w:bidi w:val="0"/>
              <w:spacing w:before="0" w:after="283"/>
              <w:jc w:val="left"/>
              <w:rPr/>
            </w:pPr>
            <w:r>
              <w:rPr/>
              <w:t> </w:t>
            </w:r>
            <w:bookmarkStart w:id="437" w:name="xdx_980_eus-gaap--ShareBasedCompensation"/>
            <w:bookmarkEnd w:id="437"/>
          </w:p>
        </w:tc>
        <w:tc>
          <w:tcPr>
            <w:tcW w:w="1075" w:type="dxa"/>
            <w:tcBorders/>
            <w:shd w:fill="EEEEEE" w:val="clear"/>
            <w:vAlign w:val="center"/>
          </w:tcPr>
          <w:p>
            <w:pPr>
              <w:pStyle w:val="TableContents"/>
              <w:bidi w:val="0"/>
              <w:spacing w:before="0" w:after="283"/>
              <w:jc w:val="right"/>
              <w:rPr/>
            </w:pPr>
            <w:r>
              <w:rPr/>
              <w:t>1,802</w:t>
            </w:r>
          </w:p>
        </w:tc>
        <w:tc>
          <w:tcPr>
            <w:tcW w:w="78" w:type="dxa"/>
            <w:tcBorders/>
            <w:shd w:fill="EEEEEE" w:val="clear"/>
            <w:vAlign w:val="center"/>
          </w:tcPr>
          <w:p>
            <w:pPr>
              <w:pStyle w:val="TableContents"/>
              <w:bidi w:val="0"/>
              <w:spacing w:before="0" w:after="283"/>
              <w:jc w:val="left"/>
              <w:rPr/>
            </w:pPr>
            <w:r>
              <w:rPr/>
              <w:t> </w:t>
            </w:r>
          </w:p>
        </w:tc>
      </w:tr>
      <w:tr>
        <w:trPr/>
        <w:tc>
          <w:tcPr>
            <w:tcW w:w="4631" w:type="dxa"/>
            <w:tcBorders/>
            <w:shd w:fill="FFFFFF" w:val="clear"/>
            <w:vAlign w:val="center"/>
          </w:tcPr>
          <w:p>
            <w:pPr>
              <w:pStyle w:val="TableContents"/>
              <w:bidi w:val="0"/>
              <w:spacing w:before="0" w:after="283"/>
              <w:jc w:val="left"/>
              <w:rPr/>
            </w:pPr>
            <w:r>
              <w:rPr/>
              <w:t>$5.00 - $5.99</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bookmarkStart w:id="438" w:name="xdx_989_eus-gaap--ShareBasedCompensation"/>
            <w:bookmarkEnd w:id="438"/>
          </w:p>
        </w:tc>
        <w:tc>
          <w:tcPr>
            <w:tcW w:w="1157" w:type="dxa"/>
            <w:tcBorders/>
            <w:shd w:fill="FFFFFF" w:val="clear"/>
            <w:vAlign w:val="center"/>
          </w:tcPr>
          <w:p>
            <w:pPr>
              <w:pStyle w:val="TableContents"/>
              <w:bidi w:val="0"/>
              <w:spacing w:before="0" w:after="283"/>
              <w:jc w:val="right"/>
              <w:rPr/>
            </w:pPr>
            <w:r>
              <w:rPr/>
              <w:t>–</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bookmarkStart w:id="439" w:name="xdx_98D_eus-gaap--ShareBasedCompensation"/>
            <w:bookmarkEnd w:id="439"/>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bookmarkStart w:id="440" w:name="xdx_980_eus-gaap--ShareBasedCompensation"/>
            <w:bookmarkEnd w:id="440"/>
          </w:p>
        </w:tc>
        <w:tc>
          <w:tcPr>
            <w:tcW w:w="117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bookmarkStart w:id="441" w:name="xdx_98B_eus-gaap--ShareBasedCompensation"/>
            <w:bookmarkEnd w:id="441"/>
          </w:p>
        </w:tc>
        <w:tc>
          <w:tcPr>
            <w:tcW w:w="1075"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r>
      <w:tr>
        <w:trPr/>
        <w:tc>
          <w:tcPr>
            <w:tcW w:w="4631" w:type="dxa"/>
            <w:tcBorders/>
            <w:shd w:fill="EEEEEE" w:val="clear"/>
            <w:vAlign w:val="center"/>
          </w:tcPr>
          <w:p>
            <w:pPr>
              <w:pStyle w:val="TableContents"/>
              <w:bidi w:val="0"/>
              <w:spacing w:before="0" w:after="283"/>
              <w:jc w:val="left"/>
              <w:rPr/>
            </w:pPr>
            <w:r>
              <w:rPr/>
              <w:t>$6.00 - $6.99</w:t>
            </w:r>
          </w:p>
        </w:tc>
        <w:tc>
          <w:tcPr>
            <w:tcW w:w="60" w:type="dxa"/>
            <w:tcBorders/>
            <w:shd w:fill="EEEEEE" w:val="clear"/>
            <w:vAlign w:val="center"/>
          </w:tcPr>
          <w:p>
            <w:pPr>
              <w:pStyle w:val="TableContents"/>
              <w:bidi w:val="0"/>
              <w:spacing w:before="0" w:after="283"/>
              <w:jc w:val="left"/>
              <w:rPr/>
            </w:pPr>
            <w:r>
              <w:rPr/>
              <w:t> </w:t>
            </w:r>
          </w:p>
        </w:tc>
        <w:tc>
          <w:tcPr>
            <w:tcW w:w="123" w:type="dxa"/>
            <w:tcBorders/>
            <w:shd w:fill="EEEEEE" w:val="clear"/>
            <w:vAlign w:val="center"/>
          </w:tcPr>
          <w:p>
            <w:pPr>
              <w:pStyle w:val="TableContents"/>
              <w:bidi w:val="0"/>
              <w:spacing w:before="0" w:after="283"/>
              <w:jc w:val="left"/>
              <w:rPr/>
            </w:pPr>
            <w:r>
              <w:rPr/>
              <w:t> </w:t>
            </w:r>
            <w:bookmarkStart w:id="442" w:name="xdx_98A_eus-gaap--ShareBasedCompensation"/>
            <w:bookmarkEnd w:id="442"/>
          </w:p>
        </w:tc>
        <w:tc>
          <w:tcPr>
            <w:tcW w:w="1157" w:type="dxa"/>
            <w:tcBorders/>
            <w:shd w:fill="EEEEEE" w:val="clear"/>
            <w:vAlign w:val="center"/>
          </w:tcPr>
          <w:p>
            <w:pPr>
              <w:pStyle w:val="TableContents"/>
              <w:bidi w:val="0"/>
              <w:spacing w:before="0" w:after="283"/>
              <w:jc w:val="right"/>
              <w:rPr/>
            </w:pPr>
            <w:r>
              <w:rPr/>
              <w:t>–</w:t>
            </w:r>
          </w:p>
        </w:tc>
        <w:tc>
          <w:tcPr>
            <w:tcW w:w="98" w:type="dxa"/>
            <w:tcBorders/>
            <w:shd w:fill="EEEEEE" w:val="clear"/>
            <w:vAlign w:val="center"/>
          </w:tcPr>
          <w:p>
            <w:pPr>
              <w:pStyle w:val="TableContents"/>
              <w:bidi w:val="0"/>
              <w:spacing w:before="0" w:after="283"/>
              <w:jc w:val="left"/>
              <w:rPr/>
            </w:pPr>
            <w:r>
              <w:rPr/>
              <w:t> </w:t>
            </w:r>
          </w:p>
        </w:tc>
        <w:tc>
          <w:tcPr>
            <w:tcW w:w="98" w:type="dxa"/>
            <w:tcBorders/>
            <w:shd w:fill="EEEEEE" w:val="clear"/>
            <w:vAlign w:val="center"/>
          </w:tcPr>
          <w:p>
            <w:pPr>
              <w:pStyle w:val="TableContents"/>
              <w:bidi w:val="0"/>
              <w:spacing w:before="0" w:after="283"/>
              <w:jc w:val="left"/>
              <w:rPr/>
            </w:pPr>
            <w:r>
              <w:rPr/>
              <w:t> </w:t>
            </w:r>
          </w:p>
        </w:tc>
        <w:tc>
          <w:tcPr>
            <w:tcW w:w="115" w:type="dxa"/>
            <w:tcBorders/>
            <w:shd w:fill="EEEEEE" w:val="clear"/>
            <w:vAlign w:val="center"/>
          </w:tcPr>
          <w:p>
            <w:pPr>
              <w:pStyle w:val="TableContents"/>
              <w:bidi w:val="0"/>
              <w:spacing w:before="0" w:after="283"/>
              <w:jc w:val="left"/>
              <w:rPr/>
            </w:pPr>
            <w:r>
              <w:rPr/>
              <w:t> </w:t>
            </w:r>
            <w:bookmarkStart w:id="443" w:name="xdx_982_eus-gaap--ShareBasedCompensation"/>
            <w:bookmarkEnd w:id="443"/>
          </w:p>
        </w:tc>
        <w:tc>
          <w:tcPr>
            <w:tcW w:w="1075"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03" w:type="dxa"/>
            <w:tcBorders/>
            <w:shd w:fill="EEEEEE" w:val="clear"/>
            <w:vAlign w:val="center"/>
          </w:tcPr>
          <w:p>
            <w:pPr>
              <w:pStyle w:val="TableContents"/>
              <w:bidi w:val="0"/>
              <w:spacing w:before="0" w:after="283"/>
              <w:jc w:val="left"/>
              <w:rPr/>
            </w:pPr>
            <w:r>
              <w:rPr/>
              <w:t> </w:t>
            </w:r>
            <w:bookmarkStart w:id="444" w:name="xdx_98D_eus-gaap--ShareBasedCompensation"/>
            <w:bookmarkEnd w:id="444"/>
          </w:p>
        </w:tc>
        <w:tc>
          <w:tcPr>
            <w:tcW w:w="1177" w:type="dxa"/>
            <w:tcBorders/>
            <w:shd w:fill="EEEEEE" w:val="clear"/>
            <w:vAlign w:val="center"/>
          </w:tcPr>
          <w:p>
            <w:pPr>
              <w:pStyle w:val="TableContents"/>
              <w:bidi w:val="0"/>
              <w:spacing w:before="0" w:after="283"/>
              <w:jc w:val="right"/>
              <w:rPr/>
            </w:pPr>
            <w:r>
              <w:rPr/>
              <w:t>740</w:t>
            </w:r>
          </w:p>
        </w:tc>
        <w:tc>
          <w:tcPr>
            <w:tcW w:w="90" w:type="dxa"/>
            <w:tcBorders/>
            <w:shd w:fill="EEEEEE" w:val="clear"/>
            <w:vAlign w:val="center"/>
          </w:tcPr>
          <w:p>
            <w:pPr>
              <w:pStyle w:val="TableContents"/>
              <w:bidi w:val="0"/>
              <w:spacing w:before="0" w:after="283"/>
              <w:jc w:val="left"/>
              <w:rPr/>
            </w:pPr>
            <w:r>
              <w:rPr/>
              <w:t> </w:t>
            </w:r>
          </w:p>
        </w:tc>
        <w:tc>
          <w:tcPr>
            <w:tcW w:w="90" w:type="dxa"/>
            <w:tcBorders/>
            <w:shd w:fill="EEEEEE" w:val="clear"/>
            <w:vAlign w:val="center"/>
          </w:tcPr>
          <w:p>
            <w:pPr>
              <w:pStyle w:val="TableContents"/>
              <w:bidi w:val="0"/>
              <w:spacing w:before="0" w:after="283"/>
              <w:jc w:val="left"/>
              <w:rPr/>
            </w:pPr>
            <w:r>
              <w:rPr/>
              <w:t> </w:t>
            </w:r>
          </w:p>
        </w:tc>
        <w:tc>
          <w:tcPr>
            <w:tcW w:w="115" w:type="dxa"/>
            <w:tcBorders/>
            <w:shd w:fill="EEEEEE" w:val="clear"/>
            <w:vAlign w:val="center"/>
          </w:tcPr>
          <w:p>
            <w:pPr>
              <w:pStyle w:val="TableContents"/>
              <w:bidi w:val="0"/>
              <w:spacing w:before="0" w:after="283"/>
              <w:jc w:val="left"/>
              <w:rPr/>
            </w:pPr>
            <w:r>
              <w:rPr/>
              <w:t> </w:t>
            </w:r>
            <w:bookmarkStart w:id="445" w:name="xdx_986_eus-gaap--ShareBasedCompensation"/>
            <w:bookmarkEnd w:id="445"/>
          </w:p>
        </w:tc>
        <w:tc>
          <w:tcPr>
            <w:tcW w:w="1075" w:type="dxa"/>
            <w:tcBorders/>
            <w:shd w:fill="EEEEEE" w:val="clear"/>
            <w:vAlign w:val="center"/>
          </w:tcPr>
          <w:p>
            <w:pPr>
              <w:pStyle w:val="TableContents"/>
              <w:bidi w:val="0"/>
              <w:spacing w:before="0" w:after="283"/>
              <w:jc w:val="right"/>
              <w:rPr/>
            </w:pPr>
            <w:r>
              <w:rPr/>
              <w:t>740</w:t>
            </w:r>
          </w:p>
        </w:tc>
        <w:tc>
          <w:tcPr>
            <w:tcW w:w="78" w:type="dxa"/>
            <w:tcBorders/>
            <w:shd w:fill="EEEEEE" w:val="clear"/>
            <w:vAlign w:val="center"/>
          </w:tcPr>
          <w:p>
            <w:pPr>
              <w:pStyle w:val="TableContents"/>
              <w:bidi w:val="0"/>
              <w:spacing w:before="0" w:after="283"/>
              <w:jc w:val="left"/>
              <w:rPr/>
            </w:pPr>
            <w:r>
              <w:rPr/>
              <w:t> </w:t>
            </w:r>
          </w:p>
        </w:tc>
      </w:tr>
      <w:tr>
        <w:trPr/>
        <w:tc>
          <w:tcPr>
            <w:tcW w:w="4631" w:type="dxa"/>
            <w:tcBorders/>
            <w:shd w:fill="FFFFFF" w:val="clear"/>
            <w:vAlign w:val="center"/>
          </w:tcPr>
          <w:p>
            <w:pPr>
              <w:pStyle w:val="TableContents"/>
              <w:bidi w:val="0"/>
              <w:spacing w:before="0" w:after="283"/>
              <w:jc w:val="left"/>
              <w:rPr/>
            </w:pPr>
            <w:r>
              <w:rPr/>
              <w:t>$7.00 - $7.99</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bookmarkStart w:id="446" w:name="xdx_984_eus-gaap--ShareBasedCompensation"/>
            <w:bookmarkEnd w:id="446"/>
          </w:p>
        </w:tc>
        <w:tc>
          <w:tcPr>
            <w:tcW w:w="1157" w:type="dxa"/>
            <w:tcBorders/>
            <w:shd w:fill="FFFFFF" w:val="clear"/>
            <w:vAlign w:val="center"/>
          </w:tcPr>
          <w:p>
            <w:pPr>
              <w:pStyle w:val="TableContents"/>
              <w:bidi w:val="0"/>
              <w:spacing w:before="0" w:after="283"/>
              <w:jc w:val="right"/>
              <w:rPr/>
            </w:pPr>
            <w:r>
              <w:rPr/>
              <w:t>–</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bookmarkStart w:id="447" w:name="xdx_98A_eus-gaap--ShareBasedCompensation"/>
            <w:bookmarkEnd w:id="447"/>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bookmarkStart w:id="448" w:name="xdx_986_eus-gaap--ShareBasedCompensation"/>
            <w:bookmarkEnd w:id="448"/>
          </w:p>
        </w:tc>
        <w:tc>
          <w:tcPr>
            <w:tcW w:w="1177" w:type="dxa"/>
            <w:tcBorders/>
            <w:shd w:fill="FFFFFF" w:val="clear"/>
            <w:vAlign w:val="center"/>
          </w:tcPr>
          <w:p>
            <w:pPr>
              <w:pStyle w:val="TableContents"/>
              <w:bidi w:val="0"/>
              <w:spacing w:before="0" w:after="283"/>
              <w:jc w:val="right"/>
              <w:rPr/>
            </w:pPr>
            <w:r>
              <w:rPr/>
              <w:t>748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bookmarkStart w:id="449" w:name="xdx_98A_eus-gaap--ShareBasedCompensation"/>
            <w:bookmarkEnd w:id="449"/>
          </w:p>
        </w:tc>
        <w:tc>
          <w:tcPr>
            <w:tcW w:w="1075" w:type="dxa"/>
            <w:tcBorders/>
            <w:shd w:fill="FFFFFF" w:val="clear"/>
            <w:vAlign w:val="center"/>
          </w:tcPr>
          <w:p>
            <w:pPr>
              <w:pStyle w:val="TableContents"/>
              <w:bidi w:val="0"/>
              <w:spacing w:before="0" w:after="283"/>
              <w:jc w:val="right"/>
              <w:rPr/>
            </w:pPr>
            <w:r>
              <w:rPr/>
              <w:t>748</w:t>
            </w:r>
          </w:p>
        </w:tc>
        <w:tc>
          <w:tcPr>
            <w:tcW w:w="78" w:type="dxa"/>
            <w:tcBorders/>
            <w:shd w:fill="FFFFFF" w:val="clear"/>
            <w:vAlign w:val="center"/>
          </w:tcPr>
          <w:p>
            <w:pPr>
              <w:pStyle w:val="TableContents"/>
              <w:bidi w:val="0"/>
              <w:spacing w:before="0" w:after="283"/>
              <w:jc w:val="left"/>
              <w:rPr/>
            </w:pPr>
            <w:r>
              <w:rPr/>
              <w:t> </w:t>
            </w:r>
          </w:p>
        </w:tc>
      </w:tr>
      <w:tr>
        <w:trPr/>
        <w:tc>
          <w:tcPr>
            <w:tcW w:w="4631" w:type="dxa"/>
            <w:tcBorders/>
            <w:shd w:fill="EEEEEE" w:val="clear"/>
            <w:vAlign w:val="center"/>
          </w:tcPr>
          <w:p>
            <w:pPr>
              <w:pStyle w:val="TableContents"/>
              <w:bidi w:val="0"/>
              <w:spacing w:before="0" w:after="283"/>
              <w:jc w:val="left"/>
              <w:rPr/>
            </w:pPr>
            <w:r>
              <w:rPr/>
              <w:t>$10.00 - $10.99</w:t>
            </w:r>
          </w:p>
        </w:tc>
        <w:tc>
          <w:tcPr>
            <w:tcW w:w="60" w:type="dxa"/>
            <w:tcBorders/>
            <w:shd w:fill="EEEEEE" w:val="clear"/>
            <w:vAlign w:val="center"/>
          </w:tcPr>
          <w:p>
            <w:pPr>
              <w:pStyle w:val="TableContents"/>
              <w:bidi w:val="0"/>
              <w:spacing w:before="0" w:after="283"/>
              <w:jc w:val="left"/>
              <w:rPr/>
            </w:pPr>
            <w:r>
              <w:rPr/>
              <w:t> </w:t>
            </w:r>
          </w:p>
        </w:tc>
        <w:tc>
          <w:tcPr>
            <w:tcW w:w="123"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450" w:name="xdx_98E_eus-gaap--ShareBasedCompensation"/>
            <w:bookmarkEnd w:id="450"/>
          </w:p>
        </w:tc>
        <w:tc>
          <w:tcPr>
            <w:tcW w:w="1157" w:type="dxa"/>
            <w:tcBorders>
              <w:bottom w:val="single" w:sz="8" w:space="0" w:color="000000"/>
            </w:tcBorders>
            <w:shd w:fill="EEEEEE" w:val="clear"/>
            <w:tcMar>
              <w:bottom w:w="28" w:type="dxa"/>
            </w:tcMar>
            <w:vAlign w:val="center"/>
          </w:tcPr>
          <w:p>
            <w:pPr>
              <w:pStyle w:val="TableContents"/>
              <w:bidi w:val="0"/>
              <w:spacing w:before="0" w:after="283"/>
              <w:jc w:val="right"/>
              <w:rPr/>
            </w:pPr>
            <w:r>
              <w:rPr/>
              <w:t>1,703</w:t>
            </w:r>
          </w:p>
        </w:tc>
        <w:tc>
          <w:tcPr>
            <w:tcW w:w="98" w:type="dxa"/>
            <w:tcBorders/>
            <w:shd w:fill="EEEEEE" w:val="clear"/>
            <w:vAlign w:val="center"/>
          </w:tcPr>
          <w:p>
            <w:pPr>
              <w:pStyle w:val="TableContents"/>
              <w:bidi w:val="0"/>
              <w:spacing w:before="0" w:after="283"/>
              <w:jc w:val="left"/>
              <w:rPr/>
            </w:pPr>
            <w:r>
              <w:rPr/>
              <w:t> </w:t>
            </w:r>
          </w:p>
        </w:tc>
        <w:tc>
          <w:tcPr>
            <w:tcW w:w="98" w:type="dxa"/>
            <w:tcBorders/>
            <w:shd w:fill="EEEEEE" w:val="clear"/>
            <w:vAlign w:val="center"/>
          </w:tcPr>
          <w:p>
            <w:pPr>
              <w:pStyle w:val="TableContents"/>
              <w:bidi w:val="0"/>
              <w:spacing w:before="0" w:after="283"/>
              <w:jc w:val="left"/>
              <w:rPr/>
            </w:pPr>
            <w:r>
              <w:rPr/>
              <w:t> </w:t>
            </w:r>
          </w:p>
        </w:tc>
        <w:tc>
          <w:tcPr>
            <w:tcW w:w="11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451" w:name="xdx_98F_eus-gaap--ShareBasedCompensation"/>
            <w:bookmarkEnd w:id="451"/>
          </w:p>
        </w:tc>
        <w:tc>
          <w:tcPr>
            <w:tcW w:w="1075" w:type="dxa"/>
            <w:tcBorders>
              <w:bottom w:val="single" w:sz="8" w:space="0" w:color="000000"/>
            </w:tcBorders>
            <w:shd w:fill="EEEEEE" w:val="clear"/>
            <w:tcMar>
              <w:bottom w:w="28" w:type="dxa"/>
            </w:tcMar>
            <w:vAlign w:val="center"/>
          </w:tcPr>
          <w:p>
            <w:pPr>
              <w:pStyle w:val="TableContents"/>
              <w:bidi w:val="0"/>
              <w:spacing w:before="0" w:after="283"/>
              <w:jc w:val="right"/>
              <w:rPr/>
            </w:pPr>
            <w:r>
              <w:rPr/>
              <w:t>578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03"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452" w:name="xdx_98B_eus-gaap--ShareBasedCompensation"/>
            <w:bookmarkEnd w:id="452"/>
          </w:p>
        </w:tc>
        <w:tc>
          <w:tcPr>
            <w:tcW w:w="1177" w:type="dxa"/>
            <w:tcBorders>
              <w:bottom w:val="single" w:sz="8" w:space="0" w:color="000000"/>
            </w:tcBorders>
            <w:shd w:fill="EEEEEE" w:val="clear"/>
            <w:tcMar>
              <w:bottom w:w="28" w:type="dxa"/>
            </w:tcMar>
            <w:vAlign w:val="center"/>
          </w:tcPr>
          <w:p>
            <w:pPr>
              <w:pStyle w:val="TableContents"/>
              <w:bidi w:val="0"/>
              <w:spacing w:before="0" w:after="283"/>
              <w:jc w:val="right"/>
              <w:rPr/>
            </w:pPr>
            <w:r>
              <w:rPr/>
              <w:t>1,710</w:t>
            </w:r>
          </w:p>
        </w:tc>
        <w:tc>
          <w:tcPr>
            <w:tcW w:w="90" w:type="dxa"/>
            <w:tcBorders/>
            <w:shd w:fill="EEEEEE" w:val="clear"/>
            <w:vAlign w:val="center"/>
          </w:tcPr>
          <w:p>
            <w:pPr>
              <w:pStyle w:val="TableContents"/>
              <w:bidi w:val="0"/>
              <w:spacing w:before="0" w:after="283"/>
              <w:jc w:val="left"/>
              <w:rPr/>
            </w:pPr>
            <w:r>
              <w:rPr/>
              <w:t> </w:t>
            </w:r>
          </w:p>
        </w:tc>
        <w:tc>
          <w:tcPr>
            <w:tcW w:w="90" w:type="dxa"/>
            <w:tcBorders/>
            <w:shd w:fill="EEEEEE" w:val="clear"/>
            <w:vAlign w:val="center"/>
          </w:tcPr>
          <w:p>
            <w:pPr>
              <w:pStyle w:val="TableContents"/>
              <w:bidi w:val="0"/>
              <w:spacing w:before="0" w:after="283"/>
              <w:jc w:val="left"/>
              <w:rPr/>
            </w:pPr>
            <w:r>
              <w:rPr/>
              <w:t> </w:t>
            </w:r>
          </w:p>
        </w:tc>
        <w:tc>
          <w:tcPr>
            <w:tcW w:w="11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453" w:name="xdx_987_eus-gaap--ShareBasedCompensation"/>
            <w:bookmarkEnd w:id="453"/>
          </w:p>
        </w:tc>
        <w:tc>
          <w:tcPr>
            <w:tcW w:w="1075" w:type="dxa"/>
            <w:tcBorders>
              <w:bottom w:val="single" w:sz="8" w:space="0" w:color="000000"/>
            </w:tcBorders>
            <w:shd w:fill="EEEEEE" w:val="clear"/>
            <w:tcMar>
              <w:bottom w:w="28" w:type="dxa"/>
            </w:tcMar>
            <w:vAlign w:val="center"/>
          </w:tcPr>
          <w:p>
            <w:pPr>
              <w:pStyle w:val="TableContents"/>
              <w:bidi w:val="0"/>
              <w:spacing w:before="0" w:after="283"/>
              <w:jc w:val="right"/>
              <w:rPr/>
            </w:pPr>
            <w:r>
              <w:rPr/>
              <w:t>210</w:t>
            </w:r>
          </w:p>
        </w:tc>
        <w:tc>
          <w:tcPr>
            <w:tcW w:w="78" w:type="dxa"/>
            <w:tcBorders/>
            <w:shd w:fill="EEEEEE" w:val="clear"/>
            <w:vAlign w:val="center"/>
          </w:tcPr>
          <w:p>
            <w:pPr>
              <w:pStyle w:val="TableContents"/>
              <w:bidi w:val="0"/>
              <w:spacing w:before="0" w:after="283"/>
              <w:jc w:val="left"/>
              <w:rPr/>
            </w:pPr>
            <w:r>
              <w:rPr/>
              <w:t> </w:t>
            </w:r>
          </w:p>
        </w:tc>
      </w:tr>
      <w:tr>
        <w:trPr/>
        <w:tc>
          <w:tcPr>
            <w:tcW w:w="4631" w:type="dxa"/>
            <w:tcBorders/>
            <w:shd w:fill="FFFFFF" w:val="clear"/>
            <w:vAlign w:val="center"/>
          </w:tcPr>
          <w:p>
            <w:pPr>
              <w:pStyle w:val="TableContents"/>
              <w:bidi w:val="0"/>
              <w:spacing w:before="0" w:after="283"/>
              <w:jc w:val="left"/>
              <w:rPr/>
            </w:pPr>
            <w:r>
              <w:rPr/>
              <w:t>Total shares</w:t>
            </w:r>
          </w:p>
        </w:tc>
        <w:tc>
          <w:tcPr>
            <w:tcW w:w="60" w:type="dxa"/>
            <w:tcBorders/>
            <w:shd w:fill="FFFFFF" w:val="clear"/>
            <w:vAlign w:val="center"/>
          </w:tcPr>
          <w:p>
            <w:pPr>
              <w:pStyle w:val="TableContents"/>
              <w:bidi w:val="0"/>
              <w:spacing w:before="0" w:after="283"/>
              <w:jc w:val="left"/>
              <w:rPr/>
            </w:pPr>
            <w:r>
              <w:rPr/>
              <w:t> </w:t>
            </w:r>
          </w:p>
        </w:tc>
        <w:tc>
          <w:tcPr>
            <w:tcW w:w="12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54" w:name="xdx_98C_eus-gaap--ShareBasedCompensation"/>
            <w:bookmarkEnd w:id="454"/>
          </w:p>
        </w:tc>
        <w:tc>
          <w:tcPr>
            <w:tcW w:w="1157" w:type="dxa"/>
            <w:tcBorders>
              <w:bottom w:val="double" w:sz="6" w:space="0" w:color="000000"/>
            </w:tcBorders>
            <w:shd w:fill="FFFFFF" w:val="clear"/>
            <w:tcMar>
              <w:bottom w:w="28" w:type="dxa"/>
            </w:tcMar>
            <w:vAlign w:val="center"/>
          </w:tcPr>
          <w:p>
            <w:pPr>
              <w:pStyle w:val="TableContents"/>
              <w:bidi w:val="0"/>
              <w:spacing w:before="0" w:after="283"/>
              <w:jc w:val="right"/>
              <w:rPr/>
            </w:pPr>
            <w:r>
              <w:rPr/>
              <w:t>8,335</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1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55" w:name="xdx_984_eus-gaap--ShareBasedCompensation"/>
            <w:bookmarkEnd w:id="455"/>
          </w:p>
        </w:tc>
        <w:tc>
          <w:tcPr>
            <w:tcW w:w="1075" w:type="dxa"/>
            <w:tcBorders>
              <w:bottom w:val="double" w:sz="6" w:space="0" w:color="000000"/>
            </w:tcBorders>
            <w:shd w:fill="FFFFFF" w:val="clear"/>
            <w:tcMar>
              <w:bottom w:w="28" w:type="dxa"/>
            </w:tcMar>
            <w:vAlign w:val="center"/>
          </w:tcPr>
          <w:p>
            <w:pPr>
              <w:pStyle w:val="TableContents"/>
              <w:bidi w:val="0"/>
              <w:spacing w:before="0" w:after="283"/>
              <w:jc w:val="right"/>
              <w:rPr/>
            </w:pPr>
            <w:r>
              <w:rPr/>
              <w:t>6,250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56" w:name="xdx_984_eus-gaap--ShareBasedCompensation"/>
            <w:bookmarkEnd w:id="456"/>
          </w:p>
        </w:tc>
        <w:tc>
          <w:tcPr>
            <w:tcW w:w="1177" w:type="dxa"/>
            <w:tcBorders>
              <w:bottom w:val="double" w:sz="6" w:space="0" w:color="000000"/>
            </w:tcBorders>
            <w:shd w:fill="FFFFFF" w:val="clear"/>
            <w:tcMar>
              <w:bottom w:w="28" w:type="dxa"/>
            </w:tcMar>
            <w:vAlign w:val="center"/>
          </w:tcPr>
          <w:p>
            <w:pPr>
              <w:pStyle w:val="TableContents"/>
              <w:bidi w:val="0"/>
              <w:spacing w:before="0" w:after="283"/>
              <w:jc w:val="right"/>
              <w:rPr/>
            </w:pPr>
            <w:r>
              <w:rPr/>
              <w:t>11,167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57" w:name="xdx_985_eus-gaap--ShareBasedCompensation"/>
            <w:bookmarkEnd w:id="457"/>
          </w:p>
        </w:tc>
        <w:tc>
          <w:tcPr>
            <w:tcW w:w="1075" w:type="dxa"/>
            <w:tcBorders>
              <w:bottom w:val="double" w:sz="6" w:space="0" w:color="000000"/>
            </w:tcBorders>
            <w:shd w:fill="FFFFFF" w:val="clear"/>
            <w:tcMar>
              <w:bottom w:w="28" w:type="dxa"/>
            </w:tcMar>
            <w:vAlign w:val="center"/>
          </w:tcPr>
          <w:p>
            <w:pPr>
              <w:pStyle w:val="TableContents"/>
              <w:bidi w:val="0"/>
              <w:spacing w:before="0" w:after="283"/>
              <w:jc w:val="right"/>
              <w:rPr/>
            </w:pPr>
            <w:r>
              <w:rPr/>
              <w:t>7,770</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58" w:name="xdx_8A1_zXvs9ix39GYi"/>
      <w:bookmarkEnd w:id="458"/>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September 30, 2023 the aggregate intrinsic value of options outstanding and exercisable was $</w:t>
      </w:r>
      <w:bookmarkStart w:id="459" w:name="xdx_903_eus-gaap--ShareBasedCompensation"/>
      <w:bookmarkEnd w:id="459"/>
      <w:r>
        <w:rPr>
          <w:rFonts w:ascii="Times New Roman;Times;Serif" w:hAnsi="Times New Roman;Times;Serif"/>
          <w:b w:val="false"/>
          <w:i w:val="false"/>
          <w:caps w:val="false"/>
          <w:smallCaps w:val="false"/>
          <w:sz w:val="20"/>
        </w:rPr>
        <w:t>35.3 million and $</w:t>
      </w:r>
      <w:bookmarkStart w:id="460" w:name="xdx_909_eus-gaap--SharebasedCompensation"/>
      <w:bookmarkEnd w:id="460"/>
      <w:r>
        <w:rPr>
          <w:rFonts w:ascii="Times New Roman;Times;Serif" w:hAnsi="Times New Roman;Times;Serif"/>
          <w:b w:val="false"/>
          <w:i w:val="false"/>
          <w:caps w:val="false"/>
          <w:smallCaps w:val="false"/>
          <w:sz w:val="20"/>
        </w:rPr>
        <w:t xml:space="preserve">30.5 million, respectively. There were </w:t>
      </w:r>
      <w:bookmarkStart w:id="461" w:name="xdx_901_eus-gaap--StockIssuedDuringPerio"/>
      <w:bookmarkEnd w:id="461"/>
      <w:r>
        <w:rPr>
          <w:rFonts w:ascii="Times New Roman;Times;Serif" w:hAnsi="Times New Roman;Times;Serif"/>
          <w:b w:val="false"/>
          <w:i w:val="false"/>
          <w:caps w:val="false"/>
          <w:smallCaps w:val="false"/>
          <w:sz w:val="20"/>
        </w:rPr>
        <w:t xml:space="preserve">2.8 million options exercised for the nine months ended September 30, 2023 compared to </w:t>
      </w:r>
      <w:bookmarkStart w:id="462" w:name="xdx_90C_eus-gaap--StockIssuedDuringPerio"/>
      <w:bookmarkEnd w:id="462"/>
      <w:r>
        <w:rPr>
          <w:rFonts w:ascii="Times New Roman;Times;Serif" w:hAnsi="Times New Roman;Times;Serif"/>
          <w:b w:val="false"/>
          <w:i w:val="false"/>
          <w:caps w:val="false"/>
          <w:smallCaps w:val="false"/>
          <w:sz w:val="20"/>
        </w:rPr>
        <w:t>3.0 million for the comparable period in 2022. The total intrinsic value of options exercised was $</w:t>
      </w:r>
      <w:bookmarkStart w:id="463" w:name="xdx_903_eus-gaap--ShareBasedCompensation"/>
      <w:bookmarkEnd w:id="463"/>
      <w:r>
        <w:rPr>
          <w:rFonts w:ascii="Times New Roman;Times;Serif" w:hAnsi="Times New Roman;Times;Serif"/>
          <w:b w:val="false"/>
          <w:i w:val="false"/>
          <w:caps w:val="false"/>
          <w:smallCaps w:val="false"/>
          <w:sz w:val="20"/>
        </w:rPr>
        <w:t>13.5 million and $</w:t>
      </w:r>
      <w:bookmarkStart w:id="464" w:name="xdx_90F_eus-gaap--ShareBasedCompensation"/>
      <w:bookmarkEnd w:id="464"/>
      <w:r>
        <w:rPr>
          <w:rFonts w:ascii="Times New Roman;Times;Serif" w:hAnsi="Times New Roman;Times;Serif"/>
          <w:b w:val="false"/>
          <w:i w:val="false"/>
          <w:caps w:val="false"/>
          <w:smallCaps w:val="false"/>
          <w:sz w:val="20"/>
        </w:rPr>
        <w:t xml:space="preserve">23.1 million for the nine-month periods ended September 30, 2023 and 2022. There were </w:t>
      </w:r>
      <w:bookmarkStart w:id="465" w:name="xdx_905_eus-gaap--ShareBasedCompensation"/>
      <w:bookmarkEnd w:id="465"/>
      <w:r>
        <w:rPr>
          <w:rFonts w:ascii="Times New Roman;Times;Serif" w:hAnsi="Times New Roman;Times;Serif"/>
          <w:b w:val="false"/>
          <w:i w:val="false"/>
          <w:caps w:val="false"/>
          <w:smallCaps w:val="false"/>
          <w:sz w:val="20"/>
        </w:rPr>
        <w:t>2,661,000 shares available for future stock option grants under existing plans as of September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66" w:name="xdx_86A_zd9H0wxFupA4"/>
      <w:bookmarkStart w:id="467" w:name="xdx_847_eus-gaap--StockholdersEquityPoli"/>
      <w:bookmarkEnd w:id="466"/>
      <w:bookmarkEnd w:id="467"/>
      <w:r>
        <w:rPr>
          <w:rFonts w:ascii="Times New Roman;Times;Serif" w:hAnsi="Times New Roman;Times;Serif"/>
          <w:b/>
          <w:i w:val="false"/>
          <w:caps w:val="false"/>
          <w:smallCaps w:val="false"/>
          <w:sz w:val="20"/>
        </w:rPr>
        <w:t>Purchases of Company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describes the purchase of our common stock for the nine-month ended September 30, 2023 and 2022:</w:t>
      </w:r>
    </w:p>
    <w:p>
      <w:pPr>
        <w:pStyle w:val="Normal"/>
        <w:bidi w:val="0"/>
        <w:spacing w:before="0" w:after="0"/>
        <w:ind w:left="0" w:right="0" w:hanging="0"/>
        <w:jc w:val="left"/>
        <w:rPr>
          <w:sz w:val="4"/>
          <w:szCs w:val="4"/>
        </w:rPr>
      </w:pPr>
      <w:r>
        <w:rPr>
          <w:sz w:val="4"/>
          <w:szCs w:val="4"/>
        </w:rPr>
      </w:r>
      <w:bookmarkStart w:id="468" w:name="xdx_89C_eus-gaap--ScheduleOfTreasuryStoc"/>
      <w:bookmarkStart w:id="469" w:name="xdx_89C_eus-gaap--ScheduleOfTreasuryStoc"/>
      <w:bookmarkEnd w:id="469"/>
    </w:p>
    <w:tbl>
      <w:tblPr>
        <w:tblW w:w="9845" w:type="dxa"/>
        <w:jc w:val="left"/>
        <w:tblInd w:w="0" w:type="dxa"/>
        <w:tblLayout w:type="fixed"/>
        <w:tblCellMar>
          <w:top w:w="0" w:type="dxa"/>
          <w:left w:w="0" w:type="dxa"/>
          <w:bottom w:w="0" w:type="dxa"/>
          <w:right w:w="0" w:type="dxa"/>
        </w:tblCellMar>
      </w:tblPr>
      <w:tblGrid>
        <w:gridCol w:w="4910"/>
        <w:gridCol w:w="60"/>
        <w:gridCol w:w="65"/>
        <w:gridCol w:w="1061"/>
        <w:gridCol w:w="65"/>
        <w:gridCol w:w="65"/>
        <w:gridCol w:w="216"/>
        <w:gridCol w:w="868"/>
        <w:gridCol w:w="60"/>
        <w:gridCol w:w="60"/>
        <w:gridCol w:w="65"/>
        <w:gridCol w:w="1061"/>
        <w:gridCol w:w="65"/>
        <w:gridCol w:w="65"/>
        <w:gridCol w:w="216"/>
        <w:gridCol w:w="868"/>
        <w:gridCol w:w="75"/>
      </w:tblGrid>
      <w:tr>
        <w:trPr/>
        <w:tc>
          <w:tcPr>
            <w:tcW w:w="4910" w:type="dxa"/>
            <w:tcBorders/>
            <w:vAlign w:val="center"/>
          </w:tcPr>
          <w:p>
            <w:pPr>
              <w:pStyle w:val="TableContents"/>
              <w:bidi w:val="0"/>
              <w:spacing w:before="0" w:after="283"/>
              <w:jc w:val="left"/>
              <w:rPr/>
            </w:pPr>
            <w:bookmarkStart w:id="470" w:name="xdx_8BA_zyZKEVCoMRKe"/>
            <w:bookmarkEnd w:id="470"/>
            <w:r>
              <w:rPr/>
              <w:t>Schedule of purchases of company stock</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righ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righ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00" w:type="dxa"/>
            <w:gridSpan w:val="14"/>
            <w:tcBorders/>
            <w:vAlign w:val="center"/>
          </w:tcPr>
          <w:p>
            <w:pPr>
              <w:pStyle w:val="TableContents"/>
              <w:bidi w:val="0"/>
              <w:spacing w:before="0" w:after="283"/>
              <w:jc w:val="center"/>
              <w:rPr>
                <w:b/>
              </w:rPr>
            </w:pPr>
            <w:r>
              <w:rPr>
                <w:b/>
              </w:rPr>
              <w:t>Nine Months Ended</w:t>
            </w:r>
          </w:p>
        </w:tc>
        <w:tc>
          <w:tcPr>
            <w:tcW w:w="75"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 2022</w:t>
            </w:r>
          </w:p>
        </w:tc>
        <w:tc>
          <w:tcPr>
            <w:tcW w:w="75"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Avg.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Avg. Price</w:t>
            </w:r>
          </w:p>
        </w:tc>
        <w:tc>
          <w:tcPr>
            <w:tcW w:w="75" w:type="dxa"/>
            <w:tcBorders/>
            <w:vAlign w:val="center"/>
          </w:tcPr>
          <w:p>
            <w:pPr>
              <w:pStyle w:val="TableContents"/>
              <w:bidi w:val="0"/>
              <w:spacing w:before="0" w:after="283"/>
              <w:jc w:val="left"/>
              <w:rPr/>
            </w:pPr>
            <w:r>
              <w:rPr/>
              <w:t> </w:t>
            </w:r>
          </w:p>
        </w:tc>
      </w:tr>
      <w:tr>
        <w:trPr/>
        <w:tc>
          <w:tcPr>
            <w:tcW w:w="4910" w:type="dxa"/>
            <w:tcBorders/>
            <w:shd w:fill="EEEEEE" w:val="clear"/>
            <w:vAlign w:val="center"/>
          </w:tcPr>
          <w:p>
            <w:pPr>
              <w:pStyle w:val="TableContents"/>
              <w:bidi w:val="0"/>
              <w:spacing w:before="0" w:after="283"/>
              <w:jc w:val="left"/>
              <w:rPr/>
            </w:pPr>
            <w:r>
              <w:rPr/>
              <w:t>Open market purchases</w:t>
            </w:r>
          </w:p>
        </w:tc>
        <w:tc>
          <w:tcPr>
            <w:tcW w:w="60" w:type="dxa"/>
            <w:tcBorders/>
            <w:shd w:fill="EEEEEE" w:val="clear"/>
            <w:vAlign w:val="center"/>
          </w:tcPr>
          <w:p>
            <w:pPr>
              <w:pStyle w:val="TableContents"/>
              <w:bidi w:val="0"/>
              <w:spacing w:before="0" w:after="283"/>
              <w:jc w:val="left"/>
              <w:rPr/>
            </w:pPr>
            <w:r>
              <w:rPr/>
              <w:t> </w:t>
            </w:r>
          </w:p>
        </w:tc>
        <w:tc>
          <w:tcPr>
            <w:tcW w:w="65" w:type="dxa"/>
            <w:tcBorders/>
            <w:shd w:fill="EEEEEE" w:val="clear"/>
            <w:vAlign w:val="center"/>
          </w:tcPr>
          <w:p>
            <w:pPr>
              <w:pStyle w:val="TableContents"/>
              <w:bidi w:val="0"/>
              <w:spacing w:before="0" w:after="283"/>
              <w:jc w:val="left"/>
              <w:rPr/>
            </w:pPr>
            <w:r>
              <w:rPr/>
              <w:t> </w:t>
            </w:r>
            <w:bookmarkStart w:id="471" w:name="xdx_988_eus-gaap--StockRepurchasedDuring"/>
            <w:bookmarkEnd w:id="471"/>
          </w:p>
        </w:tc>
        <w:tc>
          <w:tcPr>
            <w:tcW w:w="1061" w:type="dxa"/>
            <w:tcBorders/>
            <w:shd w:fill="EEEEEE" w:val="clear"/>
            <w:vAlign w:val="center"/>
          </w:tcPr>
          <w:p>
            <w:pPr>
              <w:pStyle w:val="TableContents"/>
              <w:bidi w:val="0"/>
              <w:spacing w:before="0" w:after="283"/>
              <w:jc w:val="right"/>
              <w:rPr/>
            </w:pPr>
            <w:r>
              <w:rPr/>
              <w:t>625,887</w:t>
            </w:r>
          </w:p>
        </w:tc>
        <w:tc>
          <w:tcPr>
            <w:tcW w:w="65" w:type="dxa"/>
            <w:tcBorders/>
            <w:shd w:fill="EEEEEE" w:val="clear"/>
            <w:vAlign w:val="center"/>
          </w:tcPr>
          <w:p>
            <w:pPr>
              <w:pStyle w:val="TableContents"/>
              <w:bidi w:val="0"/>
              <w:spacing w:before="0" w:after="283"/>
              <w:jc w:val="left"/>
              <w:rPr/>
            </w:pPr>
            <w:r>
              <w:rPr/>
              <w:t> </w:t>
            </w:r>
          </w:p>
        </w:tc>
        <w:tc>
          <w:tcPr>
            <w:tcW w:w="65" w:type="dxa"/>
            <w:tcBorders/>
            <w:shd w:fill="EEEEEE" w:val="clear"/>
            <w:vAlign w:val="center"/>
          </w:tcPr>
          <w:p>
            <w:pPr>
              <w:pStyle w:val="TableContents"/>
              <w:bidi w:val="0"/>
              <w:spacing w:before="0" w:after="283"/>
              <w:jc w:val="left"/>
              <w:rPr/>
            </w:pPr>
            <w:r>
              <w:rPr/>
              <w:t> </w:t>
            </w:r>
          </w:p>
        </w:tc>
        <w:tc>
          <w:tcPr>
            <w:tcW w:w="216" w:type="dxa"/>
            <w:tcBorders/>
            <w:shd w:fill="EEEEEE" w:val="clear"/>
            <w:vAlign w:val="center"/>
          </w:tcPr>
          <w:p>
            <w:pPr>
              <w:pStyle w:val="TableContents"/>
              <w:bidi w:val="0"/>
              <w:spacing w:before="0" w:after="283"/>
              <w:jc w:val="left"/>
              <w:rPr/>
            </w:pPr>
            <w:r>
              <w:rPr/>
              <w:t>$</w:t>
            </w:r>
            <w:bookmarkStart w:id="472" w:name="xdx_985_eus-gaap--TreasuryStockAcquiredA"/>
            <w:bookmarkEnd w:id="472"/>
          </w:p>
        </w:tc>
        <w:tc>
          <w:tcPr>
            <w:tcW w:w="868" w:type="dxa"/>
            <w:tcBorders/>
            <w:shd w:fill="EEEEEE" w:val="clear"/>
            <w:vAlign w:val="center"/>
          </w:tcPr>
          <w:p>
            <w:pPr>
              <w:pStyle w:val="TableContents"/>
              <w:bidi w:val="0"/>
              <w:spacing w:before="0" w:after="283"/>
              <w:jc w:val="right"/>
              <w:rPr/>
            </w:pPr>
            <w:r>
              <w:rPr/>
              <w:t>11.20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5" w:type="dxa"/>
            <w:tcBorders/>
            <w:shd w:fill="EEEEEE" w:val="clear"/>
            <w:vAlign w:val="center"/>
          </w:tcPr>
          <w:p>
            <w:pPr>
              <w:pStyle w:val="TableContents"/>
              <w:bidi w:val="0"/>
              <w:spacing w:before="0" w:after="283"/>
              <w:jc w:val="left"/>
              <w:rPr/>
            </w:pPr>
            <w:r>
              <w:rPr/>
              <w:t> </w:t>
            </w:r>
            <w:bookmarkStart w:id="473" w:name="xdx_989_eus-gaap--StockRepurchasedDuring"/>
            <w:bookmarkEnd w:id="473"/>
          </w:p>
        </w:tc>
        <w:tc>
          <w:tcPr>
            <w:tcW w:w="1061" w:type="dxa"/>
            <w:tcBorders/>
            <w:shd w:fill="EEEEEE" w:val="clear"/>
            <w:vAlign w:val="center"/>
          </w:tcPr>
          <w:p>
            <w:pPr>
              <w:pStyle w:val="TableContents"/>
              <w:bidi w:val="0"/>
              <w:spacing w:before="0" w:after="283"/>
              <w:jc w:val="right"/>
              <w:rPr/>
            </w:pPr>
            <w:r>
              <w:rPr/>
              <w:t>2,617,548</w:t>
            </w:r>
          </w:p>
        </w:tc>
        <w:tc>
          <w:tcPr>
            <w:tcW w:w="65" w:type="dxa"/>
            <w:tcBorders/>
            <w:shd w:fill="EEEEEE" w:val="clear"/>
            <w:vAlign w:val="center"/>
          </w:tcPr>
          <w:p>
            <w:pPr>
              <w:pStyle w:val="TableContents"/>
              <w:bidi w:val="0"/>
              <w:spacing w:before="0" w:after="283"/>
              <w:jc w:val="left"/>
              <w:rPr/>
            </w:pPr>
            <w:r>
              <w:rPr/>
              <w:t> </w:t>
            </w:r>
          </w:p>
        </w:tc>
        <w:tc>
          <w:tcPr>
            <w:tcW w:w="65" w:type="dxa"/>
            <w:tcBorders/>
            <w:shd w:fill="EEEEEE" w:val="clear"/>
            <w:vAlign w:val="center"/>
          </w:tcPr>
          <w:p>
            <w:pPr>
              <w:pStyle w:val="TableContents"/>
              <w:bidi w:val="0"/>
              <w:spacing w:before="0" w:after="283"/>
              <w:jc w:val="left"/>
              <w:rPr/>
            </w:pPr>
            <w:r>
              <w:rPr/>
              <w:t> </w:t>
            </w:r>
          </w:p>
        </w:tc>
        <w:tc>
          <w:tcPr>
            <w:tcW w:w="216" w:type="dxa"/>
            <w:tcBorders/>
            <w:shd w:fill="EEEEEE" w:val="clear"/>
            <w:vAlign w:val="center"/>
          </w:tcPr>
          <w:p>
            <w:pPr>
              <w:pStyle w:val="TableContents"/>
              <w:bidi w:val="0"/>
              <w:spacing w:before="0" w:after="283"/>
              <w:jc w:val="left"/>
              <w:rPr/>
            </w:pPr>
            <w:r>
              <w:rPr/>
              <w:t>$</w:t>
            </w:r>
            <w:bookmarkStart w:id="474" w:name="xdx_98F_eus-gaap--TreasuryStockAcquiredA"/>
            <w:bookmarkEnd w:id="474"/>
          </w:p>
        </w:tc>
        <w:tc>
          <w:tcPr>
            <w:tcW w:w="868" w:type="dxa"/>
            <w:tcBorders/>
            <w:shd w:fill="EEEEEE" w:val="clear"/>
            <w:vAlign w:val="center"/>
          </w:tcPr>
          <w:p>
            <w:pPr>
              <w:pStyle w:val="TableContents"/>
              <w:bidi w:val="0"/>
              <w:spacing w:before="0" w:after="283"/>
              <w:jc w:val="right"/>
              <w:rPr/>
            </w:pPr>
            <w:r>
              <w:rPr/>
              <w:t>11.20</w:t>
            </w:r>
          </w:p>
        </w:tc>
        <w:tc>
          <w:tcPr>
            <w:tcW w:w="75" w:type="dxa"/>
            <w:tcBorders/>
            <w:shd w:fill="EEEEEE"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pPr>
            <w:r>
              <w:rPr/>
              <w:t>Shares redeemed upon net exercise of stock options</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75" w:name="xdx_987_eus-gaap--StockRepurchasedDuring"/>
            <w:bookmarkEnd w:id="475"/>
          </w:p>
        </w:tc>
        <w:tc>
          <w:tcPr>
            <w:tcW w:w="1061" w:type="dxa"/>
            <w:tcBorders>
              <w:bottom w:val="single" w:sz="8" w:space="0" w:color="000000"/>
            </w:tcBorders>
            <w:shd w:fill="FFFFFF" w:val="clear"/>
            <w:tcMar>
              <w:bottom w:w="28" w:type="dxa"/>
            </w:tcMar>
            <w:vAlign w:val="center"/>
          </w:tcPr>
          <w:p>
            <w:pPr>
              <w:pStyle w:val="TableContents"/>
              <w:bidi w:val="0"/>
              <w:spacing w:before="0" w:after="283"/>
              <w:jc w:val="right"/>
              <w:rPr/>
            </w:pPr>
            <w:r>
              <w:rPr/>
              <w:t>1,224,673</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2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76" w:name="xdx_984_eus-gaap--TreasuryStockAcquiredA"/>
            <w:bookmarkEnd w:id="476"/>
          </w:p>
        </w:tc>
        <w:tc>
          <w:tcPr>
            <w:tcW w:w="868" w:type="dxa"/>
            <w:tcBorders>
              <w:bottom w:val="single" w:sz="8" w:space="0" w:color="000000"/>
            </w:tcBorders>
            <w:shd w:fill="FFFFFF" w:val="clear"/>
            <w:tcMar>
              <w:bottom w:w="28" w:type="dxa"/>
            </w:tcMar>
            <w:vAlign w:val="center"/>
          </w:tcPr>
          <w:p>
            <w:pPr>
              <w:pStyle w:val="TableContents"/>
              <w:bidi w:val="0"/>
              <w:spacing w:before="0" w:after="283"/>
              <w:jc w:val="right"/>
              <w:rPr/>
            </w:pPr>
            <w:r>
              <w:rPr/>
              <w:t>13.56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77" w:name="xdx_98F_eus-gaap--StockRepurchasedDuring"/>
            <w:bookmarkEnd w:id="477"/>
          </w:p>
        </w:tc>
        <w:tc>
          <w:tcPr>
            <w:tcW w:w="1061" w:type="dxa"/>
            <w:tcBorders>
              <w:bottom w:val="single" w:sz="8" w:space="0" w:color="000000"/>
            </w:tcBorders>
            <w:shd w:fill="FFFFFF" w:val="clear"/>
            <w:tcMar>
              <w:bottom w:w="28" w:type="dxa"/>
            </w:tcMar>
            <w:vAlign w:val="center"/>
          </w:tcPr>
          <w:p>
            <w:pPr>
              <w:pStyle w:val="TableContents"/>
              <w:bidi w:val="0"/>
              <w:spacing w:before="0" w:after="283"/>
              <w:jc w:val="right"/>
              <w:rPr/>
            </w:pPr>
            <w:r>
              <w:rPr/>
              <w:t>893,153</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2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78" w:name="xdx_98F_eus-gaap--TreasuryStockAcquiredA"/>
            <w:bookmarkEnd w:id="478"/>
          </w:p>
        </w:tc>
        <w:tc>
          <w:tcPr>
            <w:tcW w:w="868" w:type="dxa"/>
            <w:tcBorders>
              <w:bottom w:val="single" w:sz="8" w:space="0" w:color="000000"/>
            </w:tcBorders>
            <w:shd w:fill="FFFFFF" w:val="clear"/>
            <w:tcMar>
              <w:bottom w:w="28" w:type="dxa"/>
            </w:tcMar>
            <w:vAlign w:val="center"/>
          </w:tcPr>
          <w:p>
            <w:pPr>
              <w:pStyle w:val="TableContents"/>
              <w:bidi w:val="0"/>
              <w:spacing w:before="0" w:after="283"/>
              <w:jc w:val="right"/>
              <w:rPr/>
            </w:pPr>
            <w:r>
              <w:rPr/>
              <w:t>13.56</w:t>
            </w:r>
          </w:p>
        </w:tc>
        <w:tc>
          <w:tcPr>
            <w:tcW w:w="75" w:type="dxa"/>
            <w:tcBorders/>
            <w:shd w:fill="FFFFFF" w:val="clear"/>
            <w:vAlign w:val="center"/>
          </w:tcPr>
          <w:p>
            <w:pPr>
              <w:pStyle w:val="TableContents"/>
              <w:bidi w:val="0"/>
              <w:spacing w:before="0" w:after="283"/>
              <w:jc w:val="left"/>
              <w:rPr/>
            </w:pPr>
            <w:r>
              <w:rPr/>
              <w:t> </w:t>
            </w:r>
          </w:p>
        </w:tc>
      </w:tr>
      <w:tr>
        <w:trPr/>
        <w:tc>
          <w:tcPr>
            <w:tcW w:w="4910" w:type="dxa"/>
            <w:tcBorders/>
            <w:shd w:fill="EEEEEE" w:val="clear"/>
            <w:vAlign w:val="center"/>
          </w:tcPr>
          <w:p>
            <w:pPr>
              <w:pStyle w:val="TableContents"/>
              <w:bidi w:val="0"/>
              <w:spacing w:before="0" w:after="283"/>
              <w:jc w:val="left"/>
              <w:rPr/>
            </w:pPr>
            <w:r>
              <w:rPr/>
              <w:t>Total stock purchases</w:t>
            </w:r>
          </w:p>
        </w:tc>
        <w:tc>
          <w:tcPr>
            <w:tcW w:w="60" w:type="dxa"/>
            <w:tcBorders/>
            <w:shd w:fill="EEEEEE" w:val="clear"/>
            <w:vAlign w:val="center"/>
          </w:tcPr>
          <w:p>
            <w:pPr>
              <w:pStyle w:val="TableContents"/>
              <w:bidi w:val="0"/>
              <w:spacing w:before="0" w:after="283"/>
              <w:jc w:val="left"/>
              <w:rPr/>
            </w:pPr>
            <w:r>
              <w:rPr/>
              <w:t> </w:t>
            </w:r>
          </w:p>
        </w:tc>
        <w:tc>
          <w:tcPr>
            <w:tcW w:w="65"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bookmarkStart w:id="479" w:name="xdx_983_eus-gaap--StockRepurchasedDuring"/>
            <w:bookmarkEnd w:id="479"/>
          </w:p>
        </w:tc>
        <w:tc>
          <w:tcPr>
            <w:tcW w:w="1061" w:type="dxa"/>
            <w:tcBorders>
              <w:bottom w:val="double" w:sz="6" w:space="0" w:color="000000"/>
            </w:tcBorders>
            <w:shd w:fill="EEEEEE" w:val="clear"/>
            <w:tcMar>
              <w:bottom w:w="28" w:type="dxa"/>
            </w:tcMar>
            <w:vAlign w:val="center"/>
          </w:tcPr>
          <w:p>
            <w:pPr>
              <w:pStyle w:val="TableContents"/>
              <w:bidi w:val="0"/>
              <w:spacing w:before="0" w:after="283"/>
              <w:jc w:val="right"/>
              <w:rPr/>
            </w:pPr>
            <w:r>
              <w:rPr/>
              <w:t>1,850,560</w:t>
            </w:r>
          </w:p>
        </w:tc>
        <w:tc>
          <w:tcPr>
            <w:tcW w:w="65" w:type="dxa"/>
            <w:tcBorders/>
            <w:shd w:fill="EEEEEE" w:val="clear"/>
            <w:vAlign w:val="center"/>
          </w:tcPr>
          <w:p>
            <w:pPr>
              <w:pStyle w:val="TableContents"/>
              <w:bidi w:val="0"/>
              <w:spacing w:before="0" w:after="283"/>
              <w:jc w:val="left"/>
              <w:rPr/>
            </w:pPr>
            <w:r>
              <w:rPr/>
              <w:t> </w:t>
            </w:r>
          </w:p>
        </w:tc>
        <w:tc>
          <w:tcPr>
            <w:tcW w:w="65" w:type="dxa"/>
            <w:tcBorders/>
            <w:shd w:fill="EEEEEE" w:val="clear"/>
            <w:vAlign w:val="center"/>
          </w:tcPr>
          <w:p>
            <w:pPr>
              <w:pStyle w:val="TableContents"/>
              <w:bidi w:val="0"/>
              <w:spacing w:before="0" w:after="283"/>
              <w:jc w:val="left"/>
              <w:rPr/>
            </w:pPr>
            <w:r>
              <w:rPr/>
              <w:t> </w:t>
            </w:r>
          </w:p>
        </w:tc>
        <w:tc>
          <w:tcPr>
            <w:tcW w:w="216"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480" w:name="xdx_983_eus-gaap--TreasuryStockAcquiredA"/>
            <w:bookmarkEnd w:id="480"/>
          </w:p>
        </w:tc>
        <w:tc>
          <w:tcPr>
            <w:tcW w:w="868" w:type="dxa"/>
            <w:tcBorders>
              <w:bottom w:val="double" w:sz="6" w:space="0" w:color="000000"/>
            </w:tcBorders>
            <w:shd w:fill="EEEEEE" w:val="clear"/>
            <w:tcMar>
              <w:bottom w:w="28" w:type="dxa"/>
            </w:tcMar>
            <w:vAlign w:val="center"/>
          </w:tcPr>
          <w:p>
            <w:pPr>
              <w:pStyle w:val="TableContents"/>
              <w:bidi w:val="0"/>
              <w:spacing w:before="0" w:after="283"/>
              <w:jc w:val="right"/>
              <w:rPr/>
            </w:pPr>
            <w:r>
              <w:rPr/>
              <w:t>11.80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5"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bookmarkStart w:id="481" w:name="xdx_983_eus-gaap--StockRepurchasedDuring"/>
            <w:bookmarkEnd w:id="481"/>
          </w:p>
        </w:tc>
        <w:tc>
          <w:tcPr>
            <w:tcW w:w="1061" w:type="dxa"/>
            <w:tcBorders>
              <w:bottom w:val="double" w:sz="6" w:space="0" w:color="000000"/>
            </w:tcBorders>
            <w:shd w:fill="EEEEEE" w:val="clear"/>
            <w:tcMar>
              <w:bottom w:w="28" w:type="dxa"/>
            </w:tcMar>
            <w:vAlign w:val="center"/>
          </w:tcPr>
          <w:p>
            <w:pPr>
              <w:pStyle w:val="TableContents"/>
              <w:bidi w:val="0"/>
              <w:spacing w:before="0" w:after="283"/>
              <w:jc w:val="right"/>
              <w:rPr/>
            </w:pPr>
            <w:r>
              <w:rPr/>
              <w:t>3,510,701</w:t>
            </w:r>
          </w:p>
        </w:tc>
        <w:tc>
          <w:tcPr>
            <w:tcW w:w="65" w:type="dxa"/>
            <w:tcBorders/>
            <w:shd w:fill="EEEEEE" w:val="clear"/>
            <w:vAlign w:val="center"/>
          </w:tcPr>
          <w:p>
            <w:pPr>
              <w:pStyle w:val="TableContents"/>
              <w:bidi w:val="0"/>
              <w:spacing w:before="0" w:after="283"/>
              <w:jc w:val="left"/>
              <w:rPr/>
            </w:pPr>
            <w:r>
              <w:rPr/>
              <w:t> </w:t>
            </w:r>
          </w:p>
        </w:tc>
        <w:tc>
          <w:tcPr>
            <w:tcW w:w="65" w:type="dxa"/>
            <w:tcBorders/>
            <w:shd w:fill="EEEEEE" w:val="clear"/>
            <w:vAlign w:val="center"/>
          </w:tcPr>
          <w:p>
            <w:pPr>
              <w:pStyle w:val="TableContents"/>
              <w:bidi w:val="0"/>
              <w:spacing w:before="0" w:after="283"/>
              <w:jc w:val="left"/>
              <w:rPr/>
            </w:pPr>
            <w:r>
              <w:rPr/>
              <w:t> </w:t>
            </w:r>
          </w:p>
        </w:tc>
        <w:tc>
          <w:tcPr>
            <w:tcW w:w="216"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482" w:name="xdx_983_eus-gaap--TreasuryStockAcquiredA"/>
            <w:bookmarkEnd w:id="482"/>
          </w:p>
        </w:tc>
        <w:tc>
          <w:tcPr>
            <w:tcW w:w="868" w:type="dxa"/>
            <w:tcBorders>
              <w:bottom w:val="double" w:sz="6" w:space="0" w:color="000000"/>
            </w:tcBorders>
            <w:shd w:fill="EEEEEE" w:val="clear"/>
            <w:tcMar>
              <w:bottom w:w="28" w:type="dxa"/>
            </w:tcMar>
            <w:vAlign w:val="center"/>
          </w:tcPr>
          <w:p>
            <w:pPr>
              <w:pStyle w:val="TableContents"/>
              <w:bidi w:val="0"/>
              <w:spacing w:before="0" w:after="283"/>
              <w:jc w:val="right"/>
              <w:rPr/>
            </w:pPr>
            <w:r>
              <w:rPr/>
              <w:t>11.80</w:t>
            </w:r>
          </w:p>
        </w:tc>
        <w:tc>
          <w:tcPr>
            <w:tcW w:w="75"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83" w:name="xdx_8AB_zMSD82iV97p7"/>
      <w:bookmarkEnd w:id="483"/>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84" w:name="xdx_86F_zRvR2JEChZ4j"/>
      <w:bookmarkStart w:id="485" w:name="xdx_842_eus-gaap--PriorPeriodReclassific"/>
      <w:bookmarkEnd w:id="484"/>
      <w:bookmarkEnd w:id="485"/>
      <w:r>
        <w:rPr>
          <w:rFonts w:ascii="Times New Roman;Times;Serif" w:hAnsi="Times New Roman;Times;Serif"/>
          <w:b/>
          <w:i w:val="false"/>
          <w:caps w:val="false"/>
          <w:smallCaps w:val="false"/>
          <w:sz w:val="20"/>
        </w:rPr>
        <w:t>Reclassifications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items in the prior year financial statements were reclassified to conform to the current presentation. Reclassifications had no effect on net income or shareholders’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86" w:name="xdx_86B_zxCgsgewzRtc"/>
      <w:bookmarkStart w:id="487" w:name="xdx_84C_ecustom--FinancialCovenantsPolic"/>
      <w:bookmarkEnd w:id="486"/>
      <w:bookmarkEnd w:id="487"/>
      <w:r>
        <w:rPr>
          <w:rFonts w:ascii="Times New Roman;Times;Serif" w:hAnsi="Times New Roman;Times;Serif"/>
          <w:b/>
          <w:i w:val="false"/>
          <w:caps w:val="false"/>
          <w:smallCaps w:val="false"/>
          <w:sz w:val="20"/>
        </w:rPr>
        <w:t xml:space="preserve">Financial Covenants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securitization transactions, our warehouse credit facilities and our residual interest financing contain various financial covenants requiring minimum financial ratios and results. Such covenants include maintaining minimum levels of liquidity and net worth and not exceeding maximum leverage levels. As of September 30, 2023, we were in compliance with all such covenants.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w:t>
      </w:r>
    </w:p>
    <w:p>
      <w:pPr>
        <w:pStyle w:val="TextBody"/>
        <w:bidi w:val="0"/>
        <w:spacing w:before="0" w:after="0"/>
        <w:ind w:left="0" w:right="0" w:firstLine="144"/>
        <w:jc w:val="both"/>
        <w:rPr>
          <w:caps w:val="false"/>
          <w:smallCaps w:val="false"/>
        </w:rPr>
      </w:pPr>
      <w:bookmarkStart w:id="488" w:name="xdx_238_zMHmZ1Juzpu1"/>
      <w:bookmarkEnd w:id="488"/>
      <w:r>
        <w:rPr>
          <w:caps w:val="false"/>
          <w:smallCaps w:val="false"/>
        </w:rPr>
        <w:t> </w:t>
      </w:r>
    </w:p>
    <w:p>
      <w:pPr>
        <w:pStyle w:val="TextBody"/>
        <w:bidi w:val="0"/>
        <w:spacing w:before="0" w:after="0"/>
        <w:ind w:left="0" w:right="0" w:firstLine="144"/>
        <w:jc w:val="both"/>
        <w:rPr>
          <w:caps w:val="false"/>
          <w:smallCaps w:val="false"/>
        </w:rPr>
      </w:pPr>
      <w:bookmarkStart w:id="489" w:name="xdx_238_zUxyYukH2fNk"/>
      <w:bookmarkEnd w:id="489"/>
      <w:r>
        <w:rPr>
          <w:caps w:val="false"/>
          <w:smallCaps w:val="false"/>
        </w:rPr>
        <w:t> </w:t>
      </w:r>
    </w:p>
    <w:p>
      <w:pPr>
        <w:pStyle w:val="TextBody"/>
        <w:bidi w:val="0"/>
        <w:spacing w:before="0" w:after="0"/>
        <w:ind w:left="0" w:right="0" w:firstLine="144"/>
        <w:jc w:val="both"/>
        <w:rPr>
          <w:caps w:val="false"/>
          <w:smallCaps w:val="false"/>
        </w:rPr>
      </w:pPr>
      <w:bookmarkStart w:id="490" w:name="xdx_234_zpLpGNsBCnWi"/>
      <w:bookmarkEnd w:id="490"/>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bookmarkStart w:id="491" w:name="xdx_231_zYbtePffC4Rk"/>
      <w:bookmarkEnd w:id="491"/>
      <w:r>
        <w:rPr/>
        <w:t> </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92" w:name="xdx_23D_zLzqjLXnGQK4"/>
      <w:bookmarkEnd w:id="492"/>
      <w:r>
        <w:rPr>
          <w:rFonts w:ascii="Times New Roman;Times;Serif" w:hAnsi="Times New Roman;Times;Serif"/>
          <w:b/>
          <w:i w:val="false"/>
          <w:caps w:val="false"/>
          <w:smallCaps w:val="false"/>
          <w:sz w:val="20"/>
        </w:rPr>
        <w:t>CONSUMER PORTFOLIO SERVICES,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93" w:name="xdx_23B_zJWRW5j2TQ5l"/>
      <w:bookmarkEnd w:id="493"/>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firstLine="144"/>
        <w:jc w:val="both"/>
        <w:rPr>
          <w:caps w:val="false"/>
          <w:smallCaps w:val="false"/>
        </w:rPr>
      </w:pPr>
      <w:bookmarkStart w:id="494" w:name="xdx_238_zB4C6e7TzeOd"/>
      <w:bookmarkEnd w:id="494"/>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95" w:name="xdx_862_zHOPQN1u6I54"/>
      <w:bookmarkStart w:id="496" w:name="xdx_846_ecustom--ProvisionForContingentL"/>
      <w:bookmarkEnd w:id="495"/>
      <w:bookmarkEnd w:id="496"/>
      <w:r>
        <w:rPr>
          <w:rFonts w:ascii="Times New Roman;Times;Serif" w:hAnsi="Times New Roman;Times;Serif"/>
          <w:b/>
          <w:i w:val="false"/>
          <w:caps w:val="false"/>
          <w:smallCaps w:val="false"/>
          <w:sz w:val="20"/>
        </w:rPr>
        <w:t>Provision for Contingent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97" w:name="xdx_860_zGXtgd4ppMMl"/>
      <w:bookmarkStart w:id="498" w:name="xdx_842_eus-gaap--NewAccountingPronounce"/>
      <w:bookmarkEnd w:id="497"/>
      <w:bookmarkEnd w:id="498"/>
      <w:r>
        <w:rPr>
          <w:rFonts w:ascii="Times New Roman;Times;Serif" w:hAnsi="Times New Roman;Times;Serif"/>
          <w:b/>
          <w:i w:val="false"/>
          <w:caps w:val="false"/>
          <w:smallCaps w:val="false"/>
          <w:sz w:val="20"/>
        </w:rPr>
        <w:t>Adoption of New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2022, the Financial Accounting Standards Board (“FASB”) issued Accounting Standards Update ("ASU") 2022-02, known as the Financial Instruments – Credit Losses (Topic 326), Troubled Debt Restructurings and Vintage Disclosures. ASU 2022-02 eliminates the accounting guidance for TDRs in ASC 310-40 on troubled debt restructurings for entities that have adopted the CECL model introduced by ASU 2016-13, Current Expected Credit Loss. ASU 2022-02 also requires that public business entities disclose current-period gross charge offs by year of origination for financing receivables and net investments in leases within the scope of Subtopic 326-20, Financial Instruments – Credit Losses – Measured at Amortized Cost. This guidance is effective for fiscal years beginning after December 15, 2022, and the adoption of this guidance did not have a material impact on the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i w:val="false"/>
          <w:caps w:val="false"/>
          <w:smallCaps w:val="false"/>
          <w:sz w:val="20"/>
        </w:rPr>
      </w:pPr>
      <w:bookmarkStart w:id="499" w:name="xdx_807_ecustom--FinanceReceivableTextBl"/>
      <w:bookmarkEnd w:id="499"/>
      <w:r>
        <w:rPr>
          <w:rFonts w:ascii="Times New Roman;Times;Serif" w:hAnsi="Times New Roman;Times;Serif"/>
          <w:b/>
          <w:i w:val="false"/>
          <w:caps w:val="false"/>
          <w:smallCaps w:val="false"/>
          <w:sz w:val="20"/>
        </w:rPr>
        <w:t xml:space="preserve">(2) </w:t>
      </w:r>
      <w:bookmarkStart w:id="500" w:name="xdx_829_zVsmMrx63hw2"/>
      <w:bookmarkEnd w:id="500"/>
      <w:r>
        <w:rPr>
          <w:rFonts w:ascii="Times New Roman;Times;Serif" w:hAnsi="Times New Roman;Times;Serif"/>
          <w:b/>
          <w:i/>
          <w:caps w:val="false"/>
          <w:smallCaps w:val="false"/>
          <w:sz w:val="20"/>
        </w:rPr>
        <w:t xml:space="preserve">Finance Receivables </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portfolio of finance receivables consists of small-balance homogeneous contracts comprising a single segment and class that is collectively evaluated for impairment on a portfolio basis according to delinquency status. Our contract purchase guidelines are designed to produce a homogenous portfolio. For key terms such as interest rate, length of contract, monthly payment and amount financed, there is relatively little variation from the average for the portfolio.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2018 the Company adopted the fair value method of accounting for finance receivables acquired after 2017. Finance receivables measured at fair value are recorded separately on the Company’s Balance Sheet and are excluded from all tables in this footnote.</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included. In certain circumstances we will grant obligors one-month payment extensions to assist them with temporary cash flow problems. The only modification of terms is to advance the obligor’s next due date by one month and extend the maturity date of the receivable by one month. In certain limited cases, a two-month extension may be granted. There are no other concessions such as a reduction in interest rate, forgiveness of principal or of accrued interest. Automobile finance receivables, net of unearned interest was $</w:t>
      </w:r>
      <w:bookmarkStart w:id="501" w:name="xdx_90F_eus-gaap--InterestReceivable_iI_"/>
      <w:bookmarkEnd w:id="501"/>
      <w:r>
        <w:rPr>
          <w:rFonts w:ascii="Times New Roman;Times;Serif" w:hAnsi="Times New Roman;Times;Serif"/>
          <w:b w:val="false"/>
          <w:i w:val="false"/>
          <w:caps w:val="false"/>
          <w:smallCaps w:val="false"/>
          <w:sz w:val="20"/>
        </w:rPr>
        <w:t>38.5 million and $</w:t>
      </w:r>
      <w:bookmarkStart w:id="502" w:name="xdx_901_eus-gaap--InterestReceivable_iI_"/>
      <w:bookmarkEnd w:id="502"/>
      <w:r>
        <w:rPr>
          <w:rFonts w:ascii="Times New Roman;Times;Serif" w:hAnsi="Times New Roman;Times;Serif"/>
          <w:b w:val="false"/>
          <w:i w:val="false"/>
          <w:caps w:val="false"/>
          <w:smallCaps w:val="false"/>
          <w:sz w:val="20"/>
        </w:rPr>
        <w:t>92.3 million as of September 30, 2023 and December 31, 2022, respectively. The following table summarizes the delinquency status of finance receivables as of September 30, 2023 and December 31, 2022:</w:t>
      </w:r>
    </w:p>
    <w:p>
      <w:pPr>
        <w:pStyle w:val="Normal"/>
        <w:bidi w:val="0"/>
        <w:spacing w:before="0" w:after="0"/>
        <w:ind w:left="0" w:right="0" w:firstLine="144"/>
        <w:jc w:val="left"/>
        <w:rPr>
          <w:sz w:val="4"/>
          <w:szCs w:val="4"/>
        </w:rPr>
      </w:pPr>
      <w:r>
        <w:rPr>
          <w:sz w:val="4"/>
          <w:szCs w:val="4"/>
        </w:rPr>
      </w:r>
      <w:bookmarkStart w:id="503" w:name="xdx_89F_eus-gaap--PastDueFinancingReceiv"/>
      <w:bookmarkStart w:id="504" w:name="xdx_89F_eus-gaap--PastDueFinancingReceiv"/>
      <w:bookmarkEnd w:id="504"/>
    </w:p>
    <w:tbl>
      <w:tblPr>
        <w:tblW w:w="8218" w:type="dxa"/>
        <w:jc w:val="left"/>
        <w:tblInd w:w="0" w:type="dxa"/>
        <w:tblLayout w:type="fixed"/>
        <w:tblCellMar>
          <w:top w:w="0" w:type="dxa"/>
          <w:left w:w="0" w:type="dxa"/>
          <w:bottom w:w="0" w:type="dxa"/>
          <w:right w:w="0" w:type="dxa"/>
        </w:tblCellMar>
      </w:tblPr>
      <w:tblGrid>
        <w:gridCol w:w="5075"/>
        <w:gridCol w:w="60"/>
        <w:gridCol w:w="251"/>
        <w:gridCol w:w="1223"/>
        <w:gridCol w:w="60"/>
        <w:gridCol w:w="60"/>
        <w:gridCol w:w="241"/>
        <w:gridCol w:w="1173"/>
        <w:gridCol w:w="75"/>
      </w:tblGrid>
      <w:tr>
        <w:trPr/>
        <w:tc>
          <w:tcPr>
            <w:tcW w:w="5075" w:type="dxa"/>
            <w:tcBorders/>
            <w:vAlign w:val="center"/>
          </w:tcPr>
          <w:p>
            <w:pPr>
              <w:pStyle w:val="TableContents"/>
              <w:bidi w:val="0"/>
              <w:spacing w:before="0" w:after="283"/>
              <w:jc w:val="left"/>
              <w:rPr/>
            </w:pPr>
            <w:bookmarkStart w:id="505" w:name="xdx_8B3_zp3HxYbVKr7e"/>
            <w:bookmarkEnd w:id="505"/>
            <w:r>
              <w:rPr/>
              <w:t>Schedule of delinquency status of finance receivables</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3"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8" w:type="dxa"/>
            <w:gridSpan w:val="6"/>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5075" w:type="dxa"/>
            <w:tcBorders/>
            <w:shd w:fill="EEEEEE" w:val="clear"/>
            <w:vAlign w:val="center"/>
          </w:tcPr>
          <w:p>
            <w:pPr>
              <w:pStyle w:val="TableContents"/>
              <w:bidi w:val="0"/>
              <w:spacing w:before="0" w:after="283"/>
              <w:jc w:val="left"/>
              <w:rPr/>
            </w:pPr>
            <w:r>
              <w:rPr/>
              <w:t>Delinquency Status</w:t>
            </w:r>
          </w:p>
        </w:tc>
        <w:tc>
          <w:tcPr>
            <w:tcW w:w="60" w:type="dxa"/>
            <w:tcBorders/>
            <w:shd w:fill="EEEEEE" w:val="clear"/>
            <w:vAlign w:val="center"/>
          </w:tcPr>
          <w:p>
            <w:pPr>
              <w:pStyle w:val="TableContents"/>
              <w:bidi w:val="0"/>
              <w:spacing w:before="0" w:after="283"/>
              <w:jc w:val="left"/>
              <w:rPr/>
            </w:pPr>
            <w:r>
              <w:rPr/>
              <w:t> </w:t>
            </w:r>
          </w:p>
        </w:tc>
        <w:tc>
          <w:tcPr>
            <w:tcW w:w="251" w:type="dxa"/>
            <w:tcBorders/>
            <w:shd w:fill="EEEEEE" w:val="clear"/>
            <w:vAlign w:val="center"/>
          </w:tcPr>
          <w:p>
            <w:pPr>
              <w:pStyle w:val="TableContents"/>
              <w:bidi w:val="0"/>
              <w:spacing w:before="0" w:after="283"/>
              <w:jc w:val="left"/>
              <w:rPr/>
            </w:pPr>
            <w:r>
              <w:rPr/>
              <w:t> </w:t>
            </w:r>
          </w:p>
        </w:tc>
        <w:tc>
          <w:tcPr>
            <w:tcW w:w="1223"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1" w:type="dxa"/>
            <w:tcBorders/>
            <w:shd w:fill="EEEEEE" w:val="clear"/>
            <w:vAlign w:val="center"/>
          </w:tcPr>
          <w:p>
            <w:pPr>
              <w:pStyle w:val="TableContents"/>
              <w:bidi w:val="0"/>
              <w:spacing w:before="0" w:after="283"/>
              <w:jc w:val="left"/>
              <w:rPr/>
            </w:pPr>
            <w:r>
              <w:rPr/>
              <w:t> </w:t>
            </w:r>
          </w:p>
        </w:tc>
        <w:tc>
          <w:tcPr>
            <w:tcW w:w="1173" w:type="dxa"/>
            <w:tcBorders/>
            <w:shd w:fill="EEEEEE" w:val="clear"/>
            <w:vAlign w:val="center"/>
          </w:tcPr>
          <w:p>
            <w:pPr>
              <w:pStyle w:val="TableContents"/>
              <w:bidi w:val="0"/>
              <w:spacing w:before="0" w:after="283"/>
              <w:jc w:val="right"/>
              <w:rPr/>
            </w:pPr>
            <w:r>
              <w:rPr/>
              <w:t> </w:t>
            </w:r>
          </w:p>
        </w:tc>
        <w:tc>
          <w:tcPr>
            <w:tcW w:w="75" w:type="dxa"/>
            <w:tcBorders/>
            <w:shd w:fill="EEEEEE"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Current</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w:t>
            </w:r>
            <w:bookmarkStart w:id="506" w:name="xdx_982_eus-gaap--NotesReceivableGross_p"/>
            <w:bookmarkEnd w:id="506"/>
          </w:p>
        </w:tc>
        <w:tc>
          <w:tcPr>
            <w:tcW w:w="1223" w:type="dxa"/>
            <w:tcBorders/>
            <w:shd w:fill="FFFFFF" w:val="clear"/>
            <w:vAlign w:val="center"/>
          </w:tcPr>
          <w:p>
            <w:pPr>
              <w:pStyle w:val="TableContents"/>
              <w:bidi w:val="0"/>
              <w:spacing w:before="0" w:after="283"/>
              <w:jc w:val="right"/>
              <w:rPr/>
            </w:pPr>
            <w:r>
              <w:rPr/>
              <w:t>25,805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bookmarkStart w:id="507" w:name="xdx_987_eus-gaap--NotesReceivableGross_c"/>
            <w:bookmarkEnd w:id="507"/>
          </w:p>
        </w:tc>
        <w:tc>
          <w:tcPr>
            <w:tcW w:w="1173" w:type="dxa"/>
            <w:tcBorders/>
            <w:shd w:fill="FFFFFF" w:val="clear"/>
            <w:vAlign w:val="center"/>
          </w:tcPr>
          <w:p>
            <w:pPr>
              <w:pStyle w:val="TableContents"/>
              <w:bidi w:val="0"/>
              <w:spacing w:before="0" w:after="283"/>
              <w:jc w:val="right"/>
              <w:rPr/>
            </w:pPr>
            <w:r>
              <w:rPr/>
              <w:t>65,764</w:t>
            </w:r>
          </w:p>
        </w:tc>
        <w:tc>
          <w:tcPr>
            <w:tcW w:w="75" w:type="dxa"/>
            <w:tcBorders/>
            <w:shd w:fill="FFFFFF" w:val="clear"/>
            <w:vAlign w:val="center"/>
          </w:tcPr>
          <w:p>
            <w:pPr>
              <w:pStyle w:val="TableContents"/>
              <w:bidi w:val="0"/>
              <w:spacing w:before="0" w:after="283"/>
              <w:jc w:val="left"/>
              <w:rPr/>
            </w:pPr>
            <w:r>
              <w:rPr/>
              <w:t> </w:t>
            </w:r>
          </w:p>
        </w:tc>
      </w:tr>
      <w:tr>
        <w:trPr/>
        <w:tc>
          <w:tcPr>
            <w:tcW w:w="5075" w:type="dxa"/>
            <w:tcBorders/>
            <w:shd w:fill="EEEEEE" w:val="clear"/>
            <w:vAlign w:val="center"/>
          </w:tcPr>
          <w:p>
            <w:pPr>
              <w:pStyle w:val="TableContents"/>
              <w:bidi w:val="0"/>
              <w:spacing w:before="0" w:after="283"/>
              <w:jc w:val="left"/>
              <w:rPr/>
            </w:pPr>
            <w:r>
              <w:rPr/>
              <w:t>31-60 days</w:t>
            </w:r>
          </w:p>
        </w:tc>
        <w:tc>
          <w:tcPr>
            <w:tcW w:w="60" w:type="dxa"/>
            <w:tcBorders/>
            <w:shd w:fill="EEEEEE" w:val="clear"/>
            <w:vAlign w:val="center"/>
          </w:tcPr>
          <w:p>
            <w:pPr>
              <w:pStyle w:val="TableContents"/>
              <w:bidi w:val="0"/>
              <w:spacing w:before="0" w:after="283"/>
              <w:jc w:val="left"/>
              <w:rPr/>
            </w:pPr>
            <w:r>
              <w:rPr/>
              <w:t> </w:t>
            </w:r>
          </w:p>
        </w:tc>
        <w:tc>
          <w:tcPr>
            <w:tcW w:w="251" w:type="dxa"/>
            <w:tcBorders/>
            <w:shd w:fill="EEEEEE" w:val="clear"/>
            <w:vAlign w:val="center"/>
          </w:tcPr>
          <w:p>
            <w:pPr>
              <w:pStyle w:val="TableContents"/>
              <w:bidi w:val="0"/>
              <w:spacing w:before="0" w:after="283"/>
              <w:jc w:val="left"/>
              <w:rPr/>
            </w:pPr>
            <w:r>
              <w:rPr/>
              <w:t> </w:t>
            </w:r>
            <w:bookmarkStart w:id="508" w:name="xdx_98D_eus-gaap--NotesReceivableGross_p"/>
            <w:bookmarkEnd w:id="508"/>
          </w:p>
        </w:tc>
        <w:tc>
          <w:tcPr>
            <w:tcW w:w="1223" w:type="dxa"/>
            <w:tcBorders/>
            <w:shd w:fill="EEEEEE" w:val="clear"/>
            <w:vAlign w:val="center"/>
          </w:tcPr>
          <w:p>
            <w:pPr>
              <w:pStyle w:val="TableContents"/>
              <w:bidi w:val="0"/>
              <w:spacing w:before="0" w:after="283"/>
              <w:jc w:val="right"/>
              <w:rPr/>
            </w:pPr>
            <w:r>
              <w:rPr/>
              <w:t>7,167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1" w:type="dxa"/>
            <w:tcBorders/>
            <w:shd w:fill="EEEEEE" w:val="clear"/>
            <w:vAlign w:val="center"/>
          </w:tcPr>
          <w:p>
            <w:pPr>
              <w:pStyle w:val="TableContents"/>
              <w:bidi w:val="0"/>
              <w:spacing w:before="0" w:after="283"/>
              <w:jc w:val="left"/>
              <w:rPr/>
            </w:pPr>
            <w:r>
              <w:rPr/>
              <w:t> </w:t>
            </w:r>
            <w:bookmarkStart w:id="509" w:name="xdx_980_eus-gaap--NotesReceivableGross_c"/>
            <w:bookmarkEnd w:id="509"/>
          </w:p>
        </w:tc>
        <w:tc>
          <w:tcPr>
            <w:tcW w:w="1173" w:type="dxa"/>
            <w:tcBorders/>
            <w:shd w:fill="EEEEEE" w:val="clear"/>
            <w:vAlign w:val="center"/>
          </w:tcPr>
          <w:p>
            <w:pPr>
              <w:pStyle w:val="TableContents"/>
              <w:bidi w:val="0"/>
              <w:spacing w:before="0" w:after="283"/>
              <w:jc w:val="right"/>
              <w:rPr/>
            </w:pPr>
            <w:r>
              <w:rPr/>
              <w:t>16,796</w:t>
            </w:r>
          </w:p>
        </w:tc>
        <w:tc>
          <w:tcPr>
            <w:tcW w:w="75" w:type="dxa"/>
            <w:tcBorders/>
            <w:shd w:fill="EEEEEE"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61-90 days</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bookmarkStart w:id="510" w:name="xdx_982_eus-gaap--NotesReceivableGross_p"/>
            <w:bookmarkEnd w:id="510"/>
          </w:p>
        </w:tc>
        <w:tc>
          <w:tcPr>
            <w:tcW w:w="1223" w:type="dxa"/>
            <w:tcBorders/>
            <w:shd w:fill="FFFFFF" w:val="clear"/>
            <w:vAlign w:val="center"/>
          </w:tcPr>
          <w:p>
            <w:pPr>
              <w:pStyle w:val="TableContents"/>
              <w:bidi w:val="0"/>
              <w:spacing w:before="0" w:after="283"/>
              <w:jc w:val="right"/>
              <w:rPr/>
            </w:pPr>
            <w:r>
              <w:rPr/>
              <w:t>4,086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bookmarkStart w:id="511" w:name="xdx_986_eus-gaap--NotesReceivableGross_c"/>
            <w:bookmarkEnd w:id="511"/>
          </w:p>
        </w:tc>
        <w:tc>
          <w:tcPr>
            <w:tcW w:w="1173" w:type="dxa"/>
            <w:tcBorders/>
            <w:shd w:fill="FFFFFF" w:val="clear"/>
            <w:vAlign w:val="center"/>
          </w:tcPr>
          <w:p>
            <w:pPr>
              <w:pStyle w:val="TableContents"/>
              <w:bidi w:val="0"/>
              <w:spacing w:before="0" w:after="283"/>
              <w:jc w:val="right"/>
              <w:rPr/>
            </w:pPr>
            <w:r>
              <w:rPr/>
              <w:t>7,756</w:t>
            </w:r>
          </w:p>
        </w:tc>
        <w:tc>
          <w:tcPr>
            <w:tcW w:w="75" w:type="dxa"/>
            <w:tcBorders/>
            <w:shd w:fill="FFFFFF" w:val="clear"/>
            <w:vAlign w:val="center"/>
          </w:tcPr>
          <w:p>
            <w:pPr>
              <w:pStyle w:val="TableContents"/>
              <w:bidi w:val="0"/>
              <w:spacing w:before="0" w:after="283"/>
              <w:jc w:val="left"/>
              <w:rPr/>
            </w:pPr>
            <w:r>
              <w:rPr/>
              <w:t> </w:t>
            </w:r>
          </w:p>
        </w:tc>
      </w:tr>
      <w:tr>
        <w:trPr/>
        <w:tc>
          <w:tcPr>
            <w:tcW w:w="5075" w:type="dxa"/>
            <w:tcBorders/>
            <w:shd w:fill="EEEEEE" w:val="clear"/>
            <w:vAlign w:val="center"/>
          </w:tcPr>
          <w:p>
            <w:pPr>
              <w:pStyle w:val="TableContents"/>
              <w:bidi w:val="0"/>
              <w:spacing w:before="0" w:after="283"/>
              <w:jc w:val="left"/>
              <w:rPr/>
            </w:pPr>
            <w:r>
              <w:rPr/>
              <w:t>90+ days</w:t>
            </w:r>
          </w:p>
        </w:tc>
        <w:tc>
          <w:tcPr>
            <w:tcW w:w="60" w:type="dxa"/>
            <w:tcBorders/>
            <w:shd w:fill="EEEEEE" w:val="clear"/>
            <w:vAlign w:val="center"/>
          </w:tcPr>
          <w:p>
            <w:pPr>
              <w:pStyle w:val="TableContents"/>
              <w:bidi w:val="0"/>
              <w:spacing w:before="0" w:after="283"/>
              <w:jc w:val="left"/>
              <w:rPr/>
            </w:pPr>
            <w:r>
              <w:rPr/>
              <w:t> </w:t>
            </w:r>
          </w:p>
        </w:tc>
        <w:tc>
          <w:tcPr>
            <w:tcW w:w="25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512" w:name="xdx_989_eus-gaap--NotesReceivableGross_p"/>
            <w:bookmarkEnd w:id="512"/>
          </w:p>
        </w:tc>
        <w:tc>
          <w:tcPr>
            <w:tcW w:w="1223" w:type="dxa"/>
            <w:tcBorders>
              <w:bottom w:val="single" w:sz="8" w:space="0" w:color="000000"/>
            </w:tcBorders>
            <w:shd w:fill="EEEEEE" w:val="clear"/>
            <w:tcMar>
              <w:bottom w:w="28" w:type="dxa"/>
            </w:tcMar>
            <w:vAlign w:val="center"/>
          </w:tcPr>
          <w:p>
            <w:pPr>
              <w:pStyle w:val="TableContents"/>
              <w:bidi w:val="0"/>
              <w:spacing w:before="0" w:after="283"/>
              <w:jc w:val="right"/>
              <w:rPr/>
            </w:pPr>
            <w:r>
              <w:rPr/>
              <w:t>1,435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513" w:name="xdx_981_eus-gaap--NotesReceivableGross_c"/>
            <w:bookmarkEnd w:id="513"/>
          </w:p>
        </w:tc>
        <w:tc>
          <w:tcPr>
            <w:tcW w:w="1173" w:type="dxa"/>
            <w:tcBorders>
              <w:bottom w:val="single" w:sz="8" w:space="0" w:color="000000"/>
            </w:tcBorders>
            <w:shd w:fill="EEEEEE" w:val="clear"/>
            <w:tcMar>
              <w:bottom w:w="28" w:type="dxa"/>
            </w:tcMar>
            <w:vAlign w:val="center"/>
          </w:tcPr>
          <w:p>
            <w:pPr>
              <w:pStyle w:val="TableContents"/>
              <w:bidi w:val="0"/>
              <w:spacing w:before="0" w:after="283"/>
              <w:jc w:val="right"/>
              <w:rPr/>
            </w:pPr>
            <w:r>
              <w:rPr/>
              <w:t>1,988</w:t>
            </w:r>
          </w:p>
        </w:tc>
        <w:tc>
          <w:tcPr>
            <w:tcW w:w="75" w:type="dxa"/>
            <w:tcBorders/>
            <w:shd w:fill="EEEEEE"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Balance at end of period</w:t>
            </w:r>
          </w:p>
        </w:tc>
        <w:tc>
          <w:tcPr>
            <w:tcW w:w="60"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14" w:name="xdx_983_eus-gaap--NotesReceivableGross_p"/>
            <w:bookmarkEnd w:id="514"/>
          </w:p>
        </w:tc>
        <w:tc>
          <w:tcPr>
            <w:tcW w:w="1223" w:type="dxa"/>
            <w:tcBorders>
              <w:bottom w:val="double" w:sz="6" w:space="0" w:color="000000"/>
            </w:tcBorders>
            <w:shd w:fill="FFFFFF" w:val="clear"/>
            <w:tcMar>
              <w:bottom w:w="28" w:type="dxa"/>
            </w:tcMar>
            <w:vAlign w:val="center"/>
          </w:tcPr>
          <w:p>
            <w:pPr>
              <w:pStyle w:val="TableContents"/>
              <w:bidi w:val="0"/>
              <w:spacing w:before="0" w:after="283"/>
              <w:jc w:val="right"/>
              <w:rPr/>
            </w:pPr>
            <w:r>
              <w:rPr/>
              <w:t>38,493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15" w:name="xdx_989_eus-gaap--NotesReceivableGross_c"/>
            <w:bookmarkEnd w:id="515"/>
          </w:p>
        </w:tc>
        <w:tc>
          <w:tcPr>
            <w:tcW w:w="1173" w:type="dxa"/>
            <w:tcBorders>
              <w:bottom w:val="double" w:sz="6" w:space="0" w:color="000000"/>
            </w:tcBorders>
            <w:shd w:fill="FFFFFF" w:val="clear"/>
            <w:tcMar>
              <w:bottom w:w="28" w:type="dxa"/>
            </w:tcMar>
            <w:vAlign w:val="center"/>
          </w:tcPr>
          <w:p>
            <w:pPr>
              <w:pStyle w:val="TableContents"/>
              <w:bidi w:val="0"/>
              <w:spacing w:before="0" w:after="283"/>
              <w:jc w:val="right"/>
              <w:rPr/>
            </w:pPr>
            <w:r>
              <w:rPr/>
              <w:t>92,304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144"/>
        <w:jc w:val="both"/>
        <w:rPr>
          <w:caps w:val="false"/>
          <w:smallCaps w:val="false"/>
        </w:rPr>
      </w:pPr>
      <w:bookmarkStart w:id="516" w:name="xdx_8AA_zV6Ra7OJ8zed"/>
      <w:bookmarkEnd w:id="516"/>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receivables totaling $</w:t>
      </w:r>
      <w:bookmarkStart w:id="517" w:name="xdx_900_eus-gaap--FinancingReceivableRec"/>
      <w:bookmarkEnd w:id="517"/>
      <w:r>
        <w:rPr>
          <w:rFonts w:ascii="Times New Roman;Times;Serif" w:hAnsi="Times New Roman;Times;Serif"/>
          <w:b w:val="false"/>
          <w:i w:val="false"/>
          <w:caps w:val="false"/>
          <w:smallCaps w:val="false"/>
          <w:sz w:val="20"/>
        </w:rPr>
        <w:t>1.4 million and $</w:t>
      </w:r>
      <w:bookmarkStart w:id="518" w:name="xdx_908_eus-gaap--FinancingReceivableRec"/>
      <w:bookmarkEnd w:id="518"/>
      <w:r>
        <w:rPr>
          <w:rFonts w:ascii="Times New Roman;Times;Serif" w:hAnsi="Times New Roman;Times;Serif"/>
          <w:b w:val="false"/>
          <w:i w:val="false"/>
          <w:caps w:val="false"/>
          <w:smallCaps w:val="false"/>
          <w:sz w:val="20"/>
        </w:rPr>
        <w:t>2.0 million at September 30, 2023 and December 31, 2022, respectively, including all receivables greater than 90 days delinquent, have been placed on non-accrual status as a result of their delinquency status.</w:t>
      </w:r>
    </w:p>
    <w:p>
      <w:pPr>
        <w:pStyle w:val="TextBody"/>
        <w:bidi w:val="0"/>
        <w:spacing w:before="0" w:after="0"/>
        <w:ind w:left="0" w:right="0" w:firstLine="144"/>
        <w:jc w:val="both"/>
        <w:rPr>
          <w:caps w:val="false"/>
          <w:smallCaps w:val="false"/>
        </w:rPr>
      </w:pPr>
      <w:bookmarkStart w:id="519" w:name="xdx_23F_zEgSypnChzL8"/>
      <w:bookmarkEnd w:id="519"/>
      <w:r>
        <w:rPr>
          <w:caps w:val="false"/>
          <w:smallCaps w:val="false"/>
        </w:rPr>
        <w:t> </w:t>
      </w:r>
    </w:p>
    <w:p>
      <w:pPr>
        <w:pStyle w:val="TextBody"/>
        <w:bidi w:val="0"/>
        <w:spacing w:before="0" w:after="0"/>
        <w:ind w:left="0" w:right="0" w:firstLine="144"/>
        <w:jc w:val="both"/>
        <w:rPr>
          <w:caps w:val="false"/>
          <w:smallCaps w:val="false"/>
        </w:rPr>
      </w:pPr>
      <w:bookmarkStart w:id="520" w:name="xdx_23C_zvaYI9nOHdGg"/>
      <w:bookmarkEnd w:id="520"/>
      <w:r>
        <w:rPr>
          <w:caps w:val="false"/>
          <w:smallCaps w:val="false"/>
        </w:rPr>
        <w:t> </w:t>
      </w:r>
    </w:p>
    <w:p>
      <w:pPr>
        <w:pStyle w:val="TextBody"/>
        <w:bidi w:val="0"/>
        <w:spacing w:before="0" w:after="0"/>
        <w:ind w:left="0" w:right="0" w:firstLine="144"/>
        <w:jc w:val="both"/>
        <w:rPr>
          <w:caps w:val="false"/>
          <w:smallCaps w:val="false"/>
        </w:rPr>
      </w:pPr>
      <w:bookmarkStart w:id="521" w:name="xdx_234_z01Vm86jMh7"/>
      <w:bookmarkEnd w:id="521"/>
      <w:r>
        <w:rPr>
          <w:caps w:val="false"/>
          <w:smallCaps w:val="false"/>
        </w:rPr>
        <w:t> </w:t>
      </w:r>
    </w:p>
    <w:p>
      <w:pPr>
        <w:pStyle w:val="TextBody"/>
        <w:bidi w:val="0"/>
        <w:spacing w:before="0" w:after="0"/>
        <w:ind w:left="0" w:right="0" w:firstLine="144"/>
        <w:jc w:val="both"/>
        <w:rPr>
          <w:caps w:val="false"/>
          <w:smallCaps w:val="false"/>
        </w:rPr>
      </w:pPr>
      <w:bookmarkStart w:id="522" w:name="xdx_231_z9mb7VZRd2md"/>
      <w:bookmarkEnd w:id="522"/>
      <w:r>
        <w:rPr>
          <w:caps w:val="false"/>
          <w:smallCaps w:val="false"/>
        </w:rPr>
        <w:t> </w:t>
      </w:r>
    </w:p>
    <w:p>
      <w:pPr>
        <w:pStyle w:val="TextBody"/>
        <w:bidi w:val="0"/>
        <w:spacing w:before="0" w:after="0"/>
        <w:ind w:left="0" w:right="0" w:firstLine="144"/>
        <w:jc w:val="both"/>
        <w:rPr>
          <w:caps w:val="false"/>
          <w:smallCaps w:val="false"/>
        </w:rPr>
      </w:pPr>
      <w:bookmarkStart w:id="523" w:name="xdx_236_zPodTb5FQfR3"/>
      <w:bookmarkEnd w:id="523"/>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bookmarkStart w:id="524" w:name="xdx_234_zQ8FcOSvJePi"/>
      <w:bookmarkEnd w:id="524"/>
      <w:r>
        <w:rPr/>
        <w:t> </w:t>
      </w:r>
    </w:p>
    <w:p>
      <w:pPr>
        <w:pStyle w:val="TextBody"/>
        <w:bidi w:val="0"/>
        <w:spacing w:before="0" w:after="0"/>
        <w:ind w:left="0" w:right="0" w:firstLine="144"/>
        <w:jc w:val="both"/>
        <w:rPr>
          <w:caps w:val="false"/>
          <w:smallCaps w:val="false"/>
        </w:rPr>
      </w:pPr>
      <w:bookmarkStart w:id="525" w:name="xdx_23C_zM9LZNcex5t9"/>
      <w:bookmarkEnd w:id="525"/>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26" w:name="xdx_237_zhBMP0B3Bhec"/>
      <w:bookmarkEnd w:id="526"/>
      <w:r>
        <w:rPr>
          <w:rFonts w:ascii="Times New Roman;Times;Serif" w:hAnsi="Times New Roman;Times;Serif"/>
          <w:b/>
          <w:i w:val="false"/>
          <w:caps w:val="false"/>
          <w:smallCaps w:val="false"/>
          <w:sz w:val="20"/>
        </w:rPr>
        <w:t>CONSUMER PORTFOLIO SERVICES,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27" w:name="xdx_235_zyml8HULOQJe"/>
      <w:bookmarkEnd w:id="527"/>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firstLine="144"/>
        <w:jc w:val="both"/>
        <w:rPr>
          <w:caps w:val="false"/>
          <w:smallCaps w:val="false"/>
        </w:rPr>
      </w:pPr>
      <w:bookmarkStart w:id="528" w:name="xdx_23E_zSEu5ivCZSsi"/>
      <w:bookmarkEnd w:id="528"/>
      <w:r>
        <w:rPr>
          <w:caps w:val="false"/>
          <w:smallCaps w:val="false"/>
        </w:rPr>
        <w:t> </w:t>
      </w:r>
    </w:p>
    <w:p>
      <w:pPr>
        <w:pStyle w:val="TextBody"/>
        <w:bidi w:val="0"/>
        <w:spacing w:before="0" w:after="0"/>
        <w:ind w:left="0" w:right="0" w:firstLine="14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Allowance for Credit Losses – Finance Receivables </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allowance for credit losses is a valuation account that is deducted from the amortized cost basis of finance receivables to present the net amount expected to be collected. Charge offs are deducted from the allowance when management believes that collectability is unlikely.</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estimates the allowance using relevant available information, from internal and external sources, relating to past events, current conditions and, reasonable and supportable forecasts. We believe our historical credit loss experience provides the best basis for the estimation of expected credit losses. Consequently, we use historical loss experience for older receivables, aggregated into vintage pools based on their calendar quarter of origination, to forecast expected losses for less seasoned quarterly vintage pools.</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measure the weighted average monthly incremental change in cumulative net losses for the vintage pools in the relevant historical period. For the pools in the relevant historical period, we consider each pool’s performance from its inception through the end of the current period. We then apply the results of the historical analysis to less seasoned vintage pools beginning with each vintage pool’s most recent actual cumulative net loss experience and extrapolating from that point based on the historical data. We believe the pattern and magnitude of losses on older vintages allows us to establish a reasonable and supportable forecast of less seasoned vintages.</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contract purchase guidelines are designed to produce a homogenous portfolio. For key credit characteristics of individual contracts such as obligor credit history, job stability, residence stability and ability to pay, there is relatively little variation from the average for the portfolio. Similarly, for key structural characteristics such as loan-to-value, length of contract, monthly payment and amount financed, there is relatively little variation from the average for the portfolio. Consequently, we do not believe there are significant differences in risk characteristics between various segments of our portfolio.</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methodology incorporates historical pools that are sufficiently seasoned to capture the magnitude and trends of losses within those vintage pools. Furthermore, the historical period encompasses a substantial volume of receivables over periods that include fluctuations in the competitive landscape, the Company’s rates of growth, size of our managed portfolio and fluctuations in economic growth and unemployment.</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depth and breadth of the historical period, and the homogeneity of our portfolio, we generally do not adjust historical loss information for differences in risk characteristics such as credit or structural composition of segments of the portfolio or for changes in environmental conditions such as changes in unemployment rates, collateral values or other factors. However, we have considered how certain qualitative factors may affect future credit losses and have incorporated our judgement of the effect of such factors into our estimates.</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amortized cost basis of our finance receivables by annual vintage as of September 30, 2023 and December 31, 2022.</w:t>
      </w:r>
    </w:p>
    <w:p>
      <w:pPr>
        <w:pStyle w:val="Normal"/>
        <w:bidi w:val="0"/>
        <w:spacing w:before="0" w:after="0"/>
        <w:jc w:val="left"/>
        <w:rPr>
          <w:sz w:val="4"/>
          <w:szCs w:val="4"/>
        </w:rPr>
      </w:pPr>
      <w:r>
        <w:rPr>
          <w:sz w:val="4"/>
          <w:szCs w:val="4"/>
        </w:rPr>
      </w:r>
      <w:bookmarkStart w:id="529" w:name="xdx_89A_ecustom--ScheduleOfAmortizedCost"/>
      <w:bookmarkStart w:id="530" w:name="xdx_89A_ecustom--ScheduleOfAmortizedCost"/>
      <w:bookmarkEnd w:id="530"/>
    </w:p>
    <w:tbl>
      <w:tblPr>
        <w:tblW w:w="8368" w:type="dxa"/>
        <w:jc w:val="left"/>
        <w:tblInd w:w="0" w:type="dxa"/>
        <w:tblLayout w:type="fixed"/>
        <w:tblCellMar>
          <w:top w:w="0" w:type="dxa"/>
          <w:left w:w="0" w:type="dxa"/>
          <w:bottom w:w="0" w:type="dxa"/>
          <w:right w:w="0" w:type="dxa"/>
        </w:tblCellMar>
      </w:tblPr>
      <w:tblGrid>
        <w:gridCol w:w="5225"/>
        <w:gridCol w:w="60"/>
        <w:gridCol w:w="251"/>
        <w:gridCol w:w="1223"/>
        <w:gridCol w:w="60"/>
        <w:gridCol w:w="60"/>
        <w:gridCol w:w="241"/>
        <w:gridCol w:w="1173"/>
        <w:gridCol w:w="75"/>
      </w:tblGrid>
      <w:tr>
        <w:trPr/>
        <w:tc>
          <w:tcPr>
            <w:tcW w:w="5225" w:type="dxa"/>
            <w:tcBorders/>
            <w:vAlign w:val="center"/>
          </w:tcPr>
          <w:p>
            <w:pPr>
              <w:pStyle w:val="TableContents"/>
              <w:bidi w:val="0"/>
              <w:spacing w:before="0" w:after="283"/>
              <w:jc w:val="left"/>
              <w:rPr/>
            </w:pPr>
            <w:bookmarkStart w:id="531" w:name="xdx_8B0_zM473M3Xvecc"/>
            <w:bookmarkEnd w:id="531"/>
            <w:r>
              <w:rPr/>
              <w:t>Schedule of amortized cost basis of finance receivables</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3"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8" w:type="dxa"/>
            <w:gridSpan w:val="6"/>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5225" w:type="dxa"/>
            <w:tcBorders/>
            <w:shd w:fill="EEEEEE" w:val="clear"/>
            <w:vAlign w:val="center"/>
          </w:tcPr>
          <w:p>
            <w:pPr>
              <w:pStyle w:val="TableContents"/>
              <w:bidi w:val="0"/>
              <w:spacing w:before="0" w:after="283"/>
              <w:jc w:val="center"/>
              <w:rPr>
                <w:u w:val="single"/>
              </w:rPr>
            </w:pPr>
            <w:r>
              <w:rPr>
                <w:u w:val="single"/>
              </w:rPr>
              <w:t>Annual Vintage Pool</w:t>
            </w:r>
          </w:p>
        </w:tc>
        <w:tc>
          <w:tcPr>
            <w:tcW w:w="60" w:type="dxa"/>
            <w:tcBorders/>
            <w:shd w:fill="EEEEEE" w:val="clear"/>
            <w:vAlign w:val="center"/>
          </w:tcPr>
          <w:p>
            <w:pPr>
              <w:pStyle w:val="TableContents"/>
              <w:bidi w:val="0"/>
              <w:spacing w:before="0" w:after="283"/>
              <w:jc w:val="left"/>
              <w:rPr/>
            </w:pPr>
            <w:r>
              <w:rPr/>
              <w:t> </w:t>
            </w:r>
          </w:p>
        </w:tc>
        <w:tc>
          <w:tcPr>
            <w:tcW w:w="251" w:type="dxa"/>
            <w:tcBorders/>
            <w:shd w:fill="EEEEEE" w:val="clear"/>
            <w:vAlign w:val="center"/>
          </w:tcPr>
          <w:p>
            <w:pPr>
              <w:pStyle w:val="TableContents"/>
              <w:bidi w:val="0"/>
              <w:spacing w:before="0" w:after="283"/>
              <w:jc w:val="left"/>
              <w:rPr/>
            </w:pPr>
            <w:r>
              <w:rPr/>
              <w:t> </w:t>
            </w:r>
          </w:p>
        </w:tc>
        <w:tc>
          <w:tcPr>
            <w:tcW w:w="1223"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1" w:type="dxa"/>
            <w:tcBorders/>
            <w:shd w:fill="EEEEEE" w:val="clear"/>
            <w:vAlign w:val="center"/>
          </w:tcPr>
          <w:p>
            <w:pPr>
              <w:pStyle w:val="TableContents"/>
              <w:bidi w:val="0"/>
              <w:spacing w:before="0" w:after="283"/>
              <w:jc w:val="left"/>
              <w:rPr/>
            </w:pPr>
            <w:r>
              <w:rPr/>
              <w:t> </w:t>
            </w:r>
          </w:p>
        </w:tc>
        <w:tc>
          <w:tcPr>
            <w:tcW w:w="1173" w:type="dxa"/>
            <w:tcBorders/>
            <w:shd w:fill="EEEEEE" w:val="clear"/>
            <w:vAlign w:val="center"/>
          </w:tcPr>
          <w:p>
            <w:pPr>
              <w:pStyle w:val="TableContents"/>
              <w:bidi w:val="0"/>
              <w:spacing w:before="0" w:after="283"/>
              <w:jc w:val="right"/>
              <w:rPr/>
            </w:pPr>
            <w:r>
              <w:rPr/>
              <w:t> </w:t>
            </w:r>
          </w:p>
        </w:tc>
        <w:tc>
          <w:tcPr>
            <w:tcW w:w="75" w:type="dxa"/>
            <w:tcBorders/>
            <w:shd w:fill="EEEEEE"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pPr>
            <w:r>
              <w:rPr/>
              <w:t>2014 and prior</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w:t>
            </w:r>
            <w:bookmarkStart w:id="532" w:name="xdx_98A_eus-gaap--ServicingAssetAtAmorti"/>
            <w:bookmarkEnd w:id="532"/>
          </w:p>
        </w:tc>
        <w:tc>
          <w:tcPr>
            <w:tcW w:w="1223" w:type="dxa"/>
            <w:tcBorders/>
            <w:shd w:fill="FFFFFF" w:val="clear"/>
            <w:vAlign w:val="center"/>
          </w:tcPr>
          <w:p>
            <w:pPr>
              <w:pStyle w:val="TableContents"/>
              <w:bidi w:val="0"/>
              <w:spacing w:before="0" w:after="283"/>
              <w:jc w:val="right"/>
              <w:rPr/>
            </w:pPr>
            <w:r>
              <w:rPr/>
              <w:t>595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bookmarkStart w:id="533" w:name="xdx_98F_eus-gaap--ServicingAssetAtAmorti"/>
            <w:bookmarkEnd w:id="533"/>
          </w:p>
        </w:tc>
        <w:tc>
          <w:tcPr>
            <w:tcW w:w="1173" w:type="dxa"/>
            <w:tcBorders/>
            <w:shd w:fill="FFFFFF" w:val="clear"/>
            <w:vAlign w:val="center"/>
          </w:tcPr>
          <w:p>
            <w:pPr>
              <w:pStyle w:val="TableContents"/>
              <w:bidi w:val="0"/>
              <w:spacing w:before="0" w:after="283"/>
              <w:jc w:val="right"/>
              <w:rPr/>
            </w:pPr>
            <w:r>
              <w:rPr/>
              <w:t>1,865</w:t>
            </w:r>
          </w:p>
        </w:tc>
        <w:tc>
          <w:tcPr>
            <w:tcW w:w="75" w:type="dxa"/>
            <w:tcBorders/>
            <w:shd w:fill="FFFFFF" w:val="clear"/>
            <w:vAlign w:val="center"/>
          </w:tcPr>
          <w:p>
            <w:pPr>
              <w:pStyle w:val="TableContents"/>
              <w:bidi w:val="0"/>
              <w:spacing w:before="0" w:after="283"/>
              <w:jc w:val="left"/>
              <w:rPr/>
            </w:pPr>
            <w:r>
              <w:rPr/>
              <w:t> </w:t>
            </w:r>
          </w:p>
        </w:tc>
      </w:tr>
      <w:tr>
        <w:trPr/>
        <w:tc>
          <w:tcPr>
            <w:tcW w:w="5225" w:type="dxa"/>
            <w:tcBorders/>
            <w:shd w:fill="EEEEEE" w:val="clear"/>
            <w:vAlign w:val="center"/>
          </w:tcPr>
          <w:p>
            <w:pPr>
              <w:pStyle w:val="TableContents"/>
              <w:bidi w:val="0"/>
              <w:spacing w:before="0" w:after="283"/>
              <w:jc w:val="left"/>
              <w:rPr/>
            </w:pPr>
            <w:r>
              <w:rPr/>
              <w:t>2015</w:t>
            </w:r>
          </w:p>
        </w:tc>
        <w:tc>
          <w:tcPr>
            <w:tcW w:w="60" w:type="dxa"/>
            <w:tcBorders/>
            <w:shd w:fill="EEEEEE" w:val="clear"/>
            <w:vAlign w:val="center"/>
          </w:tcPr>
          <w:p>
            <w:pPr>
              <w:pStyle w:val="TableContents"/>
              <w:bidi w:val="0"/>
              <w:spacing w:before="0" w:after="283"/>
              <w:jc w:val="left"/>
              <w:rPr/>
            </w:pPr>
            <w:r>
              <w:rPr/>
              <w:t> </w:t>
            </w:r>
          </w:p>
        </w:tc>
        <w:tc>
          <w:tcPr>
            <w:tcW w:w="251" w:type="dxa"/>
            <w:tcBorders/>
            <w:shd w:fill="EEEEEE" w:val="clear"/>
            <w:vAlign w:val="center"/>
          </w:tcPr>
          <w:p>
            <w:pPr>
              <w:pStyle w:val="TableContents"/>
              <w:bidi w:val="0"/>
              <w:spacing w:before="0" w:after="283"/>
              <w:jc w:val="left"/>
              <w:rPr/>
            </w:pPr>
            <w:r>
              <w:rPr/>
              <w:t> </w:t>
            </w:r>
            <w:bookmarkStart w:id="534" w:name="xdx_98B_eus-gaap--ServicingAssetAtAmorti"/>
            <w:bookmarkEnd w:id="534"/>
          </w:p>
        </w:tc>
        <w:tc>
          <w:tcPr>
            <w:tcW w:w="1223" w:type="dxa"/>
            <w:tcBorders/>
            <w:shd w:fill="EEEEEE" w:val="clear"/>
            <w:vAlign w:val="center"/>
          </w:tcPr>
          <w:p>
            <w:pPr>
              <w:pStyle w:val="TableContents"/>
              <w:bidi w:val="0"/>
              <w:spacing w:before="0" w:after="283"/>
              <w:jc w:val="right"/>
              <w:rPr/>
            </w:pPr>
            <w:r>
              <w:rPr/>
              <w:t>2,748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1" w:type="dxa"/>
            <w:tcBorders/>
            <w:shd w:fill="EEEEEE" w:val="clear"/>
            <w:vAlign w:val="center"/>
          </w:tcPr>
          <w:p>
            <w:pPr>
              <w:pStyle w:val="TableContents"/>
              <w:bidi w:val="0"/>
              <w:spacing w:before="0" w:after="283"/>
              <w:jc w:val="left"/>
              <w:rPr/>
            </w:pPr>
            <w:r>
              <w:rPr/>
              <w:t> </w:t>
            </w:r>
            <w:bookmarkStart w:id="535" w:name="xdx_98E_eus-gaap--ServicingAssetAtAmorti"/>
            <w:bookmarkEnd w:id="535"/>
          </w:p>
        </w:tc>
        <w:tc>
          <w:tcPr>
            <w:tcW w:w="1173" w:type="dxa"/>
            <w:tcBorders/>
            <w:shd w:fill="EEEEEE" w:val="clear"/>
            <w:vAlign w:val="center"/>
          </w:tcPr>
          <w:p>
            <w:pPr>
              <w:pStyle w:val="TableContents"/>
              <w:bidi w:val="0"/>
              <w:spacing w:before="0" w:after="283"/>
              <w:jc w:val="right"/>
              <w:rPr/>
            </w:pPr>
            <w:r>
              <w:rPr/>
              <w:t>8,627</w:t>
            </w:r>
          </w:p>
        </w:tc>
        <w:tc>
          <w:tcPr>
            <w:tcW w:w="75" w:type="dxa"/>
            <w:tcBorders/>
            <w:shd w:fill="EEEEEE"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pPr>
            <w:r>
              <w:rPr/>
              <w:t>2016</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bookmarkStart w:id="536" w:name="xdx_988_eus-gaap--ServicingAssetAtAmorti"/>
            <w:bookmarkEnd w:id="536"/>
          </w:p>
        </w:tc>
        <w:tc>
          <w:tcPr>
            <w:tcW w:w="1223" w:type="dxa"/>
            <w:tcBorders/>
            <w:shd w:fill="FFFFFF" w:val="clear"/>
            <w:vAlign w:val="center"/>
          </w:tcPr>
          <w:p>
            <w:pPr>
              <w:pStyle w:val="TableContents"/>
              <w:bidi w:val="0"/>
              <w:spacing w:before="0" w:after="283"/>
              <w:jc w:val="right"/>
              <w:rPr/>
            </w:pPr>
            <w:r>
              <w:rPr/>
              <w:t>11,243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bookmarkStart w:id="537" w:name="xdx_98E_eus-gaap--ServicingAssetAtAmorti"/>
            <w:bookmarkEnd w:id="537"/>
          </w:p>
        </w:tc>
        <w:tc>
          <w:tcPr>
            <w:tcW w:w="1173" w:type="dxa"/>
            <w:tcBorders/>
            <w:shd w:fill="FFFFFF" w:val="clear"/>
            <w:vAlign w:val="center"/>
          </w:tcPr>
          <w:p>
            <w:pPr>
              <w:pStyle w:val="TableContents"/>
              <w:bidi w:val="0"/>
              <w:spacing w:before="0" w:after="283"/>
              <w:jc w:val="right"/>
              <w:rPr/>
            </w:pPr>
            <w:r>
              <w:rPr/>
              <w:t>28,632</w:t>
            </w:r>
          </w:p>
        </w:tc>
        <w:tc>
          <w:tcPr>
            <w:tcW w:w="75" w:type="dxa"/>
            <w:tcBorders/>
            <w:shd w:fill="FFFFFF" w:val="clear"/>
            <w:vAlign w:val="center"/>
          </w:tcPr>
          <w:p>
            <w:pPr>
              <w:pStyle w:val="TableContents"/>
              <w:bidi w:val="0"/>
              <w:spacing w:before="0" w:after="283"/>
              <w:jc w:val="left"/>
              <w:rPr/>
            </w:pPr>
            <w:r>
              <w:rPr/>
              <w:t> </w:t>
            </w:r>
          </w:p>
        </w:tc>
      </w:tr>
      <w:tr>
        <w:trPr/>
        <w:tc>
          <w:tcPr>
            <w:tcW w:w="5225" w:type="dxa"/>
            <w:tcBorders/>
            <w:shd w:fill="EEEEEE" w:val="clear"/>
            <w:vAlign w:val="center"/>
          </w:tcPr>
          <w:p>
            <w:pPr>
              <w:pStyle w:val="TableContents"/>
              <w:bidi w:val="0"/>
              <w:spacing w:before="0" w:after="283"/>
              <w:jc w:val="left"/>
              <w:rPr/>
            </w:pPr>
            <w:r>
              <w:rPr/>
              <w:t>2017</w:t>
            </w:r>
          </w:p>
        </w:tc>
        <w:tc>
          <w:tcPr>
            <w:tcW w:w="60" w:type="dxa"/>
            <w:tcBorders/>
            <w:shd w:fill="EEEEEE" w:val="clear"/>
            <w:vAlign w:val="center"/>
          </w:tcPr>
          <w:p>
            <w:pPr>
              <w:pStyle w:val="TableContents"/>
              <w:bidi w:val="0"/>
              <w:spacing w:before="0" w:after="283"/>
              <w:jc w:val="left"/>
              <w:rPr/>
            </w:pPr>
            <w:r>
              <w:rPr/>
              <w:t> </w:t>
            </w:r>
          </w:p>
        </w:tc>
        <w:tc>
          <w:tcPr>
            <w:tcW w:w="25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538" w:name="xdx_989_eus-gaap--ServicingAssetAtAmorti"/>
            <w:bookmarkEnd w:id="538"/>
          </w:p>
        </w:tc>
        <w:tc>
          <w:tcPr>
            <w:tcW w:w="1223" w:type="dxa"/>
            <w:tcBorders>
              <w:bottom w:val="single" w:sz="8" w:space="0" w:color="000000"/>
            </w:tcBorders>
            <w:shd w:fill="EEEEEE" w:val="clear"/>
            <w:tcMar>
              <w:bottom w:w="28" w:type="dxa"/>
            </w:tcMar>
            <w:vAlign w:val="center"/>
          </w:tcPr>
          <w:p>
            <w:pPr>
              <w:pStyle w:val="TableContents"/>
              <w:bidi w:val="0"/>
              <w:spacing w:before="0" w:after="283"/>
              <w:jc w:val="right"/>
              <w:rPr/>
            </w:pPr>
            <w:r>
              <w:rPr/>
              <w:t>23,907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539" w:name="xdx_98F_eus-gaap--ServicingAssetAtAmorti"/>
            <w:bookmarkEnd w:id="539"/>
          </w:p>
        </w:tc>
        <w:tc>
          <w:tcPr>
            <w:tcW w:w="1173" w:type="dxa"/>
            <w:tcBorders>
              <w:bottom w:val="single" w:sz="8" w:space="0" w:color="000000"/>
            </w:tcBorders>
            <w:shd w:fill="EEEEEE" w:val="clear"/>
            <w:tcMar>
              <w:bottom w:w="28" w:type="dxa"/>
            </w:tcMar>
            <w:vAlign w:val="center"/>
          </w:tcPr>
          <w:p>
            <w:pPr>
              <w:pStyle w:val="TableContents"/>
              <w:bidi w:val="0"/>
              <w:spacing w:before="0" w:after="283"/>
              <w:jc w:val="right"/>
              <w:rPr/>
            </w:pPr>
            <w:r>
              <w:rPr/>
              <w:t>53,180</w:t>
            </w:r>
          </w:p>
        </w:tc>
        <w:tc>
          <w:tcPr>
            <w:tcW w:w="75" w:type="dxa"/>
            <w:tcBorders/>
            <w:shd w:fill="EEEEEE"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40" w:name="xdx_985_eus-gaap--ServicingAssetAtAmorti"/>
            <w:bookmarkEnd w:id="540"/>
          </w:p>
        </w:tc>
        <w:tc>
          <w:tcPr>
            <w:tcW w:w="1223" w:type="dxa"/>
            <w:tcBorders>
              <w:bottom w:val="double" w:sz="6" w:space="0" w:color="000000"/>
            </w:tcBorders>
            <w:shd w:fill="FFFFFF" w:val="clear"/>
            <w:tcMar>
              <w:bottom w:w="28" w:type="dxa"/>
            </w:tcMar>
            <w:vAlign w:val="center"/>
          </w:tcPr>
          <w:p>
            <w:pPr>
              <w:pStyle w:val="TableContents"/>
              <w:bidi w:val="0"/>
              <w:spacing w:before="0" w:after="283"/>
              <w:jc w:val="right"/>
              <w:rPr/>
            </w:pPr>
            <w:r>
              <w:rPr/>
              <w:t>38,493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41" w:name="xdx_983_eus-gaap--ServicingAssetAtAmorti"/>
            <w:bookmarkEnd w:id="541"/>
          </w:p>
        </w:tc>
        <w:tc>
          <w:tcPr>
            <w:tcW w:w="1173" w:type="dxa"/>
            <w:tcBorders>
              <w:bottom w:val="double" w:sz="6" w:space="0" w:color="000000"/>
            </w:tcBorders>
            <w:shd w:fill="FFFFFF" w:val="clear"/>
            <w:tcMar>
              <w:bottom w:w="28" w:type="dxa"/>
            </w:tcMar>
            <w:vAlign w:val="center"/>
          </w:tcPr>
          <w:p>
            <w:pPr>
              <w:pStyle w:val="TableContents"/>
              <w:bidi w:val="0"/>
              <w:spacing w:before="0" w:after="283"/>
              <w:jc w:val="right"/>
              <w:rPr/>
            </w:pPr>
            <w:r>
              <w:rPr/>
              <w:t>92,304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144"/>
        <w:jc w:val="both"/>
        <w:rPr>
          <w:caps w:val="false"/>
          <w:smallCaps w:val="false"/>
        </w:rPr>
      </w:pPr>
      <w:bookmarkStart w:id="542" w:name="xdx_8A8_zAB6kdVE20K3"/>
      <w:bookmarkEnd w:id="542"/>
      <w:r>
        <w:rPr>
          <w:caps w:val="false"/>
          <w:smallCaps w:val="false"/>
        </w:rPr>
        <w:t> </w:t>
      </w:r>
    </w:p>
    <w:p>
      <w:pPr>
        <w:pStyle w:val="TextBody"/>
        <w:bidi w:val="0"/>
        <w:spacing w:before="0" w:after="0"/>
        <w:ind w:left="0" w:right="0" w:firstLine="144"/>
        <w:jc w:val="both"/>
        <w:rPr>
          <w:caps w:val="false"/>
          <w:smallCaps w:val="false"/>
        </w:rPr>
      </w:pPr>
      <w:bookmarkStart w:id="543" w:name="xdx_23D_zeN2Wb3KVc48"/>
      <w:bookmarkEnd w:id="543"/>
      <w:r>
        <w:rPr>
          <w:caps w:val="false"/>
          <w:smallCaps w:val="false"/>
        </w:rPr>
        <w:t> </w:t>
      </w:r>
    </w:p>
    <w:p>
      <w:pPr>
        <w:pStyle w:val="TextBody"/>
        <w:bidi w:val="0"/>
        <w:spacing w:before="0" w:after="0"/>
        <w:ind w:left="0" w:right="0" w:firstLine="144"/>
        <w:jc w:val="both"/>
        <w:rPr>
          <w:caps w:val="false"/>
          <w:smallCaps w:val="false"/>
        </w:rPr>
      </w:pPr>
      <w:bookmarkStart w:id="544" w:name="xdx_23E_zLVNb2UQaRCh"/>
      <w:bookmarkEnd w:id="544"/>
      <w:r>
        <w:rPr>
          <w:caps w:val="false"/>
          <w:smallCaps w:val="false"/>
        </w:rPr>
        <w:t> </w:t>
      </w:r>
    </w:p>
    <w:p>
      <w:pPr>
        <w:pStyle w:val="TextBody"/>
        <w:bidi w:val="0"/>
        <w:spacing w:before="0" w:after="0"/>
        <w:ind w:left="0" w:right="0" w:firstLine="144"/>
        <w:jc w:val="both"/>
        <w:rPr>
          <w:caps w:val="false"/>
          <w:smallCaps w:val="false"/>
        </w:rPr>
      </w:pPr>
      <w:bookmarkStart w:id="545" w:name="xdx_236_zL2DVQBfOza3"/>
      <w:bookmarkEnd w:id="545"/>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144"/>
        <w:jc w:val="both"/>
        <w:rPr>
          <w:caps w:val="false"/>
          <w:smallCaps w:val="false"/>
        </w:rPr>
      </w:pPr>
      <w:bookmarkStart w:id="546" w:name="xdx_236_zTk5P4T9dFXg"/>
      <w:bookmarkEnd w:id="546"/>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47" w:name="xdx_23E_ztWQ5qhQlKck"/>
      <w:bookmarkEnd w:id="547"/>
      <w:r>
        <w:rPr>
          <w:rFonts w:ascii="Times New Roman;Times;Serif" w:hAnsi="Times New Roman;Times;Serif"/>
          <w:b/>
          <w:i w:val="false"/>
          <w:caps w:val="false"/>
          <w:smallCaps w:val="false"/>
          <w:sz w:val="20"/>
        </w:rPr>
        <w:t>CONSUMER PORTFOLIO SERVICES,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48" w:name="xdx_230_zVkg8Oqghim"/>
      <w:bookmarkEnd w:id="548"/>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firstLine="144"/>
        <w:jc w:val="both"/>
        <w:rPr>
          <w:caps w:val="false"/>
          <w:smallCaps w:val="false"/>
        </w:rPr>
      </w:pPr>
      <w:bookmarkStart w:id="549" w:name="xdx_233_zvGETAoPEbib"/>
      <w:bookmarkEnd w:id="549"/>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 summary of the activity for the allowance for finance credit losses for the three-month and nine-month periods ended September 30, 2023 and 2022:</w:t>
      </w:r>
    </w:p>
    <w:p>
      <w:pPr>
        <w:pStyle w:val="Normal"/>
        <w:bidi w:val="0"/>
        <w:spacing w:before="0" w:after="0"/>
        <w:jc w:val="left"/>
        <w:rPr>
          <w:sz w:val="4"/>
          <w:szCs w:val="4"/>
        </w:rPr>
      </w:pPr>
      <w:r>
        <w:rPr>
          <w:sz w:val="4"/>
          <w:szCs w:val="4"/>
        </w:rPr>
      </w:r>
      <w:bookmarkStart w:id="550" w:name="xdx_890_eus-gaap--AllowanceForCreditLoss"/>
      <w:bookmarkStart w:id="551" w:name="xdx_890_eus-gaap--AllowanceForCreditLoss"/>
      <w:bookmarkEnd w:id="551"/>
    </w:p>
    <w:tbl>
      <w:tblPr>
        <w:tblW w:w="9228" w:type="dxa"/>
        <w:jc w:val="left"/>
        <w:tblInd w:w="0" w:type="dxa"/>
        <w:tblLayout w:type="fixed"/>
        <w:tblCellMar>
          <w:top w:w="0" w:type="dxa"/>
          <w:left w:w="0" w:type="dxa"/>
          <w:bottom w:w="0" w:type="dxa"/>
          <w:right w:w="0" w:type="dxa"/>
        </w:tblCellMar>
      </w:tblPr>
      <w:tblGrid>
        <w:gridCol w:w="4625"/>
        <w:gridCol w:w="60"/>
        <w:gridCol w:w="176"/>
        <w:gridCol w:w="801"/>
        <w:gridCol w:w="119"/>
        <w:gridCol w:w="75"/>
        <w:gridCol w:w="176"/>
        <w:gridCol w:w="858"/>
        <w:gridCol w:w="95"/>
        <w:gridCol w:w="60"/>
        <w:gridCol w:w="149"/>
        <w:gridCol w:w="805"/>
        <w:gridCol w:w="101"/>
        <w:gridCol w:w="64"/>
        <w:gridCol w:w="149"/>
        <w:gridCol w:w="805"/>
        <w:gridCol w:w="110"/>
      </w:tblGrid>
      <w:tr>
        <w:trPr/>
        <w:tc>
          <w:tcPr>
            <w:tcW w:w="4625" w:type="dxa"/>
            <w:tcBorders/>
            <w:vAlign w:val="center"/>
          </w:tcPr>
          <w:p>
            <w:pPr>
              <w:pStyle w:val="TableContents"/>
              <w:bidi w:val="0"/>
              <w:spacing w:before="0" w:after="283"/>
              <w:jc w:val="left"/>
              <w:rPr/>
            </w:pPr>
            <w:bookmarkStart w:id="552" w:name="xdx_8B7_zPZbhsi4putk"/>
            <w:bookmarkEnd w:id="552"/>
            <w:r>
              <w:rPr/>
              <w:t>Schedule of allowance for finance credit losses</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right"/>
              <w:rPr/>
            </w:pPr>
            <w:r>
              <w:rPr/>
              <w:t> </w:t>
            </w:r>
          </w:p>
        </w:tc>
        <w:tc>
          <w:tcPr>
            <w:tcW w:w="11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5" w:type="dxa"/>
            <w:gridSpan w:val="6"/>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3" w:type="dxa"/>
            <w:gridSpan w:val="6"/>
            <w:tcBorders/>
            <w:vAlign w:val="center"/>
          </w:tcPr>
          <w:p>
            <w:pPr>
              <w:pStyle w:val="TableContents"/>
              <w:bidi w:val="0"/>
              <w:spacing w:before="0" w:after="283"/>
              <w:jc w:val="center"/>
              <w:rPr>
                <w:b/>
              </w:rPr>
            </w:pPr>
            <w:r>
              <w:rPr>
                <w:b/>
              </w:rPr>
              <w:t>Nine Months Ended</w:t>
            </w:r>
          </w:p>
        </w:tc>
        <w:tc>
          <w:tcPr>
            <w:tcW w:w="11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11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0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5" w:type="dxa"/>
            <w:gridSpan w:val="6"/>
            <w:tcBorders/>
            <w:vAlign w:val="center"/>
          </w:tcPr>
          <w:p>
            <w:pPr>
              <w:pStyle w:val="TableContents"/>
              <w:bidi w:val="0"/>
              <w:spacing w:before="0" w:after="283"/>
              <w:jc w:val="center"/>
              <w:rPr>
                <w:b/>
              </w:rPr>
            </w:pPr>
            <w:r>
              <w:rPr>
                <w:b/>
              </w:rPr>
              <w:t>(In thousands)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3" w:type="dxa"/>
            <w:gridSpan w:val="6"/>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4625" w:type="dxa"/>
            <w:tcBorders/>
            <w:shd w:fill="EEEEEE" w:val="clear"/>
            <w:vAlign w:val="center"/>
          </w:tcPr>
          <w:p>
            <w:pPr>
              <w:pStyle w:val="TableContents"/>
              <w:bidi w:val="0"/>
              <w:spacing w:before="0" w:after="283"/>
              <w:jc w:val="left"/>
              <w:rPr/>
            </w:pPr>
            <w:r>
              <w:rPr/>
              <w:t>Balance at beginning of period</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w:t>
            </w:r>
            <w:bookmarkStart w:id="553" w:name="xdx_989_eus-gaap--FinancingReceivableAll"/>
            <w:bookmarkEnd w:id="553"/>
          </w:p>
        </w:tc>
        <w:tc>
          <w:tcPr>
            <w:tcW w:w="801" w:type="dxa"/>
            <w:tcBorders/>
            <w:shd w:fill="EEEEEE" w:val="clear"/>
            <w:vAlign w:val="center"/>
          </w:tcPr>
          <w:p>
            <w:pPr>
              <w:pStyle w:val="TableContents"/>
              <w:bidi w:val="0"/>
              <w:spacing w:before="0" w:after="283"/>
              <w:jc w:val="right"/>
              <w:rPr/>
            </w:pPr>
            <w:r>
              <w:rPr/>
              <w:t>5,721</w:t>
            </w:r>
          </w:p>
        </w:tc>
        <w:tc>
          <w:tcPr>
            <w:tcW w:w="119"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w:t>
            </w:r>
            <w:bookmarkStart w:id="554" w:name="xdx_989_eus-gaap--FinancingReceivableAll"/>
            <w:bookmarkEnd w:id="554"/>
          </w:p>
        </w:tc>
        <w:tc>
          <w:tcPr>
            <w:tcW w:w="858" w:type="dxa"/>
            <w:tcBorders/>
            <w:shd w:fill="EEEEEE" w:val="clear"/>
            <w:vAlign w:val="center"/>
          </w:tcPr>
          <w:p>
            <w:pPr>
              <w:pStyle w:val="TableContents"/>
              <w:bidi w:val="0"/>
              <w:spacing w:before="0" w:after="283"/>
              <w:jc w:val="right"/>
              <w:rPr/>
            </w:pPr>
            <w:r>
              <w:rPr/>
              <w:t>35,672</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9" w:type="dxa"/>
            <w:tcBorders/>
            <w:shd w:fill="EEEEEE" w:val="clear"/>
            <w:vAlign w:val="center"/>
          </w:tcPr>
          <w:p>
            <w:pPr>
              <w:pStyle w:val="TableContents"/>
              <w:bidi w:val="0"/>
              <w:spacing w:before="0" w:after="283"/>
              <w:jc w:val="left"/>
              <w:rPr/>
            </w:pPr>
            <w:r>
              <w:rPr/>
              <w:t>$</w:t>
            </w:r>
            <w:bookmarkStart w:id="555" w:name="xdx_985_eus-gaap--FinancingReceivableAll"/>
            <w:bookmarkEnd w:id="555"/>
          </w:p>
        </w:tc>
        <w:tc>
          <w:tcPr>
            <w:tcW w:w="805" w:type="dxa"/>
            <w:tcBorders/>
            <w:shd w:fill="EEEEEE" w:val="clear"/>
            <w:vAlign w:val="center"/>
          </w:tcPr>
          <w:p>
            <w:pPr>
              <w:pStyle w:val="TableContents"/>
              <w:bidi w:val="0"/>
              <w:spacing w:before="0" w:after="283"/>
              <w:jc w:val="right"/>
              <w:rPr/>
            </w:pPr>
            <w:r>
              <w:rPr/>
              <w:t>21,753</w:t>
            </w:r>
          </w:p>
        </w:tc>
        <w:tc>
          <w:tcPr>
            <w:tcW w:w="101" w:type="dxa"/>
            <w:tcBorders/>
            <w:shd w:fill="EEEEEE" w:val="clear"/>
            <w:vAlign w:val="center"/>
          </w:tcPr>
          <w:p>
            <w:pPr>
              <w:pStyle w:val="TableContents"/>
              <w:bidi w:val="0"/>
              <w:spacing w:before="0" w:after="283"/>
              <w:jc w:val="left"/>
              <w:rPr/>
            </w:pPr>
            <w:r>
              <w:rPr/>
              <w:t> </w:t>
            </w:r>
          </w:p>
        </w:tc>
        <w:tc>
          <w:tcPr>
            <w:tcW w:w="64" w:type="dxa"/>
            <w:tcBorders/>
            <w:shd w:fill="EEEEEE" w:val="clear"/>
            <w:vAlign w:val="center"/>
          </w:tcPr>
          <w:p>
            <w:pPr>
              <w:pStyle w:val="TableContents"/>
              <w:bidi w:val="0"/>
              <w:spacing w:before="0" w:after="283"/>
              <w:jc w:val="left"/>
              <w:rPr/>
            </w:pPr>
            <w:r>
              <w:rPr/>
              <w:t> </w:t>
            </w:r>
          </w:p>
        </w:tc>
        <w:tc>
          <w:tcPr>
            <w:tcW w:w="149" w:type="dxa"/>
            <w:tcBorders/>
            <w:shd w:fill="EEEEEE" w:val="clear"/>
            <w:vAlign w:val="center"/>
          </w:tcPr>
          <w:p>
            <w:pPr>
              <w:pStyle w:val="TableContents"/>
              <w:bidi w:val="0"/>
              <w:spacing w:before="0" w:after="283"/>
              <w:jc w:val="left"/>
              <w:rPr/>
            </w:pPr>
            <w:r>
              <w:rPr/>
              <w:t>$</w:t>
            </w:r>
            <w:bookmarkStart w:id="556" w:name="xdx_988_eus-gaap--FinancingReceivableAll"/>
            <w:bookmarkEnd w:id="556"/>
          </w:p>
        </w:tc>
        <w:tc>
          <w:tcPr>
            <w:tcW w:w="805" w:type="dxa"/>
            <w:tcBorders/>
            <w:shd w:fill="EEEEEE" w:val="clear"/>
            <w:vAlign w:val="center"/>
          </w:tcPr>
          <w:p>
            <w:pPr>
              <w:pStyle w:val="TableContents"/>
              <w:bidi w:val="0"/>
              <w:spacing w:before="0" w:after="283"/>
              <w:jc w:val="right"/>
              <w:rPr/>
            </w:pPr>
            <w:r>
              <w:rPr/>
              <w:t>56,206</w:t>
            </w:r>
          </w:p>
        </w:tc>
        <w:tc>
          <w:tcPr>
            <w:tcW w:w="110" w:type="dxa"/>
            <w:tcBorders/>
            <w:shd w:fill="EEEEEE"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pPr>
            <w:r>
              <w:rPr/>
              <w:t>Provision for credit losses on finance receivables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bookmarkStart w:id="557" w:name="xdx_98D_eus-gaap--ProvisionForLoanAndLea"/>
            <w:bookmarkEnd w:id="557"/>
          </w:p>
        </w:tc>
        <w:tc>
          <w:tcPr>
            <w:tcW w:w="801" w:type="dxa"/>
            <w:tcBorders/>
            <w:shd w:fill="FFFFFF" w:val="clear"/>
            <w:vAlign w:val="center"/>
          </w:tcPr>
          <w:p>
            <w:pPr>
              <w:pStyle w:val="TableContents"/>
              <w:bidi w:val="0"/>
              <w:spacing w:before="0" w:after="283"/>
              <w:jc w:val="right"/>
              <w:rPr/>
            </w:pPr>
            <w:r>
              <w:rPr/>
              <w:t>(2,000</w:t>
            </w:r>
          </w:p>
        </w:tc>
        <w:tc>
          <w:tcPr>
            <w:tcW w:w="119" w:type="dxa"/>
            <w:tcBorders/>
            <w:shd w:fill="FFFFFF" w:val="clear"/>
            <w:vAlign w:val="center"/>
          </w:tcPr>
          <w:p>
            <w:pPr>
              <w:pStyle w:val="TableContents"/>
              <w:bidi w:val="0"/>
              <w:spacing w:before="0" w:after="283"/>
              <w:jc w:val="left"/>
              <w:rPr/>
            </w:pPr>
            <w:r>
              <w:rPr/>
              <w:t>)</w:t>
            </w:r>
          </w:p>
        </w:tc>
        <w:tc>
          <w:tcPr>
            <w:tcW w:w="75"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bookmarkStart w:id="558" w:name="xdx_982_eus-gaap--ProvisionForLoanAndLea"/>
            <w:bookmarkEnd w:id="558"/>
          </w:p>
        </w:tc>
        <w:tc>
          <w:tcPr>
            <w:tcW w:w="858" w:type="dxa"/>
            <w:tcBorders/>
            <w:shd w:fill="FFFFFF" w:val="clear"/>
            <w:vAlign w:val="center"/>
          </w:tcPr>
          <w:p>
            <w:pPr>
              <w:pStyle w:val="TableContents"/>
              <w:bidi w:val="0"/>
              <w:spacing w:before="0" w:after="283"/>
              <w:jc w:val="right"/>
              <w:rPr/>
            </w:pPr>
            <w:r>
              <w:rPr/>
              <w:t>(6,000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bookmarkStart w:id="559" w:name="xdx_986_eus-gaap--ProvisionForLoanAndLea"/>
            <w:bookmarkEnd w:id="559"/>
          </w:p>
        </w:tc>
        <w:tc>
          <w:tcPr>
            <w:tcW w:w="805" w:type="dxa"/>
            <w:tcBorders/>
            <w:shd w:fill="FFFFFF" w:val="clear"/>
            <w:vAlign w:val="center"/>
          </w:tcPr>
          <w:p>
            <w:pPr>
              <w:pStyle w:val="TableContents"/>
              <w:bidi w:val="0"/>
              <w:spacing w:before="0" w:after="283"/>
              <w:jc w:val="right"/>
              <w:rPr/>
            </w:pPr>
            <w:r>
              <w:rPr/>
              <w:t>(20,700</w:t>
            </w:r>
          </w:p>
        </w:tc>
        <w:tc>
          <w:tcPr>
            <w:tcW w:w="10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bookmarkStart w:id="560" w:name="xdx_984_eus-gaap--ProvisionForLoanAndLea"/>
            <w:bookmarkEnd w:id="560"/>
          </w:p>
        </w:tc>
        <w:tc>
          <w:tcPr>
            <w:tcW w:w="805" w:type="dxa"/>
            <w:tcBorders/>
            <w:shd w:fill="FFFFFF" w:val="clear"/>
            <w:vAlign w:val="center"/>
          </w:tcPr>
          <w:p>
            <w:pPr>
              <w:pStyle w:val="TableContents"/>
              <w:bidi w:val="0"/>
              <w:spacing w:before="0" w:after="283"/>
              <w:jc w:val="right"/>
              <w:rPr/>
            </w:pPr>
            <w:r>
              <w:rPr/>
              <w:t>(23,400</w:t>
            </w:r>
          </w:p>
        </w:tc>
        <w:tc>
          <w:tcPr>
            <w:tcW w:w="110" w:type="dxa"/>
            <w:tcBorders/>
            <w:shd w:fill="FFFFFF" w:val="clear"/>
            <w:vAlign w:val="center"/>
          </w:tcPr>
          <w:p>
            <w:pPr>
              <w:pStyle w:val="TableContents"/>
              <w:bidi w:val="0"/>
              <w:spacing w:before="0" w:after="283"/>
              <w:jc w:val="left"/>
              <w:rPr/>
            </w:pPr>
            <w:r>
              <w:rPr/>
              <w:t>)</w:t>
            </w:r>
          </w:p>
        </w:tc>
      </w:tr>
      <w:tr>
        <w:trPr/>
        <w:tc>
          <w:tcPr>
            <w:tcW w:w="4625" w:type="dxa"/>
            <w:tcBorders/>
            <w:shd w:fill="EEEEEE" w:val="clear"/>
            <w:vAlign w:val="center"/>
          </w:tcPr>
          <w:p>
            <w:pPr>
              <w:pStyle w:val="TableContents"/>
              <w:bidi w:val="0"/>
              <w:spacing w:before="0" w:after="283"/>
              <w:jc w:val="left"/>
              <w:rPr/>
            </w:pPr>
            <w:r>
              <w:rPr/>
              <w:t>Charge-offs</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bookmarkStart w:id="561" w:name="xdx_980_eus-gaap--AllowanceForDoubtfulAc"/>
            <w:bookmarkEnd w:id="561"/>
          </w:p>
        </w:tc>
        <w:tc>
          <w:tcPr>
            <w:tcW w:w="801" w:type="dxa"/>
            <w:tcBorders/>
            <w:shd w:fill="EEEEEE" w:val="clear"/>
            <w:vAlign w:val="center"/>
          </w:tcPr>
          <w:p>
            <w:pPr>
              <w:pStyle w:val="TableContents"/>
              <w:bidi w:val="0"/>
              <w:spacing w:before="0" w:after="283"/>
              <w:jc w:val="right"/>
              <w:rPr/>
            </w:pPr>
            <w:r>
              <w:rPr/>
              <w:t>(1,477</w:t>
            </w:r>
          </w:p>
        </w:tc>
        <w:tc>
          <w:tcPr>
            <w:tcW w:w="119" w:type="dxa"/>
            <w:tcBorders/>
            <w:shd w:fill="EEEEEE" w:val="clear"/>
            <w:vAlign w:val="center"/>
          </w:tcPr>
          <w:p>
            <w:pPr>
              <w:pStyle w:val="TableContents"/>
              <w:bidi w:val="0"/>
              <w:spacing w:before="0" w:after="283"/>
              <w:jc w:val="left"/>
              <w:rPr/>
            </w:pPr>
            <w:r>
              <w:rPr/>
              <w:t>)</w:t>
            </w:r>
          </w:p>
        </w:tc>
        <w:tc>
          <w:tcPr>
            <w:tcW w:w="75"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bookmarkStart w:id="562" w:name="xdx_98F_eus-gaap--AllowanceForDoubtfulAc"/>
            <w:bookmarkEnd w:id="562"/>
          </w:p>
        </w:tc>
        <w:tc>
          <w:tcPr>
            <w:tcW w:w="858" w:type="dxa"/>
            <w:tcBorders/>
            <w:shd w:fill="EEEEEE" w:val="clear"/>
            <w:vAlign w:val="center"/>
          </w:tcPr>
          <w:p>
            <w:pPr>
              <w:pStyle w:val="TableContents"/>
              <w:bidi w:val="0"/>
              <w:spacing w:before="0" w:after="283"/>
              <w:jc w:val="right"/>
              <w:rPr/>
            </w:pPr>
            <w:r>
              <w:rPr/>
              <w:t>(4,375</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9" w:type="dxa"/>
            <w:tcBorders/>
            <w:shd w:fill="EEEEEE" w:val="clear"/>
            <w:vAlign w:val="center"/>
          </w:tcPr>
          <w:p>
            <w:pPr>
              <w:pStyle w:val="TableContents"/>
              <w:bidi w:val="0"/>
              <w:spacing w:before="0" w:after="283"/>
              <w:jc w:val="left"/>
              <w:rPr/>
            </w:pPr>
            <w:r>
              <w:rPr/>
              <w:t> </w:t>
            </w:r>
            <w:bookmarkStart w:id="563" w:name="xdx_98D_eus-gaap--AllowanceForDoubtfulAc"/>
            <w:bookmarkEnd w:id="563"/>
          </w:p>
        </w:tc>
        <w:tc>
          <w:tcPr>
            <w:tcW w:w="805" w:type="dxa"/>
            <w:tcBorders/>
            <w:shd w:fill="EEEEEE" w:val="clear"/>
            <w:vAlign w:val="center"/>
          </w:tcPr>
          <w:p>
            <w:pPr>
              <w:pStyle w:val="TableContents"/>
              <w:bidi w:val="0"/>
              <w:spacing w:before="0" w:after="283"/>
              <w:jc w:val="right"/>
              <w:rPr/>
            </w:pPr>
            <w:r>
              <w:rPr/>
              <w:t>(6,391</w:t>
            </w:r>
          </w:p>
        </w:tc>
        <w:tc>
          <w:tcPr>
            <w:tcW w:w="101" w:type="dxa"/>
            <w:tcBorders/>
            <w:shd w:fill="EEEEEE" w:val="clear"/>
            <w:vAlign w:val="center"/>
          </w:tcPr>
          <w:p>
            <w:pPr>
              <w:pStyle w:val="TableContents"/>
              <w:bidi w:val="0"/>
              <w:spacing w:before="0" w:after="283"/>
              <w:jc w:val="left"/>
              <w:rPr/>
            </w:pPr>
            <w:r>
              <w:rPr/>
              <w:t>)</w:t>
            </w:r>
          </w:p>
        </w:tc>
        <w:tc>
          <w:tcPr>
            <w:tcW w:w="64" w:type="dxa"/>
            <w:tcBorders/>
            <w:shd w:fill="EEEEEE" w:val="clear"/>
            <w:vAlign w:val="center"/>
          </w:tcPr>
          <w:p>
            <w:pPr>
              <w:pStyle w:val="TableContents"/>
              <w:bidi w:val="0"/>
              <w:spacing w:before="0" w:after="283"/>
              <w:jc w:val="left"/>
              <w:rPr/>
            </w:pPr>
            <w:r>
              <w:rPr/>
              <w:t> </w:t>
            </w:r>
          </w:p>
        </w:tc>
        <w:tc>
          <w:tcPr>
            <w:tcW w:w="149" w:type="dxa"/>
            <w:tcBorders/>
            <w:shd w:fill="EEEEEE" w:val="clear"/>
            <w:vAlign w:val="center"/>
          </w:tcPr>
          <w:p>
            <w:pPr>
              <w:pStyle w:val="TableContents"/>
              <w:bidi w:val="0"/>
              <w:spacing w:before="0" w:after="283"/>
              <w:jc w:val="left"/>
              <w:rPr/>
            </w:pPr>
            <w:r>
              <w:rPr/>
              <w:t> </w:t>
            </w:r>
            <w:bookmarkStart w:id="564" w:name="xdx_988_eus-gaap--AllowanceForDoubtfulAc"/>
            <w:bookmarkEnd w:id="564"/>
          </w:p>
        </w:tc>
        <w:tc>
          <w:tcPr>
            <w:tcW w:w="805" w:type="dxa"/>
            <w:tcBorders/>
            <w:shd w:fill="EEEEEE" w:val="clear"/>
            <w:vAlign w:val="center"/>
          </w:tcPr>
          <w:p>
            <w:pPr>
              <w:pStyle w:val="TableContents"/>
              <w:bidi w:val="0"/>
              <w:spacing w:before="0" w:after="283"/>
              <w:jc w:val="right"/>
              <w:rPr/>
            </w:pPr>
            <w:r>
              <w:rPr/>
              <w:t>(14,181</w:t>
            </w:r>
          </w:p>
        </w:tc>
        <w:tc>
          <w:tcPr>
            <w:tcW w:w="110" w:type="dxa"/>
            <w:tcBorders/>
            <w:shd w:fill="EEEEEE" w:val="clear"/>
            <w:vAlign w:val="center"/>
          </w:tcPr>
          <w:p>
            <w:pPr>
              <w:pStyle w:val="TableContents"/>
              <w:bidi w:val="0"/>
              <w:spacing w:before="0" w:after="283"/>
              <w:jc w:val="left"/>
              <w:rPr/>
            </w:pPr>
            <w:r>
              <w:rPr/>
              <w:t>)</w:t>
            </w:r>
          </w:p>
        </w:tc>
      </w:tr>
      <w:tr>
        <w:trPr/>
        <w:tc>
          <w:tcPr>
            <w:tcW w:w="4625" w:type="dxa"/>
            <w:tcBorders/>
            <w:shd w:fill="FFFFFF" w:val="clear"/>
            <w:vAlign w:val="center"/>
          </w:tcPr>
          <w:p>
            <w:pPr>
              <w:pStyle w:val="TableContents"/>
              <w:bidi w:val="0"/>
              <w:spacing w:before="0" w:after="283"/>
              <w:jc w:val="left"/>
              <w:rPr/>
            </w:pPr>
            <w:r>
              <w:rPr/>
              <w:t>Recoveries</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65" w:name="xdx_983_eus-gaap--AllowanceForDoubtfulAc"/>
            <w:bookmarkEnd w:id="565"/>
          </w:p>
        </w:tc>
        <w:tc>
          <w:tcPr>
            <w:tcW w:w="801" w:type="dxa"/>
            <w:tcBorders>
              <w:bottom w:val="single" w:sz="8" w:space="0" w:color="000000"/>
            </w:tcBorders>
            <w:shd w:fill="FFFFFF" w:val="clear"/>
            <w:tcMar>
              <w:bottom w:w="28" w:type="dxa"/>
            </w:tcMar>
            <w:vAlign w:val="center"/>
          </w:tcPr>
          <w:p>
            <w:pPr>
              <w:pStyle w:val="TableContents"/>
              <w:bidi w:val="0"/>
              <w:spacing w:before="0" w:after="283"/>
              <w:jc w:val="right"/>
              <w:rPr/>
            </w:pPr>
            <w:r>
              <w:rPr/>
              <w:t>1,984</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66" w:name="xdx_983_eus-gaap--AllowanceForDoubtfulAc"/>
            <w:bookmarkEnd w:id="566"/>
          </w:p>
        </w:tc>
        <w:tc>
          <w:tcPr>
            <w:tcW w:w="858" w:type="dxa"/>
            <w:tcBorders>
              <w:bottom w:val="single" w:sz="8" w:space="0" w:color="000000"/>
            </w:tcBorders>
            <w:shd w:fill="FFFFFF" w:val="clear"/>
            <w:tcMar>
              <w:bottom w:w="28" w:type="dxa"/>
            </w:tcMar>
            <w:vAlign w:val="center"/>
          </w:tcPr>
          <w:p>
            <w:pPr>
              <w:pStyle w:val="TableContents"/>
              <w:bidi w:val="0"/>
              <w:spacing w:before="0" w:after="283"/>
              <w:jc w:val="right"/>
              <w:rPr/>
            </w:pPr>
            <w:r>
              <w:rPr/>
              <w:t>2,699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67" w:name="xdx_986_eus-gaap--AllowanceForDoubtfulAc"/>
            <w:bookmarkEnd w:id="567"/>
          </w:p>
        </w:tc>
        <w:tc>
          <w:tcPr>
            <w:tcW w:w="805" w:type="dxa"/>
            <w:tcBorders>
              <w:bottom w:val="single" w:sz="8" w:space="0" w:color="000000"/>
            </w:tcBorders>
            <w:shd w:fill="FFFFFF" w:val="clear"/>
            <w:tcMar>
              <w:bottom w:w="28" w:type="dxa"/>
            </w:tcMar>
            <w:vAlign w:val="center"/>
          </w:tcPr>
          <w:p>
            <w:pPr>
              <w:pStyle w:val="TableContents"/>
              <w:bidi w:val="0"/>
              <w:spacing w:before="0" w:after="283"/>
              <w:jc w:val="right"/>
              <w:rPr/>
            </w:pPr>
            <w:r>
              <w:rPr/>
              <w:t>9,566</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68" w:name="xdx_980_eus-gaap--AllowanceForDoubtfulAc"/>
            <w:bookmarkEnd w:id="568"/>
          </w:p>
        </w:tc>
        <w:tc>
          <w:tcPr>
            <w:tcW w:w="805" w:type="dxa"/>
            <w:tcBorders>
              <w:bottom w:val="single" w:sz="8" w:space="0" w:color="000000"/>
            </w:tcBorders>
            <w:shd w:fill="FFFFFF" w:val="clear"/>
            <w:tcMar>
              <w:bottom w:w="28" w:type="dxa"/>
            </w:tcMar>
            <w:vAlign w:val="center"/>
          </w:tcPr>
          <w:p>
            <w:pPr>
              <w:pStyle w:val="TableContents"/>
              <w:bidi w:val="0"/>
              <w:spacing w:before="0" w:after="283"/>
              <w:jc w:val="right"/>
              <w:rPr/>
            </w:pPr>
            <w:r>
              <w:rPr/>
              <w:t>9,371</w:t>
            </w:r>
          </w:p>
        </w:tc>
        <w:tc>
          <w:tcPr>
            <w:tcW w:w="110" w:type="dxa"/>
            <w:tcBorders/>
            <w:shd w:fill="FFFFFF" w:val="clear"/>
            <w:vAlign w:val="center"/>
          </w:tcPr>
          <w:p>
            <w:pPr>
              <w:pStyle w:val="TableContents"/>
              <w:bidi w:val="0"/>
              <w:spacing w:before="0" w:after="283"/>
              <w:jc w:val="left"/>
              <w:rPr/>
            </w:pPr>
            <w:r>
              <w:rPr/>
              <w:t> </w:t>
            </w:r>
          </w:p>
        </w:tc>
      </w:tr>
      <w:tr>
        <w:trPr/>
        <w:tc>
          <w:tcPr>
            <w:tcW w:w="4625" w:type="dxa"/>
            <w:tcBorders/>
            <w:shd w:fill="EEEEEE" w:val="clear"/>
            <w:vAlign w:val="center"/>
          </w:tcPr>
          <w:p>
            <w:pPr>
              <w:pStyle w:val="TableContents"/>
              <w:bidi w:val="0"/>
              <w:spacing w:before="0" w:after="283"/>
              <w:jc w:val="left"/>
              <w:rPr/>
            </w:pPr>
            <w:r>
              <w:rPr/>
              <w:t>Balance at end of period</w:t>
            </w:r>
          </w:p>
        </w:tc>
        <w:tc>
          <w:tcPr>
            <w:tcW w:w="60" w:type="dxa"/>
            <w:tcBorders/>
            <w:shd w:fill="EEEEEE" w:val="clear"/>
            <w:vAlign w:val="center"/>
          </w:tcPr>
          <w:p>
            <w:pPr>
              <w:pStyle w:val="TableContents"/>
              <w:bidi w:val="0"/>
              <w:spacing w:before="0" w:after="283"/>
              <w:jc w:val="left"/>
              <w:rPr/>
            </w:pPr>
            <w:r>
              <w:rPr/>
              <w:t> </w:t>
            </w:r>
          </w:p>
        </w:tc>
        <w:tc>
          <w:tcPr>
            <w:tcW w:w="176"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569" w:name="xdx_98F_eus-gaap--FinancingReceivableAll"/>
            <w:bookmarkEnd w:id="569"/>
          </w:p>
        </w:tc>
        <w:tc>
          <w:tcPr>
            <w:tcW w:w="801" w:type="dxa"/>
            <w:tcBorders>
              <w:bottom w:val="double" w:sz="6" w:space="0" w:color="000000"/>
            </w:tcBorders>
            <w:shd w:fill="EEEEEE" w:val="clear"/>
            <w:tcMar>
              <w:bottom w:w="28" w:type="dxa"/>
            </w:tcMar>
            <w:vAlign w:val="center"/>
          </w:tcPr>
          <w:p>
            <w:pPr>
              <w:pStyle w:val="TableContents"/>
              <w:bidi w:val="0"/>
              <w:spacing w:before="0" w:after="283"/>
              <w:jc w:val="right"/>
              <w:rPr/>
            </w:pPr>
            <w:r>
              <w:rPr/>
              <w:t>4,228</w:t>
            </w:r>
          </w:p>
        </w:tc>
        <w:tc>
          <w:tcPr>
            <w:tcW w:w="119"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76"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570" w:name="xdx_981_eus-gaap--FinancingReceivableAll"/>
            <w:bookmarkEnd w:id="570"/>
          </w:p>
        </w:tc>
        <w:tc>
          <w:tcPr>
            <w:tcW w:w="858" w:type="dxa"/>
            <w:tcBorders>
              <w:bottom w:val="double" w:sz="6" w:space="0" w:color="000000"/>
            </w:tcBorders>
            <w:shd w:fill="EEEEEE" w:val="clear"/>
            <w:tcMar>
              <w:bottom w:w="28" w:type="dxa"/>
            </w:tcMar>
            <w:vAlign w:val="center"/>
          </w:tcPr>
          <w:p>
            <w:pPr>
              <w:pStyle w:val="TableContents"/>
              <w:bidi w:val="0"/>
              <w:spacing w:before="0" w:after="283"/>
              <w:jc w:val="right"/>
              <w:rPr/>
            </w:pPr>
            <w:r>
              <w:rPr/>
              <w:t>27,996</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9"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571" w:name="xdx_981_eus-gaap--FinancingReceivableAll"/>
            <w:bookmarkEnd w:id="571"/>
          </w:p>
        </w:tc>
        <w:tc>
          <w:tcPr>
            <w:tcW w:w="805" w:type="dxa"/>
            <w:tcBorders>
              <w:bottom w:val="double" w:sz="6" w:space="0" w:color="000000"/>
            </w:tcBorders>
            <w:shd w:fill="EEEEEE" w:val="clear"/>
            <w:tcMar>
              <w:bottom w:w="28" w:type="dxa"/>
            </w:tcMar>
            <w:vAlign w:val="center"/>
          </w:tcPr>
          <w:p>
            <w:pPr>
              <w:pStyle w:val="TableContents"/>
              <w:bidi w:val="0"/>
              <w:spacing w:before="0" w:after="283"/>
              <w:jc w:val="right"/>
              <w:rPr/>
            </w:pPr>
            <w:r>
              <w:rPr/>
              <w:t>4,228</w:t>
            </w:r>
          </w:p>
        </w:tc>
        <w:tc>
          <w:tcPr>
            <w:tcW w:w="101" w:type="dxa"/>
            <w:tcBorders/>
            <w:shd w:fill="EEEEEE" w:val="clear"/>
            <w:vAlign w:val="center"/>
          </w:tcPr>
          <w:p>
            <w:pPr>
              <w:pStyle w:val="TableContents"/>
              <w:bidi w:val="0"/>
              <w:spacing w:before="0" w:after="283"/>
              <w:jc w:val="left"/>
              <w:rPr/>
            </w:pPr>
            <w:r>
              <w:rPr/>
              <w:t> </w:t>
            </w:r>
          </w:p>
        </w:tc>
        <w:tc>
          <w:tcPr>
            <w:tcW w:w="64" w:type="dxa"/>
            <w:tcBorders/>
            <w:shd w:fill="EEEEEE" w:val="clear"/>
            <w:vAlign w:val="center"/>
          </w:tcPr>
          <w:p>
            <w:pPr>
              <w:pStyle w:val="TableContents"/>
              <w:bidi w:val="0"/>
              <w:spacing w:before="0" w:after="283"/>
              <w:jc w:val="left"/>
              <w:rPr/>
            </w:pPr>
            <w:r>
              <w:rPr/>
              <w:t> </w:t>
            </w:r>
          </w:p>
        </w:tc>
        <w:tc>
          <w:tcPr>
            <w:tcW w:w="149"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572" w:name="xdx_983_eus-gaap--FinancingReceivableAll"/>
            <w:bookmarkEnd w:id="572"/>
          </w:p>
        </w:tc>
        <w:tc>
          <w:tcPr>
            <w:tcW w:w="805" w:type="dxa"/>
            <w:tcBorders>
              <w:bottom w:val="double" w:sz="6" w:space="0" w:color="000000"/>
            </w:tcBorders>
            <w:shd w:fill="EEEEEE" w:val="clear"/>
            <w:tcMar>
              <w:bottom w:w="28" w:type="dxa"/>
            </w:tcMar>
            <w:vAlign w:val="center"/>
          </w:tcPr>
          <w:p>
            <w:pPr>
              <w:pStyle w:val="TableContents"/>
              <w:bidi w:val="0"/>
              <w:spacing w:before="0" w:after="283"/>
              <w:jc w:val="right"/>
              <w:rPr/>
            </w:pPr>
            <w:r>
              <w:rPr/>
              <w:t>27,996</w:t>
            </w:r>
          </w:p>
        </w:tc>
        <w:tc>
          <w:tcPr>
            <w:tcW w:w="110"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73" w:name="xdx_8A2_zYH68XUH88ce"/>
      <w:bookmarkEnd w:id="573"/>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gross charge-offs by year of origination of our finance receivables for the three-month and nine-month ended September 30, 2023 and 2022:</w:t>
      </w:r>
    </w:p>
    <w:p>
      <w:pPr>
        <w:pStyle w:val="Normal"/>
        <w:bidi w:val="0"/>
        <w:spacing w:before="0" w:after="0"/>
        <w:jc w:val="left"/>
        <w:rPr>
          <w:sz w:val="4"/>
          <w:szCs w:val="4"/>
        </w:rPr>
      </w:pPr>
      <w:r>
        <w:rPr>
          <w:sz w:val="4"/>
          <w:szCs w:val="4"/>
        </w:rPr>
      </w:r>
      <w:bookmarkStart w:id="574" w:name="xdx_89E_ecustom--ScheduleOfChargeOffsOfF"/>
      <w:bookmarkStart w:id="575" w:name="xdx_89E_ecustom--ScheduleOfChargeOffsOfF"/>
      <w:bookmarkEnd w:id="575"/>
    </w:p>
    <w:tbl>
      <w:tblPr>
        <w:tblW w:w="9198" w:type="dxa"/>
        <w:jc w:val="left"/>
        <w:tblInd w:w="0" w:type="dxa"/>
        <w:tblLayout w:type="fixed"/>
        <w:tblCellMar>
          <w:top w:w="0" w:type="dxa"/>
          <w:left w:w="0" w:type="dxa"/>
          <w:bottom w:w="0" w:type="dxa"/>
          <w:right w:w="0" w:type="dxa"/>
        </w:tblCellMar>
      </w:tblPr>
      <w:tblGrid>
        <w:gridCol w:w="4595"/>
        <w:gridCol w:w="60"/>
        <w:gridCol w:w="198"/>
        <w:gridCol w:w="795"/>
        <w:gridCol w:w="135"/>
        <w:gridCol w:w="85"/>
        <w:gridCol w:w="198"/>
        <w:gridCol w:w="795"/>
        <w:gridCol w:w="95"/>
        <w:gridCol w:w="60"/>
        <w:gridCol w:w="173"/>
        <w:gridCol w:w="693"/>
        <w:gridCol w:w="117"/>
        <w:gridCol w:w="74"/>
        <w:gridCol w:w="173"/>
        <w:gridCol w:w="842"/>
        <w:gridCol w:w="110"/>
      </w:tblGrid>
      <w:tr>
        <w:trPr/>
        <w:tc>
          <w:tcPr>
            <w:tcW w:w="4595" w:type="dxa"/>
            <w:tcBorders/>
            <w:vAlign w:val="center"/>
          </w:tcPr>
          <w:p>
            <w:pPr>
              <w:pStyle w:val="TableContents"/>
              <w:bidi w:val="0"/>
              <w:spacing w:before="0" w:after="283"/>
              <w:jc w:val="left"/>
              <w:rPr/>
            </w:pPr>
            <w:bookmarkStart w:id="576" w:name="xdx_8B8_zSdtCqwQSR2g"/>
            <w:bookmarkEnd w:id="576"/>
            <w:r>
              <w:rPr/>
              <w:t>Schedule of charge-offs for financed receivables</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693" w:type="dxa"/>
            <w:tcBorders/>
            <w:vAlign w:val="center"/>
          </w:tcPr>
          <w:p>
            <w:pPr>
              <w:pStyle w:val="TableContents"/>
              <w:bidi w:val="0"/>
              <w:spacing w:before="0" w:after="283"/>
              <w:jc w:val="right"/>
              <w:rPr/>
            </w:pPr>
            <w:r>
              <w:rPr/>
              <w:t> </w:t>
            </w:r>
          </w:p>
        </w:tc>
        <w:tc>
          <w:tcPr>
            <w:tcW w:w="117"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6" w:type="dxa"/>
            <w:gridSpan w:val="6"/>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2" w:type="dxa"/>
            <w:gridSpan w:val="6"/>
            <w:tcBorders/>
            <w:vAlign w:val="center"/>
          </w:tcPr>
          <w:p>
            <w:pPr>
              <w:pStyle w:val="TableContents"/>
              <w:bidi w:val="0"/>
              <w:spacing w:before="0" w:after="283"/>
              <w:jc w:val="center"/>
              <w:rPr>
                <w:b/>
              </w:rPr>
            </w:pPr>
            <w:r>
              <w:rPr>
                <w:b/>
              </w:rPr>
              <w:t>Nine Months Ended</w:t>
            </w:r>
          </w:p>
        </w:tc>
        <w:tc>
          <w:tcPr>
            <w:tcW w:w="110"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110"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9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7"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4595" w:type="dxa"/>
            <w:tcBorders>
              <w:bottom w:val="single" w:sz="8" w:space="0" w:color="000000"/>
            </w:tcBorders>
            <w:tcMar>
              <w:bottom w:w="28" w:type="dxa"/>
            </w:tcMar>
            <w:vAlign w:val="center"/>
          </w:tcPr>
          <w:p>
            <w:pPr>
              <w:pStyle w:val="TableContents"/>
              <w:bidi w:val="0"/>
              <w:spacing w:before="0" w:after="283"/>
              <w:jc w:val="center"/>
              <w:rPr/>
            </w:pPr>
            <w:r>
              <w:rPr/>
              <w:t>Annual Vintage Pool</w:t>
            </w:r>
          </w:p>
        </w:tc>
        <w:tc>
          <w:tcPr>
            <w:tcW w:w="60" w:type="dxa"/>
            <w:tcBorders/>
            <w:vAlign w:val="center"/>
          </w:tcPr>
          <w:p>
            <w:pPr>
              <w:pStyle w:val="TableContents"/>
              <w:bidi w:val="0"/>
              <w:spacing w:before="0" w:after="283"/>
              <w:jc w:val="left"/>
              <w:rPr/>
            </w:pPr>
            <w:r>
              <w:rPr/>
              <w:t> </w:t>
            </w:r>
          </w:p>
        </w:tc>
        <w:tc>
          <w:tcPr>
            <w:tcW w:w="220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(In thousands)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4595" w:type="dxa"/>
            <w:tcBorders/>
            <w:shd w:fill="EEEEEE" w:val="clear"/>
            <w:vAlign w:val="center"/>
          </w:tcPr>
          <w:p>
            <w:pPr>
              <w:pStyle w:val="TableContents"/>
              <w:bidi w:val="0"/>
              <w:spacing w:before="0" w:after="283"/>
              <w:jc w:val="left"/>
              <w:rPr/>
            </w:pPr>
            <w:r>
              <w:rPr/>
              <w:t>2014 and prior</w:t>
            </w:r>
          </w:p>
        </w:tc>
        <w:tc>
          <w:tcPr>
            <w:tcW w:w="60" w:type="dxa"/>
            <w:tcBorders/>
            <w:shd w:fill="EEEEEE" w:val="clear"/>
            <w:vAlign w:val="center"/>
          </w:tcPr>
          <w:p>
            <w:pPr>
              <w:pStyle w:val="TableContents"/>
              <w:bidi w:val="0"/>
              <w:spacing w:before="0" w:after="283"/>
              <w:jc w:val="left"/>
              <w:rPr/>
            </w:pPr>
            <w:r>
              <w:rPr/>
              <w:t> </w:t>
            </w:r>
          </w:p>
        </w:tc>
        <w:tc>
          <w:tcPr>
            <w:tcW w:w="198" w:type="dxa"/>
            <w:tcBorders/>
            <w:shd w:fill="EEEEEE" w:val="clear"/>
            <w:vAlign w:val="center"/>
          </w:tcPr>
          <w:p>
            <w:pPr>
              <w:pStyle w:val="TableContents"/>
              <w:bidi w:val="0"/>
              <w:spacing w:before="0" w:after="283"/>
              <w:jc w:val="left"/>
              <w:rPr/>
            </w:pPr>
            <w:r>
              <w:rPr/>
              <w:t>$</w:t>
            </w:r>
            <w:bookmarkStart w:id="577" w:name="xdx_987_eus-gaap--AllowanceForDoubtfulAc"/>
            <w:bookmarkEnd w:id="577"/>
          </w:p>
        </w:tc>
        <w:tc>
          <w:tcPr>
            <w:tcW w:w="795" w:type="dxa"/>
            <w:tcBorders/>
            <w:shd w:fill="EEEEEE" w:val="clear"/>
            <w:vAlign w:val="center"/>
          </w:tcPr>
          <w:p>
            <w:pPr>
              <w:pStyle w:val="TableContents"/>
              <w:bidi w:val="0"/>
              <w:spacing w:before="0" w:after="283"/>
              <w:jc w:val="right"/>
              <w:rPr/>
            </w:pPr>
            <w:r>
              <w:rPr/>
              <w:t>43</w:t>
            </w:r>
          </w:p>
        </w:tc>
        <w:tc>
          <w:tcPr>
            <w:tcW w:w="135" w:type="dxa"/>
            <w:tcBorders/>
            <w:shd w:fill="EEEEEE" w:val="clear"/>
            <w:vAlign w:val="center"/>
          </w:tcPr>
          <w:p>
            <w:pPr>
              <w:pStyle w:val="TableContents"/>
              <w:bidi w:val="0"/>
              <w:spacing w:before="0" w:after="283"/>
              <w:jc w:val="left"/>
              <w:rPr/>
            </w:pPr>
            <w:r>
              <w:rPr/>
              <w:t> </w:t>
            </w:r>
          </w:p>
        </w:tc>
        <w:tc>
          <w:tcPr>
            <w:tcW w:w="85" w:type="dxa"/>
            <w:tcBorders/>
            <w:shd w:fill="EEEEEE" w:val="clear"/>
            <w:vAlign w:val="center"/>
          </w:tcPr>
          <w:p>
            <w:pPr>
              <w:pStyle w:val="TableContents"/>
              <w:bidi w:val="0"/>
              <w:spacing w:before="0" w:after="283"/>
              <w:jc w:val="left"/>
              <w:rPr/>
            </w:pPr>
            <w:r>
              <w:rPr/>
              <w:t> </w:t>
            </w:r>
          </w:p>
        </w:tc>
        <w:tc>
          <w:tcPr>
            <w:tcW w:w="198" w:type="dxa"/>
            <w:tcBorders/>
            <w:shd w:fill="EEEEEE" w:val="clear"/>
            <w:vAlign w:val="center"/>
          </w:tcPr>
          <w:p>
            <w:pPr>
              <w:pStyle w:val="TableContents"/>
              <w:bidi w:val="0"/>
              <w:spacing w:before="0" w:after="283"/>
              <w:jc w:val="left"/>
              <w:rPr/>
            </w:pPr>
            <w:r>
              <w:rPr/>
              <w:t>$</w:t>
            </w:r>
            <w:bookmarkStart w:id="578" w:name="xdx_985_eus-gaap--AllowanceForDoubtfulAc"/>
            <w:bookmarkEnd w:id="578"/>
          </w:p>
        </w:tc>
        <w:tc>
          <w:tcPr>
            <w:tcW w:w="795" w:type="dxa"/>
            <w:tcBorders/>
            <w:shd w:fill="EEEEEE" w:val="clear"/>
            <w:vAlign w:val="center"/>
          </w:tcPr>
          <w:p>
            <w:pPr>
              <w:pStyle w:val="TableContents"/>
              <w:bidi w:val="0"/>
              <w:spacing w:before="0" w:after="283"/>
              <w:jc w:val="right"/>
              <w:rPr/>
            </w:pPr>
            <w:r>
              <w:rPr/>
              <w:t>261</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3" w:type="dxa"/>
            <w:tcBorders/>
            <w:shd w:fill="EEEEEE" w:val="clear"/>
            <w:vAlign w:val="center"/>
          </w:tcPr>
          <w:p>
            <w:pPr>
              <w:pStyle w:val="TableContents"/>
              <w:bidi w:val="0"/>
              <w:spacing w:before="0" w:after="283"/>
              <w:jc w:val="left"/>
              <w:rPr/>
            </w:pPr>
            <w:r>
              <w:rPr/>
              <w:t>$</w:t>
            </w:r>
            <w:bookmarkStart w:id="579" w:name="xdx_988_eus-gaap--AllowanceForDoubtfulAc"/>
            <w:bookmarkEnd w:id="579"/>
          </w:p>
        </w:tc>
        <w:tc>
          <w:tcPr>
            <w:tcW w:w="693" w:type="dxa"/>
            <w:tcBorders/>
            <w:shd w:fill="EEEEEE" w:val="clear"/>
            <w:vAlign w:val="center"/>
          </w:tcPr>
          <w:p>
            <w:pPr>
              <w:pStyle w:val="TableContents"/>
              <w:bidi w:val="0"/>
              <w:spacing w:before="0" w:after="283"/>
              <w:jc w:val="right"/>
              <w:rPr/>
            </w:pPr>
            <w:r>
              <w:rPr/>
              <w:t>251</w:t>
            </w:r>
          </w:p>
        </w:tc>
        <w:tc>
          <w:tcPr>
            <w:tcW w:w="117" w:type="dxa"/>
            <w:tcBorders/>
            <w:shd w:fill="EEEEEE" w:val="clear"/>
            <w:vAlign w:val="center"/>
          </w:tcPr>
          <w:p>
            <w:pPr>
              <w:pStyle w:val="TableContents"/>
              <w:bidi w:val="0"/>
              <w:spacing w:before="0" w:after="283"/>
              <w:jc w:val="left"/>
              <w:rPr/>
            </w:pPr>
            <w:r>
              <w:rPr/>
              <w:t> </w:t>
            </w:r>
          </w:p>
        </w:tc>
        <w:tc>
          <w:tcPr>
            <w:tcW w:w="74" w:type="dxa"/>
            <w:tcBorders/>
            <w:shd w:fill="EEEEEE" w:val="clear"/>
            <w:vAlign w:val="center"/>
          </w:tcPr>
          <w:p>
            <w:pPr>
              <w:pStyle w:val="TableContents"/>
              <w:bidi w:val="0"/>
              <w:spacing w:before="0" w:after="283"/>
              <w:jc w:val="left"/>
              <w:rPr/>
            </w:pPr>
            <w:r>
              <w:rPr/>
              <w:t> </w:t>
            </w:r>
          </w:p>
        </w:tc>
        <w:tc>
          <w:tcPr>
            <w:tcW w:w="173" w:type="dxa"/>
            <w:tcBorders/>
            <w:shd w:fill="EEEEEE" w:val="clear"/>
            <w:vAlign w:val="center"/>
          </w:tcPr>
          <w:p>
            <w:pPr>
              <w:pStyle w:val="TableContents"/>
              <w:bidi w:val="0"/>
              <w:spacing w:before="0" w:after="283"/>
              <w:jc w:val="left"/>
              <w:rPr/>
            </w:pPr>
            <w:r>
              <w:rPr/>
              <w:t>$</w:t>
            </w:r>
            <w:bookmarkStart w:id="580" w:name="xdx_98E_eus-gaap--AllowanceForDoubtfulAc"/>
            <w:bookmarkEnd w:id="580"/>
          </w:p>
        </w:tc>
        <w:tc>
          <w:tcPr>
            <w:tcW w:w="842" w:type="dxa"/>
            <w:tcBorders/>
            <w:shd w:fill="EEEEEE" w:val="clear"/>
            <w:vAlign w:val="center"/>
          </w:tcPr>
          <w:p>
            <w:pPr>
              <w:pStyle w:val="TableContents"/>
              <w:bidi w:val="0"/>
              <w:spacing w:before="0" w:after="283"/>
              <w:jc w:val="right"/>
              <w:rPr/>
            </w:pPr>
            <w:r>
              <w:rPr/>
              <w:t>795</w:t>
            </w:r>
          </w:p>
        </w:tc>
        <w:tc>
          <w:tcPr>
            <w:tcW w:w="110" w:type="dxa"/>
            <w:tcBorders/>
            <w:shd w:fill="EEEEEE"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pPr>
            <w:r>
              <w:rPr/>
              <w:t>2015</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bookmarkStart w:id="581" w:name="xdx_980_eus-gaap--AllowanceForDoubtfulAc"/>
            <w:bookmarkEnd w:id="581"/>
          </w:p>
        </w:tc>
        <w:tc>
          <w:tcPr>
            <w:tcW w:w="795" w:type="dxa"/>
            <w:tcBorders/>
            <w:shd w:fill="FFFFFF" w:val="clear"/>
            <w:vAlign w:val="center"/>
          </w:tcPr>
          <w:p>
            <w:pPr>
              <w:pStyle w:val="TableContents"/>
              <w:bidi w:val="0"/>
              <w:spacing w:before="0" w:after="283"/>
              <w:jc w:val="right"/>
              <w:rPr/>
            </w:pPr>
            <w:r>
              <w:rPr/>
              <w:t>129</w:t>
            </w:r>
          </w:p>
        </w:tc>
        <w:tc>
          <w:tcPr>
            <w:tcW w:w="13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bookmarkStart w:id="582" w:name="xdx_986_eus-gaap--AllowanceForDoubtfulAc"/>
            <w:bookmarkEnd w:id="582"/>
          </w:p>
        </w:tc>
        <w:tc>
          <w:tcPr>
            <w:tcW w:w="795" w:type="dxa"/>
            <w:tcBorders/>
            <w:shd w:fill="FFFFFF" w:val="clear"/>
            <w:vAlign w:val="center"/>
          </w:tcPr>
          <w:p>
            <w:pPr>
              <w:pStyle w:val="TableContents"/>
              <w:bidi w:val="0"/>
              <w:spacing w:before="0" w:after="283"/>
              <w:jc w:val="right"/>
              <w:rPr/>
            </w:pPr>
            <w:r>
              <w:rPr/>
              <w:t>602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bookmarkStart w:id="583" w:name="xdx_98B_eus-gaap--AllowanceForDoubtfulAc"/>
            <w:bookmarkEnd w:id="583"/>
          </w:p>
        </w:tc>
        <w:tc>
          <w:tcPr>
            <w:tcW w:w="693" w:type="dxa"/>
            <w:tcBorders/>
            <w:shd w:fill="FFFFFF" w:val="clear"/>
            <w:vAlign w:val="center"/>
          </w:tcPr>
          <w:p>
            <w:pPr>
              <w:pStyle w:val="TableContents"/>
              <w:bidi w:val="0"/>
              <w:spacing w:before="0" w:after="283"/>
              <w:jc w:val="right"/>
              <w:rPr/>
            </w:pPr>
            <w:r>
              <w:rPr/>
              <w:t>870</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bookmarkStart w:id="584" w:name="xdx_989_eus-gaap--AllowanceForDoubtfulAc"/>
            <w:bookmarkEnd w:id="584"/>
          </w:p>
        </w:tc>
        <w:tc>
          <w:tcPr>
            <w:tcW w:w="842" w:type="dxa"/>
            <w:tcBorders/>
            <w:shd w:fill="FFFFFF" w:val="clear"/>
            <w:vAlign w:val="center"/>
          </w:tcPr>
          <w:p>
            <w:pPr>
              <w:pStyle w:val="TableContents"/>
              <w:bidi w:val="0"/>
              <w:spacing w:before="0" w:after="283"/>
              <w:jc w:val="right"/>
              <w:rPr/>
            </w:pPr>
            <w:r>
              <w:rPr/>
              <w:t>2,343</w:t>
            </w:r>
          </w:p>
        </w:tc>
        <w:tc>
          <w:tcPr>
            <w:tcW w:w="110" w:type="dxa"/>
            <w:tcBorders/>
            <w:shd w:fill="FFFFFF" w:val="clear"/>
            <w:vAlign w:val="center"/>
          </w:tcPr>
          <w:p>
            <w:pPr>
              <w:pStyle w:val="TableContents"/>
              <w:bidi w:val="0"/>
              <w:spacing w:before="0" w:after="283"/>
              <w:jc w:val="left"/>
              <w:rPr/>
            </w:pPr>
            <w:r>
              <w:rPr/>
              <w:t> </w:t>
            </w:r>
          </w:p>
        </w:tc>
      </w:tr>
      <w:tr>
        <w:trPr/>
        <w:tc>
          <w:tcPr>
            <w:tcW w:w="4595" w:type="dxa"/>
            <w:tcBorders/>
            <w:shd w:fill="EEEEEE" w:val="clear"/>
            <w:vAlign w:val="center"/>
          </w:tcPr>
          <w:p>
            <w:pPr>
              <w:pStyle w:val="TableContents"/>
              <w:bidi w:val="0"/>
              <w:spacing w:before="0" w:after="283"/>
              <w:jc w:val="left"/>
              <w:rPr/>
            </w:pPr>
            <w:r>
              <w:rPr/>
              <w:t>2016</w:t>
            </w:r>
          </w:p>
        </w:tc>
        <w:tc>
          <w:tcPr>
            <w:tcW w:w="60" w:type="dxa"/>
            <w:tcBorders/>
            <w:shd w:fill="EEEEEE" w:val="clear"/>
            <w:vAlign w:val="center"/>
          </w:tcPr>
          <w:p>
            <w:pPr>
              <w:pStyle w:val="TableContents"/>
              <w:bidi w:val="0"/>
              <w:spacing w:before="0" w:after="283"/>
              <w:jc w:val="left"/>
              <w:rPr/>
            </w:pPr>
            <w:r>
              <w:rPr/>
              <w:t> </w:t>
            </w:r>
          </w:p>
        </w:tc>
        <w:tc>
          <w:tcPr>
            <w:tcW w:w="198" w:type="dxa"/>
            <w:tcBorders/>
            <w:shd w:fill="EEEEEE" w:val="clear"/>
            <w:vAlign w:val="center"/>
          </w:tcPr>
          <w:p>
            <w:pPr>
              <w:pStyle w:val="TableContents"/>
              <w:bidi w:val="0"/>
              <w:spacing w:before="0" w:after="283"/>
              <w:jc w:val="left"/>
              <w:rPr/>
            </w:pPr>
            <w:r>
              <w:rPr/>
              <w:t> </w:t>
            </w:r>
            <w:bookmarkStart w:id="585" w:name="xdx_981_eus-gaap--AllowanceForDoubtfulAc"/>
            <w:bookmarkEnd w:id="585"/>
          </w:p>
        </w:tc>
        <w:tc>
          <w:tcPr>
            <w:tcW w:w="795" w:type="dxa"/>
            <w:tcBorders/>
            <w:shd w:fill="EEEEEE" w:val="clear"/>
            <w:vAlign w:val="center"/>
          </w:tcPr>
          <w:p>
            <w:pPr>
              <w:pStyle w:val="TableContents"/>
              <w:bidi w:val="0"/>
              <w:spacing w:before="0" w:after="283"/>
              <w:jc w:val="right"/>
              <w:rPr/>
            </w:pPr>
            <w:r>
              <w:rPr/>
              <w:t>568</w:t>
            </w:r>
          </w:p>
        </w:tc>
        <w:tc>
          <w:tcPr>
            <w:tcW w:w="135" w:type="dxa"/>
            <w:tcBorders/>
            <w:shd w:fill="EEEEEE" w:val="clear"/>
            <w:vAlign w:val="center"/>
          </w:tcPr>
          <w:p>
            <w:pPr>
              <w:pStyle w:val="TableContents"/>
              <w:bidi w:val="0"/>
              <w:spacing w:before="0" w:after="283"/>
              <w:jc w:val="left"/>
              <w:rPr/>
            </w:pPr>
            <w:r>
              <w:rPr/>
              <w:t> </w:t>
            </w:r>
          </w:p>
        </w:tc>
        <w:tc>
          <w:tcPr>
            <w:tcW w:w="85" w:type="dxa"/>
            <w:tcBorders/>
            <w:shd w:fill="EEEEEE" w:val="clear"/>
            <w:vAlign w:val="center"/>
          </w:tcPr>
          <w:p>
            <w:pPr>
              <w:pStyle w:val="TableContents"/>
              <w:bidi w:val="0"/>
              <w:spacing w:before="0" w:after="283"/>
              <w:jc w:val="left"/>
              <w:rPr/>
            </w:pPr>
            <w:r>
              <w:rPr/>
              <w:t> </w:t>
            </w:r>
          </w:p>
        </w:tc>
        <w:tc>
          <w:tcPr>
            <w:tcW w:w="198" w:type="dxa"/>
            <w:tcBorders/>
            <w:shd w:fill="EEEEEE" w:val="clear"/>
            <w:vAlign w:val="center"/>
          </w:tcPr>
          <w:p>
            <w:pPr>
              <w:pStyle w:val="TableContents"/>
              <w:bidi w:val="0"/>
              <w:spacing w:before="0" w:after="283"/>
              <w:jc w:val="left"/>
              <w:rPr/>
            </w:pPr>
            <w:r>
              <w:rPr/>
              <w:t> </w:t>
            </w:r>
            <w:bookmarkStart w:id="586" w:name="xdx_98B_eus-gaap--AllowanceForDoubtfulAc"/>
            <w:bookmarkEnd w:id="586"/>
          </w:p>
        </w:tc>
        <w:tc>
          <w:tcPr>
            <w:tcW w:w="795" w:type="dxa"/>
            <w:tcBorders/>
            <w:shd w:fill="EEEEEE" w:val="clear"/>
            <w:vAlign w:val="center"/>
          </w:tcPr>
          <w:p>
            <w:pPr>
              <w:pStyle w:val="TableContents"/>
              <w:bidi w:val="0"/>
              <w:spacing w:before="0" w:after="283"/>
              <w:jc w:val="right"/>
              <w:rPr/>
            </w:pPr>
            <w:r>
              <w:rPr/>
              <w:t>1,598</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3" w:type="dxa"/>
            <w:tcBorders/>
            <w:shd w:fill="EEEEEE" w:val="clear"/>
            <w:vAlign w:val="center"/>
          </w:tcPr>
          <w:p>
            <w:pPr>
              <w:pStyle w:val="TableContents"/>
              <w:bidi w:val="0"/>
              <w:spacing w:before="0" w:after="283"/>
              <w:jc w:val="left"/>
              <w:rPr/>
            </w:pPr>
            <w:r>
              <w:rPr/>
              <w:t> </w:t>
            </w:r>
            <w:bookmarkStart w:id="587" w:name="xdx_98A_eus-gaap--AllowanceForDoubtfulAc"/>
            <w:bookmarkEnd w:id="587"/>
          </w:p>
        </w:tc>
        <w:tc>
          <w:tcPr>
            <w:tcW w:w="693" w:type="dxa"/>
            <w:tcBorders/>
            <w:shd w:fill="EEEEEE" w:val="clear"/>
            <w:vAlign w:val="center"/>
          </w:tcPr>
          <w:p>
            <w:pPr>
              <w:pStyle w:val="TableContents"/>
              <w:bidi w:val="0"/>
              <w:spacing w:before="0" w:after="283"/>
              <w:jc w:val="right"/>
              <w:rPr/>
            </w:pPr>
            <w:r>
              <w:rPr/>
              <w:t>2,602</w:t>
            </w:r>
          </w:p>
        </w:tc>
        <w:tc>
          <w:tcPr>
            <w:tcW w:w="117" w:type="dxa"/>
            <w:tcBorders/>
            <w:shd w:fill="EEEEEE" w:val="clear"/>
            <w:vAlign w:val="center"/>
          </w:tcPr>
          <w:p>
            <w:pPr>
              <w:pStyle w:val="TableContents"/>
              <w:bidi w:val="0"/>
              <w:spacing w:before="0" w:after="283"/>
              <w:jc w:val="left"/>
              <w:rPr/>
            </w:pPr>
            <w:r>
              <w:rPr/>
              <w:t> </w:t>
            </w:r>
          </w:p>
        </w:tc>
        <w:tc>
          <w:tcPr>
            <w:tcW w:w="74" w:type="dxa"/>
            <w:tcBorders/>
            <w:shd w:fill="EEEEEE" w:val="clear"/>
            <w:vAlign w:val="center"/>
          </w:tcPr>
          <w:p>
            <w:pPr>
              <w:pStyle w:val="TableContents"/>
              <w:bidi w:val="0"/>
              <w:spacing w:before="0" w:after="283"/>
              <w:jc w:val="left"/>
              <w:rPr/>
            </w:pPr>
            <w:r>
              <w:rPr/>
              <w:t> </w:t>
            </w:r>
          </w:p>
        </w:tc>
        <w:tc>
          <w:tcPr>
            <w:tcW w:w="173" w:type="dxa"/>
            <w:tcBorders/>
            <w:shd w:fill="EEEEEE" w:val="clear"/>
            <w:vAlign w:val="center"/>
          </w:tcPr>
          <w:p>
            <w:pPr>
              <w:pStyle w:val="TableContents"/>
              <w:bidi w:val="0"/>
              <w:spacing w:before="0" w:after="283"/>
              <w:jc w:val="left"/>
              <w:rPr/>
            </w:pPr>
            <w:r>
              <w:rPr/>
              <w:t> </w:t>
            </w:r>
            <w:bookmarkStart w:id="588" w:name="xdx_988_eus-gaap--AllowanceForDoubtfulAc"/>
            <w:bookmarkEnd w:id="588"/>
          </w:p>
        </w:tc>
        <w:tc>
          <w:tcPr>
            <w:tcW w:w="842" w:type="dxa"/>
            <w:tcBorders/>
            <w:shd w:fill="EEEEEE" w:val="clear"/>
            <w:vAlign w:val="center"/>
          </w:tcPr>
          <w:p>
            <w:pPr>
              <w:pStyle w:val="TableContents"/>
              <w:bidi w:val="0"/>
              <w:spacing w:before="0" w:after="283"/>
              <w:jc w:val="right"/>
              <w:rPr/>
            </w:pPr>
            <w:r>
              <w:rPr/>
              <w:t>5,136</w:t>
            </w:r>
          </w:p>
        </w:tc>
        <w:tc>
          <w:tcPr>
            <w:tcW w:w="110" w:type="dxa"/>
            <w:tcBorders/>
            <w:shd w:fill="EEEEEE"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pPr>
            <w:r>
              <w:rPr/>
              <w:t>2017</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bookmarkStart w:id="589" w:name="xdx_981_eus-gaap--AllowanceForDoubtfulAc"/>
            <w:bookmarkEnd w:id="589"/>
          </w:p>
        </w:tc>
        <w:tc>
          <w:tcPr>
            <w:tcW w:w="795" w:type="dxa"/>
            <w:tcBorders/>
            <w:shd w:fill="FFFFFF" w:val="clear"/>
            <w:vAlign w:val="center"/>
          </w:tcPr>
          <w:p>
            <w:pPr>
              <w:pStyle w:val="TableContents"/>
              <w:bidi w:val="0"/>
              <w:spacing w:before="0" w:after="283"/>
              <w:jc w:val="right"/>
              <w:rPr/>
            </w:pPr>
            <w:r>
              <w:rPr/>
              <w:t>948</w:t>
            </w:r>
          </w:p>
        </w:tc>
        <w:tc>
          <w:tcPr>
            <w:tcW w:w="13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bookmarkStart w:id="590" w:name="xdx_986_eus-gaap--AllowanceForDoubtfulAc"/>
            <w:bookmarkEnd w:id="590"/>
          </w:p>
        </w:tc>
        <w:tc>
          <w:tcPr>
            <w:tcW w:w="795" w:type="dxa"/>
            <w:tcBorders/>
            <w:shd w:fill="FFFFFF" w:val="clear"/>
            <w:vAlign w:val="center"/>
          </w:tcPr>
          <w:p>
            <w:pPr>
              <w:pStyle w:val="TableContents"/>
              <w:bidi w:val="0"/>
              <w:spacing w:before="0" w:after="283"/>
              <w:jc w:val="right"/>
              <w:rPr/>
            </w:pPr>
            <w:r>
              <w:rPr/>
              <w:t>2,072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bookmarkStart w:id="591" w:name="xdx_98D_eus-gaap--AllowanceForDoubtfulAc"/>
            <w:bookmarkEnd w:id="591"/>
          </w:p>
        </w:tc>
        <w:tc>
          <w:tcPr>
            <w:tcW w:w="693" w:type="dxa"/>
            <w:tcBorders/>
            <w:shd w:fill="FFFFFF" w:val="clear"/>
            <w:vAlign w:val="center"/>
          </w:tcPr>
          <w:p>
            <w:pPr>
              <w:pStyle w:val="TableContents"/>
              <w:bidi w:val="0"/>
              <w:spacing w:before="0" w:after="283"/>
              <w:jc w:val="right"/>
              <w:rPr/>
            </w:pPr>
            <w:r>
              <w:rPr/>
              <w:t>3,548</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bookmarkStart w:id="592" w:name="xdx_98D_eus-gaap--AllowanceForDoubtfulAc"/>
            <w:bookmarkEnd w:id="592"/>
          </w:p>
        </w:tc>
        <w:tc>
          <w:tcPr>
            <w:tcW w:w="842" w:type="dxa"/>
            <w:tcBorders/>
            <w:shd w:fill="FFFFFF" w:val="clear"/>
            <w:vAlign w:val="center"/>
          </w:tcPr>
          <w:p>
            <w:pPr>
              <w:pStyle w:val="TableContents"/>
              <w:bidi w:val="0"/>
              <w:spacing w:before="0" w:after="283"/>
              <w:jc w:val="right"/>
              <w:rPr/>
            </w:pPr>
            <w:r>
              <w:rPr/>
              <w:t>6,304</w:t>
            </w:r>
          </w:p>
        </w:tc>
        <w:tc>
          <w:tcPr>
            <w:tcW w:w="110" w:type="dxa"/>
            <w:tcBorders/>
            <w:shd w:fill="FFFFFF" w:val="clear"/>
            <w:vAlign w:val="center"/>
          </w:tcPr>
          <w:p>
            <w:pPr>
              <w:pStyle w:val="TableContents"/>
              <w:bidi w:val="0"/>
              <w:spacing w:before="0" w:after="283"/>
              <w:jc w:val="left"/>
              <w:rPr/>
            </w:pPr>
            <w:r>
              <w:rPr/>
              <w:t> </w:t>
            </w:r>
          </w:p>
        </w:tc>
      </w:tr>
      <w:tr>
        <w:trPr/>
        <w:tc>
          <w:tcPr>
            <w:tcW w:w="4595" w:type="dxa"/>
            <w:tcBorders/>
            <w:shd w:fill="EEEEEE" w:val="clear"/>
            <w:vAlign w:val="center"/>
          </w:tcPr>
          <w:p>
            <w:pPr>
              <w:pStyle w:val="TableContents"/>
              <w:bidi w:val="0"/>
              <w:spacing w:before="0" w:after="283"/>
              <w:jc w:val="left"/>
              <w:rPr/>
            </w:pPr>
            <w:r>
              <w:rPr/>
              <w:t>Applied against repos in inventory (net)</w:t>
            </w:r>
          </w:p>
        </w:tc>
        <w:tc>
          <w:tcPr>
            <w:tcW w:w="60" w:type="dxa"/>
            <w:tcBorders/>
            <w:shd w:fill="EEEEEE" w:val="clear"/>
            <w:vAlign w:val="center"/>
          </w:tcPr>
          <w:p>
            <w:pPr>
              <w:pStyle w:val="TableContents"/>
              <w:bidi w:val="0"/>
              <w:spacing w:before="0" w:after="283"/>
              <w:jc w:val="left"/>
              <w:rPr/>
            </w:pPr>
            <w:r>
              <w:rPr/>
              <w:t> </w:t>
            </w:r>
          </w:p>
        </w:tc>
        <w:tc>
          <w:tcPr>
            <w:tcW w:w="198"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593" w:name="xdx_983_ecustom--AllowanceForDoubtfulAcc"/>
            <w:bookmarkEnd w:id="593"/>
          </w:p>
        </w:tc>
        <w:tc>
          <w:tcPr>
            <w:tcW w:w="795" w:type="dxa"/>
            <w:tcBorders>
              <w:bottom w:val="single" w:sz="8" w:space="0" w:color="000000"/>
            </w:tcBorders>
            <w:shd w:fill="EEEEEE" w:val="clear"/>
            <w:tcMar>
              <w:bottom w:w="28" w:type="dxa"/>
            </w:tcMar>
            <w:vAlign w:val="center"/>
          </w:tcPr>
          <w:p>
            <w:pPr>
              <w:pStyle w:val="TableContents"/>
              <w:bidi w:val="0"/>
              <w:spacing w:before="0" w:after="283"/>
              <w:jc w:val="right"/>
              <w:rPr/>
            </w:pPr>
            <w:r>
              <w:rPr/>
              <w:t>(211</w:t>
            </w:r>
          </w:p>
        </w:tc>
        <w:tc>
          <w:tcPr>
            <w:tcW w:w="135" w:type="dxa"/>
            <w:tcBorders/>
            <w:shd w:fill="EEEEEE" w:val="clear"/>
            <w:vAlign w:val="center"/>
          </w:tcPr>
          <w:p>
            <w:pPr>
              <w:pStyle w:val="TableContents"/>
              <w:bidi w:val="0"/>
              <w:spacing w:before="0" w:after="283"/>
              <w:jc w:val="left"/>
              <w:rPr/>
            </w:pPr>
            <w:r>
              <w:rPr/>
              <w:t>)</w:t>
            </w:r>
          </w:p>
        </w:tc>
        <w:tc>
          <w:tcPr>
            <w:tcW w:w="85" w:type="dxa"/>
            <w:tcBorders/>
            <w:shd w:fill="EEEEEE" w:val="clear"/>
            <w:vAlign w:val="center"/>
          </w:tcPr>
          <w:p>
            <w:pPr>
              <w:pStyle w:val="TableContents"/>
              <w:bidi w:val="0"/>
              <w:spacing w:before="0" w:after="283"/>
              <w:jc w:val="left"/>
              <w:rPr/>
            </w:pPr>
            <w:r>
              <w:rPr/>
              <w:t> </w:t>
            </w:r>
          </w:p>
        </w:tc>
        <w:tc>
          <w:tcPr>
            <w:tcW w:w="198"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594" w:name="xdx_98F_ecustom--AllowanceForDoubtfulAcc"/>
            <w:bookmarkEnd w:id="594"/>
          </w:p>
        </w:tc>
        <w:tc>
          <w:tcPr>
            <w:tcW w:w="795" w:type="dxa"/>
            <w:tcBorders>
              <w:bottom w:val="single" w:sz="8" w:space="0" w:color="000000"/>
            </w:tcBorders>
            <w:shd w:fill="EEEEEE" w:val="clear"/>
            <w:tcMar>
              <w:bottom w:w="28" w:type="dxa"/>
            </w:tcMar>
            <w:vAlign w:val="center"/>
          </w:tcPr>
          <w:p>
            <w:pPr>
              <w:pStyle w:val="TableContents"/>
              <w:bidi w:val="0"/>
              <w:spacing w:before="0" w:after="283"/>
              <w:jc w:val="right"/>
              <w:rPr/>
            </w:pPr>
            <w:r>
              <w:rPr/>
              <w:t>(158</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73"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595" w:name="xdx_983_ecustom--AllowanceForDoubtfulAcc"/>
            <w:bookmarkEnd w:id="595"/>
          </w:p>
        </w:tc>
        <w:tc>
          <w:tcPr>
            <w:tcW w:w="693" w:type="dxa"/>
            <w:tcBorders>
              <w:bottom w:val="single" w:sz="8" w:space="0" w:color="000000"/>
            </w:tcBorders>
            <w:shd w:fill="EEEEEE" w:val="clear"/>
            <w:tcMar>
              <w:bottom w:w="28" w:type="dxa"/>
            </w:tcMar>
            <w:vAlign w:val="center"/>
          </w:tcPr>
          <w:p>
            <w:pPr>
              <w:pStyle w:val="TableContents"/>
              <w:bidi w:val="0"/>
              <w:spacing w:before="0" w:after="283"/>
              <w:jc w:val="right"/>
              <w:rPr/>
            </w:pPr>
            <w:r>
              <w:rPr/>
              <w:t>(880</w:t>
            </w:r>
          </w:p>
        </w:tc>
        <w:tc>
          <w:tcPr>
            <w:tcW w:w="117" w:type="dxa"/>
            <w:tcBorders/>
            <w:shd w:fill="EEEEEE" w:val="clear"/>
            <w:vAlign w:val="center"/>
          </w:tcPr>
          <w:p>
            <w:pPr>
              <w:pStyle w:val="TableContents"/>
              <w:bidi w:val="0"/>
              <w:spacing w:before="0" w:after="283"/>
              <w:jc w:val="left"/>
              <w:rPr/>
            </w:pPr>
            <w:r>
              <w:rPr/>
              <w:t>)</w:t>
            </w:r>
          </w:p>
        </w:tc>
        <w:tc>
          <w:tcPr>
            <w:tcW w:w="74" w:type="dxa"/>
            <w:tcBorders/>
            <w:shd w:fill="EEEEEE" w:val="clear"/>
            <w:vAlign w:val="center"/>
          </w:tcPr>
          <w:p>
            <w:pPr>
              <w:pStyle w:val="TableContents"/>
              <w:bidi w:val="0"/>
              <w:spacing w:before="0" w:after="283"/>
              <w:jc w:val="left"/>
              <w:rPr/>
            </w:pPr>
            <w:r>
              <w:rPr/>
              <w:t> </w:t>
            </w:r>
          </w:p>
        </w:tc>
        <w:tc>
          <w:tcPr>
            <w:tcW w:w="173"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596" w:name="xdx_985_ecustom--AllowanceForDoubtfulAcc"/>
            <w:bookmarkEnd w:id="596"/>
          </w:p>
        </w:tc>
        <w:tc>
          <w:tcPr>
            <w:tcW w:w="842" w:type="dxa"/>
            <w:tcBorders>
              <w:bottom w:val="single" w:sz="8" w:space="0" w:color="000000"/>
            </w:tcBorders>
            <w:shd w:fill="EEEEEE" w:val="clear"/>
            <w:tcMar>
              <w:bottom w:w="28" w:type="dxa"/>
            </w:tcMar>
            <w:vAlign w:val="center"/>
          </w:tcPr>
          <w:p>
            <w:pPr>
              <w:pStyle w:val="TableContents"/>
              <w:bidi w:val="0"/>
              <w:spacing w:before="0" w:after="283"/>
              <w:jc w:val="right"/>
              <w:rPr/>
            </w:pPr>
            <w:r>
              <w:rPr/>
              <w:t>(397</w:t>
            </w:r>
          </w:p>
        </w:tc>
        <w:tc>
          <w:tcPr>
            <w:tcW w:w="110" w:type="dxa"/>
            <w:tcBorders/>
            <w:shd w:fill="EEEEEE" w:val="clear"/>
            <w:vAlign w:val="center"/>
          </w:tcPr>
          <w:p>
            <w:pPr>
              <w:pStyle w:val="TableContents"/>
              <w:bidi w:val="0"/>
              <w:spacing w:before="0" w:after="283"/>
              <w:jc w:val="left"/>
              <w:rPr/>
            </w:pPr>
            <w:r>
              <w:rPr/>
              <w:t>)</w:t>
            </w:r>
          </w:p>
        </w:tc>
      </w:tr>
      <w:tr>
        <w:trPr/>
        <w:tc>
          <w:tcPr>
            <w:tcW w:w="45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97" w:name="xdx_98E_eus-gaap--AllowanceForDoubtfulAc"/>
            <w:bookmarkEnd w:id="597"/>
          </w:p>
        </w:tc>
        <w:tc>
          <w:tcPr>
            <w:tcW w:w="795" w:type="dxa"/>
            <w:tcBorders>
              <w:bottom w:val="double" w:sz="6" w:space="0" w:color="000000"/>
            </w:tcBorders>
            <w:shd w:fill="FFFFFF" w:val="clear"/>
            <w:tcMar>
              <w:bottom w:w="28" w:type="dxa"/>
            </w:tcMar>
            <w:vAlign w:val="center"/>
          </w:tcPr>
          <w:p>
            <w:pPr>
              <w:pStyle w:val="TableContents"/>
              <w:bidi w:val="0"/>
              <w:spacing w:before="0" w:after="283"/>
              <w:jc w:val="right"/>
              <w:rPr/>
            </w:pPr>
            <w:r>
              <w:rPr/>
              <w:t>1,477</w:t>
            </w:r>
          </w:p>
        </w:tc>
        <w:tc>
          <w:tcPr>
            <w:tcW w:w="13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98" w:name="xdx_98C_eus-gaap--AllowanceForDoubtfulAc"/>
            <w:bookmarkEnd w:id="598"/>
          </w:p>
        </w:tc>
        <w:tc>
          <w:tcPr>
            <w:tcW w:w="795" w:type="dxa"/>
            <w:tcBorders>
              <w:bottom w:val="double" w:sz="6" w:space="0" w:color="000000"/>
            </w:tcBorders>
            <w:shd w:fill="FFFFFF" w:val="clear"/>
            <w:tcMar>
              <w:bottom w:w="28" w:type="dxa"/>
            </w:tcMar>
            <w:vAlign w:val="center"/>
          </w:tcPr>
          <w:p>
            <w:pPr>
              <w:pStyle w:val="TableContents"/>
              <w:bidi w:val="0"/>
              <w:spacing w:before="0" w:after="283"/>
              <w:jc w:val="right"/>
              <w:rPr/>
            </w:pPr>
            <w:r>
              <w:rPr/>
              <w:t>4,375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99" w:name="xdx_988_eus-gaap--AllowanceForDoubtfulAc"/>
            <w:bookmarkEnd w:id="599"/>
          </w:p>
        </w:tc>
        <w:tc>
          <w:tcPr>
            <w:tcW w:w="693" w:type="dxa"/>
            <w:tcBorders>
              <w:bottom w:val="double" w:sz="6" w:space="0" w:color="000000"/>
            </w:tcBorders>
            <w:shd w:fill="FFFFFF" w:val="clear"/>
            <w:tcMar>
              <w:bottom w:w="28" w:type="dxa"/>
            </w:tcMar>
            <w:vAlign w:val="center"/>
          </w:tcPr>
          <w:p>
            <w:pPr>
              <w:pStyle w:val="TableContents"/>
              <w:bidi w:val="0"/>
              <w:spacing w:before="0" w:after="283"/>
              <w:jc w:val="right"/>
              <w:rPr/>
            </w:pPr>
            <w:r>
              <w:rPr/>
              <w:t>6,391</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00" w:name="xdx_986_eus-gaap--AllowanceForDoubtfulAc"/>
            <w:bookmarkEnd w:id="600"/>
          </w:p>
        </w:tc>
        <w:tc>
          <w:tcPr>
            <w:tcW w:w="842" w:type="dxa"/>
            <w:tcBorders>
              <w:bottom w:val="double" w:sz="6" w:space="0" w:color="000000"/>
            </w:tcBorders>
            <w:shd w:fill="FFFFFF" w:val="clear"/>
            <w:tcMar>
              <w:bottom w:w="28" w:type="dxa"/>
            </w:tcMar>
            <w:vAlign w:val="center"/>
          </w:tcPr>
          <w:p>
            <w:pPr>
              <w:pStyle w:val="TableContents"/>
              <w:bidi w:val="0"/>
              <w:spacing w:before="0" w:after="283"/>
              <w:jc w:val="right"/>
              <w:rPr/>
            </w:pPr>
            <w:r>
              <w:rPr/>
              <w:t>14,181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601" w:name="xdx_8A6_zObNB1BIulE7"/>
      <w:bookmarkEnd w:id="601"/>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Excluded from finance receivables are contracts that were previously classified as finance receivables but were reclassified as other assets because we have repossessed the vehicle securing the Contract. The following table presents a summary of such repossessed inventory together with the allowance for losses in repossessed inventory that is not included in the allowance for finance credit losses:</w:t>
      </w:r>
    </w:p>
    <w:p>
      <w:pPr>
        <w:pStyle w:val="Normal"/>
        <w:bidi w:val="0"/>
        <w:spacing w:before="0" w:after="0"/>
        <w:ind w:left="0" w:right="0" w:hanging="0"/>
        <w:jc w:val="left"/>
        <w:rPr>
          <w:sz w:val="4"/>
          <w:szCs w:val="4"/>
        </w:rPr>
      </w:pPr>
      <w:r>
        <w:rPr>
          <w:sz w:val="4"/>
          <w:szCs w:val="4"/>
        </w:rPr>
      </w:r>
      <w:bookmarkStart w:id="602" w:name="xdx_893_ecustom--AllowanceForLossesOnRep"/>
      <w:bookmarkStart w:id="603" w:name="xdx_893_ecustom--AllowanceForLossesOnRep"/>
      <w:bookmarkEnd w:id="603"/>
    </w:p>
    <w:tbl>
      <w:tblPr>
        <w:tblW w:w="8768" w:type="dxa"/>
        <w:jc w:val="left"/>
        <w:tblInd w:w="0" w:type="dxa"/>
        <w:tblLayout w:type="fixed"/>
        <w:tblCellMar>
          <w:top w:w="0" w:type="dxa"/>
          <w:left w:w="0" w:type="dxa"/>
          <w:bottom w:w="0" w:type="dxa"/>
          <w:right w:w="0" w:type="dxa"/>
        </w:tblCellMar>
      </w:tblPr>
      <w:tblGrid>
        <w:gridCol w:w="5555"/>
        <w:gridCol w:w="60"/>
        <w:gridCol w:w="346"/>
        <w:gridCol w:w="1128"/>
        <w:gridCol w:w="95"/>
        <w:gridCol w:w="60"/>
        <w:gridCol w:w="254"/>
        <w:gridCol w:w="1160"/>
        <w:gridCol w:w="110"/>
      </w:tblGrid>
      <w:tr>
        <w:trPr/>
        <w:tc>
          <w:tcPr>
            <w:tcW w:w="5555" w:type="dxa"/>
            <w:tcBorders/>
            <w:vAlign w:val="center"/>
          </w:tcPr>
          <w:p>
            <w:pPr>
              <w:pStyle w:val="TableContents"/>
              <w:bidi w:val="0"/>
              <w:spacing w:before="0" w:after="283"/>
              <w:jc w:val="left"/>
              <w:rPr/>
            </w:pPr>
            <w:bookmarkStart w:id="604" w:name="xdx_8BC_zznvei18poK9"/>
            <w:bookmarkEnd w:id="604"/>
            <w:r>
              <w:rPr/>
              <w:t>Schedule of allowance for losses on repossessed inventory</w:t>
            </w:r>
          </w:p>
        </w:tc>
        <w:tc>
          <w:tcPr>
            <w:tcW w:w="60"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5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5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43" w:type="dxa"/>
            <w:gridSpan w:val="6"/>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5555" w:type="dxa"/>
            <w:tcBorders/>
            <w:shd w:fill="EEEEEE" w:val="clear"/>
            <w:vAlign w:val="center"/>
          </w:tcPr>
          <w:p>
            <w:pPr>
              <w:pStyle w:val="TableContents"/>
              <w:bidi w:val="0"/>
              <w:spacing w:before="0" w:after="283"/>
              <w:jc w:val="left"/>
              <w:rPr/>
            </w:pPr>
            <w:r>
              <w:rPr/>
              <w:t>Gross balance of repossessions in inventory</w:t>
            </w:r>
          </w:p>
        </w:tc>
        <w:tc>
          <w:tcPr>
            <w:tcW w:w="60" w:type="dxa"/>
            <w:tcBorders/>
            <w:shd w:fill="EEEEEE" w:val="clear"/>
            <w:vAlign w:val="center"/>
          </w:tcPr>
          <w:p>
            <w:pPr>
              <w:pStyle w:val="TableContents"/>
              <w:bidi w:val="0"/>
              <w:spacing w:before="0" w:after="283"/>
              <w:jc w:val="left"/>
              <w:rPr/>
            </w:pPr>
            <w:r>
              <w:rPr/>
              <w:t> </w:t>
            </w:r>
          </w:p>
        </w:tc>
        <w:tc>
          <w:tcPr>
            <w:tcW w:w="346" w:type="dxa"/>
            <w:tcBorders/>
            <w:shd w:fill="EEEEEE" w:val="clear"/>
            <w:vAlign w:val="center"/>
          </w:tcPr>
          <w:p>
            <w:pPr>
              <w:pStyle w:val="TableContents"/>
              <w:bidi w:val="0"/>
              <w:spacing w:before="0" w:after="283"/>
              <w:jc w:val="left"/>
              <w:rPr/>
            </w:pPr>
            <w:r>
              <w:rPr/>
              <w:t>$</w:t>
            </w:r>
            <w:bookmarkStart w:id="605" w:name="xdx_982_ecustom--RepossessedVehiclesInve"/>
            <w:bookmarkEnd w:id="605"/>
          </w:p>
        </w:tc>
        <w:tc>
          <w:tcPr>
            <w:tcW w:w="1128" w:type="dxa"/>
            <w:tcBorders/>
            <w:shd w:fill="EEEEEE" w:val="clear"/>
            <w:vAlign w:val="center"/>
          </w:tcPr>
          <w:p>
            <w:pPr>
              <w:pStyle w:val="TableContents"/>
              <w:bidi w:val="0"/>
              <w:spacing w:before="0" w:after="283"/>
              <w:jc w:val="right"/>
              <w:rPr/>
            </w:pPr>
            <w:r>
              <w:rPr/>
              <w:t>604</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54" w:type="dxa"/>
            <w:tcBorders/>
            <w:shd w:fill="EEEEEE" w:val="clear"/>
            <w:vAlign w:val="center"/>
          </w:tcPr>
          <w:p>
            <w:pPr>
              <w:pStyle w:val="TableContents"/>
              <w:bidi w:val="0"/>
              <w:spacing w:before="0" w:after="283"/>
              <w:jc w:val="left"/>
              <w:rPr/>
            </w:pPr>
            <w:r>
              <w:rPr/>
              <w:t>$</w:t>
            </w:r>
            <w:bookmarkStart w:id="606" w:name="xdx_98E_ecustom--RepossessedVehiclesInve"/>
            <w:bookmarkEnd w:id="606"/>
          </w:p>
        </w:tc>
        <w:tc>
          <w:tcPr>
            <w:tcW w:w="1160" w:type="dxa"/>
            <w:tcBorders/>
            <w:shd w:fill="EEEEEE" w:val="clear"/>
            <w:vAlign w:val="center"/>
          </w:tcPr>
          <w:p>
            <w:pPr>
              <w:pStyle w:val="TableContents"/>
              <w:bidi w:val="0"/>
              <w:spacing w:before="0" w:after="283"/>
              <w:jc w:val="right"/>
              <w:rPr/>
            </w:pPr>
            <w:r>
              <w:rPr/>
              <w:t>1,894</w:t>
            </w:r>
          </w:p>
        </w:tc>
        <w:tc>
          <w:tcPr>
            <w:tcW w:w="110" w:type="dxa"/>
            <w:tcBorders/>
            <w:shd w:fill="EEEEEE" w:val="clear"/>
            <w:vAlign w:val="center"/>
          </w:tcPr>
          <w:p>
            <w:pPr>
              <w:pStyle w:val="TableContents"/>
              <w:bidi w:val="0"/>
              <w:spacing w:before="0" w:after="283"/>
              <w:jc w:val="left"/>
              <w:rPr/>
            </w:pPr>
            <w:r>
              <w:rPr/>
              <w:t> </w:t>
            </w:r>
          </w:p>
        </w:tc>
      </w:tr>
      <w:tr>
        <w:trPr/>
        <w:tc>
          <w:tcPr>
            <w:tcW w:w="5555" w:type="dxa"/>
            <w:tcBorders/>
            <w:shd w:fill="FFFFFF" w:val="clear"/>
            <w:vAlign w:val="center"/>
          </w:tcPr>
          <w:p>
            <w:pPr>
              <w:pStyle w:val="TableContents"/>
              <w:bidi w:val="0"/>
              <w:spacing w:before="0" w:after="283"/>
              <w:jc w:val="left"/>
              <w:rPr/>
            </w:pPr>
            <w:r>
              <w:rPr/>
              <w:t>Allowance for losses on repossessed inventory</w:t>
            </w:r>
          </w:p>
        </w:tc>
        <w:tc>
          <w:tcPr>
            <w:tcW w:w="60" w:type="dxa"/>
            <w:tcBorders/>
            <w:shd w:fill="FFFFFF" w:val="clear"/>
            <w:vAlign w:val="center"/>
          </w:tcPr>
          <w:p>
            <w:pPr>
              <w:pStyle w:val="TableContents"/>
              <w:bidi w:val="0"/>
              <w:spacing w:before="0" w:after="283"/>
              <w:jc w:val="left"/>
              <w:rPr/>
            </w:pPr>
            <w:r>
              <w:rPr/>
              <w:t> </w:t>
            </w:r>
          </w:p>
        </w:tc>
        <w:tc>
          <w:tcPr>
            <w:tcW w:w="3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07" w:name="xdx_980_ecustom--RepossessedInventoryAll"/>
            <w:bookmarkEnd w:id="607"/>
          </w:p>
        </w:tc>
        <w:tc>
          <w:tcPr>
            <w:tcW w:w="1128" w:type="dxa"/>
            <w:tcBorders>
              <w:bottom w:val="single" w:sz="8" w:space="0" w:color="000000"/>
            </w:tcBorders>
            <w:shd w:fill="FFFFFF" w:val="clear"/>
            <w:tcMar>
              <w:bottom w:w="28" w:type="dxa"/>
            </w:tcMar>
            <w:vAlign w:val="center"/>
          </w:tcPr>
          <w:p>
            <w:pPr>
              <w:pStyle w:val="TableContents"/>
              <w:bidi w:val="0"/>
              <w:spacing w:before="0" w:after="283"/>
              <w:jc w:val="right"/>
              <w:rPr/>
            </w:pPr>
            <w:r>
              <w:rPr/>
              <w:t>(444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08" w:name="xdx_980_ecustom--RepossessedInventoryAll"/>
            <w:bookmarkEnd w:id="608"/>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pPr>
            <w:r>
              <w:rPr/>
              <w:t>(1,323</w:t>
            </w:r>
          </w:p>
        </w:tc>
        <w:tc>
          <w:tcPr>
            <w:tcW w:w="110" w:type="dxa"/>
            <w:tcBorders/>
            <w:shd w:fill="FFFFFF" w:val="clear"/>
            <w:vAlign w:val="center"/>
          </w:tcPr>
          <w:p>
            <w:pPr>
              <w:pStyle w:val="TableContents"/>
              <w:bidi w:val="0"/>
              <w:spacing w:before="0" w:after="283"/>
              <w:jc w:val="left"/>
              <w:rPr/>
            </w:pPr>
            <w:r>
              <w:rPr/>
              <w:t>)</w:t>
            </w:r>
          </w:p>
        </w:tc>
      </w:tr>
      <w:tr>
        <w:trPr/>
        <w:tc>
          <w:tcPr>
            <w:tcW w:w="5555" w:type="dxa"/>
            <w:tcBorders/>
            <w:shd w:fill="EEEEEE" w:val="clear"/>
            <w:vAlign w:val="center"/>
          </w:tcPr>
          <w:p>
            <w:pPr>
              <w:pStyle w:val="TableContents"/>
              <w:bidi w:val="0"/>
              <w:spacing w:before="0" w:after="283"/>
              <w:jc w:val="left"/>
              <w:rPr/>
            </w:pPr>
            <w:r>
              <w:rPr/>
              <w:t>Net repossessed inventory included in other assets</w:t>
            </w:r>
          </w:p>
        </w:tc>
        <w:tc>
          <w:tcPr>
            <w:tcW w:w="60" w:type="dxa"/>
            <w:tcBorders/>
            <w:shd w:fill="EEEEEE" w:val="clear"/>
            <w:vAlign w:val="center"/>
          </w:tcPr>
          <w:p>
            <w:pPr>
              <w:pStyle w:val="TableContents"/>
              <w:bidi w:val="0"/>
              <w:spacing w:before="0" w:after="283"/>
              <w:jc w:val="left"/>
              <w:rPr/>
            </w:pPr>
            <w:r>
              <w:rPr/>
              <w:t> </w:t>
            </w:r>
          </w:p>
        </w:tc>
        <w:tc>
          <w:tcPr>
            <w:tcW w:w="346"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609" w:name="xdx_983_ecustom--RepossessedVehiclesInve"/>
            <w:bookmarkEnd w:id="609"/>
          </w:p>
        </w:tc>
        <w:tc>
          <w:tcPr>
            <w:tcW w:w="1128" w:type="dxa"/>
            <w:tcBorders>
              <w:bottom w:val="double" w:sz="6" w:space="0" w:color="000000"/>
            </w:tcBorders>
            <w:shd w:fill="EEEEEE" w:val="clear"/>
            <w:tcMar>
              <w:bottom w:w="28" w:type="dxa"/>
            </w:tcMar>
            <w:vAlign w:val="center"/>
          </w:tcPr>
          <w:p>
            <w:pPr>
              <w:pStyle w:val="TableContents"/>
              <w:bidi w:val="0"/>
              <w:spacing w:before="0" w:after="283"/>
              <w:jc w:val="right"/>
              <w:rPr/>
            </w:pPr>
            <w:r>
              <w:rPr/>
              <w:t>160</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54"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610" w:name="xdx_98E_ecustom--RepossessedVehiclesInve"/>
            <w:bookmarkEnd w:id="610"/>
          </w:p>
        </w:tc>
        <w:tc>
          <w:tcPr>
            <w:tcW w:w="1160" w:type="dxa"/>
            <w:tcBorders>
              <w:bottom w:val="double" w:sz="6" w:space="0" w:color="000000"/>
            </w:tcBorders>
            <w:shd w:fill="EEEEEE" w:val="clear"/>
            <w:tcMar>
              <w:bottom w:w="28" w:type="dxa"/>
            </w:tcMar>
            <w:vAlign w:val="center"/>
          </w:tcPr>
          <w:p>
            <w:pPr>
              <w:pStyle w:val="TableContents"/>
              <w:bidi w:val="0"/>
              <w:spacing w:before="0" w:after="283"/>
              <w:jc w:val="right"/>
              <w:rPr/>
            </w:pPr>
            <w:r>
              <w:rPr/>
              <w:t>571</w:t>
            </w:r>
          </w:p>
        </w:tc>
        <w:tc>
          <w:tcPr>
            <w:tcW w:w="110"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611" w:name="xdx_8A6_zOPRTAX84IAd"/>
      <w:bookmarkEnd w:id="611"/>
      <w:r>
        <w:rPr>
          <w:caps w:val="false"/>
          <w:smallCaps w:val="false"/>
        </w:rPr>
        <w:t> </w:t>
      </w:r>
    </w:p>
    <w:p>
      <w:pPr>
        <w:pStyle w:val="TextBody"/>
        <w:bidi w:val="0"/>
        <w:spacing w:before="0" w:after="0"/>
        <w:ind w:left="0" w:right="0" w:hanging="0"/>
        <w:jc w:val="left"/>
        <w:rPr>
          <w:caps w:val="false"/>
          <w:smallCaps w:val="false"/>
        </w:rPr>
      </w:pPr>
      <w:bookmarkStart w:id="612" w:name="xdx_230_zr2IWpKNXK47"/>
      <w:bookmarkEnd w:id="612"/>
      <w:r>
        <w:rPr>
          <w:caps w:val="false"/>
          <w:smallCaps w:val="false"/>
        </w:rPr>
        <w:t> </w:t>
      </w:r>
    </w:p>
    <w:p>
      <w:pPr>
        <w:pStyle w:val="TextBody"/>
        <w:bidi w:val="0"/>
        <w:spacing w:before="0" w:after="0"/>
        <w:ind w:left="0" w:right="0" w:hanging="0"/>
        <w:jc w:val="left"/>
        <w:rPr>
          <w:caps w:val="false"/>
          <w:smallCaps w:val="false"/>
        </w:rPr>
      </w:pPr>
      <w:bookmarkStart w:id="613" w:name="xdx_238_zHze9Y1FWXq2"/>
      <w:bookmarkEnd w:id="613"/>
      <w:r>
        <w:rPr>
          <w:caps w:val="false"/>
          <w:smallCaps w:val="false"/>
        </w:rPr>
        <w:t> </w:t>
      </w:r>
    </w:p>
    <w:p>
      <w:pPr>
        <w:pStyle w:val="TextBody"/>
        <w:bidi w:val="0"/>
        <w:spacing w:before="0" w:after="0"/>
        <w:ind w:left="0" w:right="0" w:hanging="0"/>
        <w:jc w:val="left"/>
        <w:rPr>
          <w:caps w:val="false"/>
          <w:smallCaps w:val="false"/>
        </w:rPr>
      </w:pPr>
      <w:bookmarkStart w:id="614" w:name="xdx_23D_zEoApuJegcd9"/>
      <w:bookmarkEnd w:id="614"/>
      <w:r>
        <w:rPr>
          <w:caps w:val="false"/>
          <w:smallCaps w:val="false"/>
        </w:rPr>
        <w:t> </w:t>
      </w:r>
    </w:p>
    <w:p>
      <w:pPr>
        <w:pStyle w:val="TextBody"/>
        <w:bidi w:val="0"/>
        <w:spacing w:before="0" w:after="0"/>
        <w:ind w:left="0" w:right="0" w:hanging="0"/>
        <w:jc w:val="left"/>
        <w:rPr>
          <w:caps w:val="false"/>
          <w:smallCaps w:val="false"/>
        </w:rPr>
      </w:pPr>
      <w:bookmarkStart w:id="615" w:name="xdx_239_z1E1LHu1AZed"/>
      <w:bookmarkEnd w:id="615"/>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616" w:name="xdx_23D_zqfdUUUvXL5g"/>
      <w:bookmarkEnd w:id="616"/>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17" w:name="xdx_230_z39Fq5RJKA98"/>
      <w:bookmarkEnd w:id="617"/>
      <w:r>
        <w:rPr>
          <w:rFonts w:ascii="Times New Roman;Times;Serif" w:hAnsi="Times New Roman;Times;Serif"/>
          <w:b/>
          <w:i w:val="false"/>
          <w:caps w:val="false"/>
          <w:smallCaps w:val="false"/>
          <w:sz w:val="20"/>
        </w:rPr>
        <w:t>CONSUMER PORTFOLIO SERVICES,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18" w:name="xdx_238_zVbhaRMb3IQ3"/>
      <w:bookmarkEnd w:id="618"/>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left"/>
        <w:rPr>
          <w:caps w:val="false"/>
          <w:smallCaps w:val="false"/>
        </w:rPr>
      </w:pPr>
      <w:bookmarkStart w:id="619" w:name="xdx_239_zvwkf9k1yr7b"/>
      <w:bookmarkEnd w:id="619"/>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20" w:name="xdx_80C_ecustom--SecuritizationTrustDebt"/>
      <w:bookmarkEnd w:id="620"/>
      <w:r>
        <w:rPr>
          <w:rFonts w:ascii="Times New Roman;Times;Serif" w:hAnsi="Times New Roman;Times;Serif"/>
          <w:b/>
          <w:i w:val="false"/>
          <w:caps w:val="false"/>
          <w:smallCaps w:val="false"/>
          <w:sz w:val="20"/>
        </w:rPr>
        <w:t xml:space="preserve">(3) </w:t>
      </w:r>
      <w:bookmarkStart w:id="621" w:name="xdx_823_zA9HjRYLQf79"/>
      <w:bookmarkEnd w:id="621"/>
      <w:r>
        <w:rPr>
          <w:rFonts w:ascii="Times New Roman;Times;Serif" w:hAnsi="Times New Roman;Times;Serif"/>
          <w:b/>
          <w:i/>
          <w:caps w:val="false"/>
          <w:smallCaps w:val="false"/>
          <w:sz w:val="20"/>
        </w:rPr>
        <w:t xml:space="preserve">Securitization Trust Debt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completed many securitization transactions that are structured as secured borrowings for financial accounting purposes. The debt issued in these transactions is shown on our Unaudited Condensed Consolidated Balance Sheets as “Securitization trust debt,” and the components of such debt are summarized in the following table:</w:t>
      </w:r>
    </w:p>
    <w:p>
      <w:pPr>
        <w:pStyle w:val="Normal"/>
        <w:bidi w:val="0"/>
        <w:spacing w:before="0" w:after="0"/>
        <w:jc w:val="left"/>
        <w:rPr>
          <w:sz w:val="4"/>
          <w:szCs w:val="4"/>
        </w:rPr>
      </w:pPr>
      <w:r>
        <w:rPr>
          <w:sz w:val="4"/>
          <w:szCs w:val="4"/>
        </w:rPr>
      </w:r>
      <w:bookmarkStart w:id="622" w:name="xdx_89D_eus-gaap--ScheduleOfDebtInstrume"/>
      <w:bookmarkStart w:id="623" w:name="xdx_89D_eus-gaap--ScheduleOfDebtInstrume"/>
      <w:bookmarkEnd w:id="623"/>
    </w:p>
    <w:tbl>
      <w:tblPr>
        <w:tblW w:w="10205" w:type="dxa"/>
        <w:jc w:val="left"/>
        <w:tblInd w:w="0" w:type="dxa"/>
        <w:tblLayout w:type="fixed"/>
        <w:tblCellMar>
          <w:top w:w="0" w:type="dxa"/>
          <w:left w:w="0" w:type="dxa"/>
          <w:bottom w:w="0" w:type="dxa"/>
          <w:right w:w="0" w:type="dxa"/>
        </w:tblCellMar>
      </w:tblPr>
      <w:tblGrid>
        <w:gridCol w:w="1780"/>
        <w:gridCol w:w="60"/>
        <w:gridCol w:w="1187"/>
        <w:gridCol w:w="60"/>
        <w:gridCol w:w="157"/>
        <w:gridCol w:w="1110"/>
        <w:gridCol w:w="60"/>
        <w:gridCol w:w="60"/>
        <w:gridCol w:w="140"/>
        <w:gridCol w:w="980"/>
        <w:gridCol w:w="60"/>
        <w:gridCol w:w="60"/>
        <w:gridCol w:w="165"/>
        <w:gridCol w:w="1160"/>
        <w:gridCol w:w="60"/>
        <w:gridCol w:w="60"/>
        <w:gridCol w:w="163"/>
        <w:gridCol w:w="1147"/>
        <w:gridCol w:w="60"/>
        <w:gridCol w:w="60"/>
        <w:gridCol w:w="164"/>
        <w:gridCol w:w="1216"/>
        <w:gridCol w:w="236"/>
      </w:tblGrid>
      <w:tr>
        <w:trPr/>
        <w:tc>
          <w:tcPr>
            <w:tcW w:w="1780" w:type="dxa"/>
            <w:tcBorders/>
            <w:vAlign w:val="center"/>
          </w:tcPr>
          <w:p>
            <w:pPr>
              <w:pStyle w:val="TableContents"/>
              <w:bidi w:val="0"/>
              <w:spacing w:before="0" w:after="283"/>
              <w:jc w:val="left"/>
              <w:rPr/>
            </w:pPr>
            <w:bookmarkStart w:id="624" w:name="xdx_8B3_zrLrff8CvER8"/>
            <w:bookmarkEnd w:id="624"/>
            <w:r>
              <w:rPr/>
              <w:t>Schedule of securitization trust debt</w:t>
            </w:r>
          </w:p>
        </w:tc>
        <w:tc>
          <w:tcPr>
            <w:tcW w:w="60"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67"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0" w:type="dxa"/>
            <w:gridSpan w:val="2"/>
            <w:tcBorders/>
            <w:vAlign w:val="center"/>
          </w:tcPr>
          <w:p>
            <w:pPr>
              <w:pStyle w:val="TableContents"/>
              <w:bidi w:val="0"/>
              <w:spacing w:before="0" w:after="283"/>
              <w:jc w:val="center"/>
              <w:rPr/>
            </w:pPr>
            <w:r>
              <w:rPr/>
              <w:t> </w:t>
            </w:r>
          </w:p>
        </w:tc>
        <w:tc>
          <w:tcPr>
            <w:tcW w:w="236" w:type="dxa"/>
            <w:tcBorders/>
            <w:vAlign w:val="center"/>
          </w:tcPr>
          <w:p>
            <w:pPr>
              <w:pStyle w:val="TableContents"/>
              <w:bidi w:val="0"/>
              <w:spacing w:before="0" w:after="283"/>
              <w:jc w:val="left"/>
              <w:rPr/>
            </w:pPr>
            <w:r>
              <w:rPr/>
              <w:t> </w:t>
            </w:r>
          </w:p>
        </w:tc>
      </w:tr>
      <w:tr>
        <w:trPr/>
        <w:tc>
          <w:tcPr>
            <w:tcW w:w="1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67"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0" w:type="dxa"/>
            <w:gridSpan w:val="2"/>
            <w:tcBorders/>
            <w:vAlign w:val="center"/>
          </w:tcPr>
          <w:p>
            <w:pPr>
              <w:pStyle w:val="TableContents"/>
              <w:bidi w:val="0"/>
              <w:spacing w:before="0" w:after="283"/>
              <w:jc w:val="center"/>
              <w:rPr>
                <w:b/>
              </w:rPr>
            </w:pPr>
            <w:r>
              <w:rPr>
                <w:b/>
              </w:rPr>
              <w:t>Weighted</w:t>
            </w:r>
          </w:p>
        </w:tc>
        <w:tc>
          <w:tcPr>
            <w:tcW w:w="236" w:type="dxa"/>
            <w:tcBorders/>
            <w:vAlign w:val="center"/>
          </w:tcPr>
          <w:p>
            <w:pPr>
              <w:pStyle w:val="TableContents"/>
              <w:bidi w:val="0"/>
              <w:spacing w:before="0" w:after="283"/>
              <w:jc w:val="left"/>
              <w:rPr/>
            </w:pPr>
            <w:r>
              <w:rPr/>
              <w:t> </w:t>
            </w:r>
          </w:p>
        </w:tc>
      </w:tr>
      <w:tr>
        <w:trPr/>
        <w:tc>
          <w:tcPr>
            <w:tcW w:w="1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67"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0" w:type="dxa"/>
            <w:gridSpan w:val="2"/>
            <w:tcBorders/>
            <w:vAlign w:val="center"/>
          </w:tcPr>
          <w:p>
            <w:pPr>
              <w:pStyle w:val="TableContents"/>
              <w:bidi w:val="0"/>
              <w:spacing w:before="0" w:after="283"/>
              <w:jc w:val="center"/>
              <w:rPr>
                <w:b/>
              </w:rPr>
            </w:pPr>
            <w:r>
              <w:rPr>
                <w:b/>
              </w:rPr>
              <w:t>Average</w:t>
            </w:r>
          </w:p>
        </w:tc>
        <w:tc>
          <w:tcPr>
            <w:tcW w:w="236" w:type="dxa"/>
            <w:tcBorders/>
            <w:vAlign w:val="center"/>
          </w:tcPr>
          <w:p>
            <w:pPr>
              <w:pStyle w:val="TableContents"/>
              <w:bidi w:val="0"/>
              <w:spacing w:before="0" w:after="283"/>
              <w:jc w:val="left"/>
              <w:rPr/>
            </w:pPr>
            <w:r>
              <w:rPr/>
              <w:t> </w:t>
            </w:r>
          </w:p>
        </w:tc>
      </w:tr>
      <w:tr>
        <w:trPr/>
        <w:tc>
          <w:tcPr>
            <w:tcW w:w="17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center"/>
              <w:rPr>
                <w:b/>
              </w:rPr>
            </w:pPr>
            <w:r>
              <w:rPr>
                <w:b/>
              </w:rPr>
              <w:t>Final</w:t>
            </w:r>
          </w:p>
        </w:tc>
        <w:tc>
          <w:tcPr>
            <w:tcW w:w="60" w:type="dxa"/>
            <w:tcBorders/>
            <w:vAlign w:val="center"/>
          </w:tcPr>
          <w:p>
            <w:pPr>
              <w:pStyle w:val="TableContents"/>
              <w:bidi w:val="0"/>
              <w:spacing w:before="0" w:after="283"/>
              <w:jc w:val="left"/>
              <w:rPr/>
            </w:pPr>
            <w:r>
              <w:rPr/>
              <w:t> </w:t>
            </w:r>
          </w:p>
        </w:tc>
        <w:tc>
          <w:tcPr>
            <w:tcW w:w="1267" w:type="dxa"/>
            <w:gridSpan w:val="2"/>
            <w:tcBorders/>
            <w:vAlign w:val="center"/>
          </w:tcPr>
          <w:p>
            <w:pPr>
              <w:pStyle w:val="TableContents"/>
              <w:bidi w:val="0"/>
              <w:spacing w:before="0" w:after="283"/>
              <w:jc w:val="center"/>
              <w:rPr>
                <w:b/>
              </w:rPr>
            </w:pPr>
            <w:r>
              <w:rPr>
                <w:b/>
              </w:rPr>
              <w:t>Receivables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center"/>
              <w:rPr>
                <w:b/>
              </w:rPr>
            </w:pPr>
            <w:r>
              <w:rPr>
                <w:b/>
              </w:rP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center"/>
              <w:rPr>
                <w:b/>
              </w:rPr>
            </w:pPr>
            <w:r>
              <w:rPr>
                <w:b/>
              </w:rP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0" w:type="dxa"/>
            <w:gridSpan w:val="2"/>
            <w:tcBorders/>
            <w:vAlign w:val="center"/>
          </w:tcPr>
          <w:p>
            <w:pPr>
              <w:pStyle w:val="TableContents"/>
              <w:bidi w:val="0"/>
              <w:spacing w:before="0" w:after="283"/>
              <w:jc w:val="center"/>
              <w:rPr>
                <w:b/>
              </w:rPr>
            </w:pPr>
            <w:r>
              <w:rPr>
                <w:b/>
              </w:rPr>
              <w:t>Contractual Debt</w:t>
            </w:r>
          </w:p>
        </w:tc>
        <w:tc>
          <w:tcPr>
            <w:tcW w:w="236" w:type="dxa"/>
            <w:tcBorders/>
            <w:vAlign w:val="center"/>
          </w:tcPr>
          <w:p>
            <w:pPr>
              <w:pStyle w:val="TableContents"/>
              <w:bidi w:val="0"/>
              <w:spacing w:before="0" w:after="283"/>
              <w:jc w:val="left"/>
              <w:rPr/>
            </w:pPr>
            <w:r>
              <w:rPr/>
              <w:t> </w:t>
            </w:r>
          </w:p>
        </w:tc>
      </w:tr>
      <w:tr>
        <w:trPr/>
        <w:tc>
          <w:tcPr>
            <w:tcW w:w="17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center"/>
              <w:rPr>
                <w:b/>
              </w:rPr>
            </w:pPr>
            <w:r>
              <w:rPr>
                <w:b/>
              </w:rPr>
              <w:t>Scheduled</w:t>
            </w:r>
          </w:p>
        </w:tc>
        <w:tc>
          <w:tcPr>
            <w:tcW w:w="60" w:type="dxa"/>
            <w:tcBorders/>
            <w:vAlign w:val="center"/>
          </w:tcPr>
          <w:p>
            <w:pPr>
              <w:pStyle w:val="TableContents"/>
              <w:bidi w:val="0"/>
              <w:spacing w:before="0" w:after="283"/>
              <w:jc w:val="left"/>
              <w:rPr/>
            </w:pPr>
            <w:r>
              <w:rPr/>
              <w:t> </w:t>
            </w:r>
          </w:p>
        </w:tc>
        <w:tc>
          <w:tcPr>
            <w:tcW w:w="1267" w:type="dxa"/>
            <w:gridSpan w:val="2"/>
            <w:tcBorders/>
            <w:vAlign w:val="center"/>
          </w:tcPr>
          <w:p>
            <w:pPr>
              <w:pStyle w:val="TableContents"/>
              <w:bidi w:val="0"/>
              <w:spacing w:before="0" w:after="283"/>
              <w:jc w:val="center"/>
              <w:rPr>
                <w:b/>
              </w:rPr>
            </w:pPr>
            <w:r>
              <w:rPr>
                <w:b/>
              </w:rPr>
              <w:t>Pledged at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center"/>
              <w:rPr>
                <w:b/>
              </w:rPr>
            </w:pPr>
            <w:r>
              <w:rPr>
                <w:b/>
              </w:rPr>
              <w:t>Principal at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center"/>
              <w:rPr>
                <w:b/>
              </w:rPr>
            </w:pPr>
            <w:r>
              <w:rPr>
                <w:b/>
              </w:rPr>
              <w:t>Principal at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0" w:type="dxa"/>
            <w:gridSpan w:val="2"/>
            <w:tcBorders/>
            <w:vAlign w:val="center"/>
          </w:tcPr>
          <w:p>
            <w:pPr>
              <w:pStyle w:val="TableContents"/>
              <w:bidi w:val="0"/>
              <w:spacing w:before="0" w:after="283"/>
              <w:jc w:val="center"/>
              <w:rPr>
                <w:b/>
              </w:rPr>
            </w:pPr>
            <w:r>
              <w:rPr>
                <w:b/>
              </w:rPr>
              <w:t>Interest Rate at</w:t>
            </w:r>
          </w:p>
        </w:tc>
        <w:tc>
          <w:tcPr>
            <w:tcW w:w="236" w:type="dxa"/>
            <w:tcBorders/>
            <w:vAlign w:val="center"/>
          </w:tcPr>
          <w:p>
            <w:pPr>
              <w:pStyle w:val="TableContents"/>
              <w:bidi w:val="0"/>
              <w:spacing w:before="0" w:after="283"/>
              <w:jc w:val="left"/>
              <w:rPr/>
            </w:pPr>
            <w:r>
              <w:rPr/>
              <w:t> </w:t>
            </w:r>
          </w:p>
        </w:tc>
      </w:tr>
      <w:tr>
        <w:trPr/>
        <w:tc>
          <w:tcPr>
            <w:tcW w:w="17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center"/>
              <w:rPr>
                <w:b/>
              </w:rPr>
            </w:pPr>
            <w:r>
              <w:rPr>
                <w:b/>
              </w:rPr>
              <w:t>Payment</w:t>
            </w:r>
          </w:p>
        </w:tc>
        <w:tc>
          <w:tcPr>
            <w:tcW w:w="60" w:type="dxa"/>
            <w:tcBorders/>
            <w:vAlign w:val="center"/>
          </w:tcPr>
          <w:p>
            <w:pPr>
              <w:pStyle w:val="TableContents"/>
              <w:bidi w:val="0"/>
              <w:spacing w:before="0" w:after="283"/>
              <w:jc w:val="left"/>
              <w:rPr/>
            </w:pPr>
            <w:r>
              <w:rPr/>
              <w:t> </w:t>
            </w:r>
          </w:p>
        </w:tc>
        <w:tc>
          <w:tcPr>
            <w:tcW w:w="1267" w:type="dxa"/>
            <w:gridSpan w:val="2"/>
            <w:tcBorders/>
            <w:vAlign w:val="center"/>
          </w:tcPr>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Initial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0" w:type="dxa"/>
            <w:gridSpan w:val="2"/>
            <w:tcBorders/>
            <w:vAlign w:val="center"/>
          </w:tcPr>
          <w:p>
            <w:pPr>
              <w:pStyle w:val="TableContents"/>
              <w:bidi w:val="0"/>
              <w:spacing w:before="0" w:after="283"/>
              <w:jc w:val="center"/>
              <w:rPr>
                <w:b/>
              </w:rPr>
            </w:pPr>
            <w:r>
              <w:rPr>
                <w:b/>
              </w:rPr>
              <w:t>September 30,</w:t>
            </w:r>
          </w:p>
        </w:tc>
        <w:tc>
          <w:tcPr>
            <w:tcW w:w="236" w:type="dxa"/>
            <w:tcBorders/>
            <w:vAlign w:val="center"/>
          </w:tcPr>
          <w:p>
            <w:pPr>
              <w:pStyle w:val="TableContents"/>
              <w:bidi w:val="0"/>
              <w:spacing w:before="0" w:after="283"/>
              <w:jc w:val="left"/>
              <w:rPr/>
            </w:pPr>
            <w:r>
              <w:rPr/>
              <w:t> </w:t>
            </w:r>
          </w:p>
        </w:tc>
      </w:tr>
      <w:tr>
        <w:trPr/>
        <w:tc>
          <w:tcPr>
            <w:tcW w:w="1780" w:type="dxa"/>
            <w:tcBorders>
              <w:bottom w:val="single" w:sz="8" w:space="0" w:color="000000"/>
            </w:tcBorders>
            <w:tcMar>
              <w:bottom w:w="28" w:type="dxa"/>
            </w:tcMar>
            <w:vAlign w:val="center"/>
          </w:tcPr>
          <w:p>
            <w:pPr>
              <w:pStyle w:val="TableContents"/>
              <w:bidi w:val="0"/>
              <w:spacing w:before="0" w:after="283"/>
              <w:jc w:val="center"/>
              <w:rPr>
                <w:b/>
              </w:rPr>
            </w:pPr>
            <w:r>
              <w:rPr>
                <w:b/>
              </w:rPr>
              <w:t>Series</w:t>
            </w:r>
          </w:p>
        </w:tc>
        <w:tc>
          <w:tcPr>
            <w:tcW w:w="60" w:type="dxa"/>
            <w:tcBorders/>
            <w:vAlign w:val="center"/>
          </w:tcPr>
          <w:p>
            <w:pPr>
              <w:pStyle w:val="TableContents"/>
              <w:bidi w:val="0"/>
              <w:spacing w:before="0" w:after="283"/>
              <w:jc w:val="left"/>
              <w:rPr/>
            </w:pPr>
            <w:r>
              <w:rPr/>
              <w:t> </w:t>
            </w:r>
          </w:p>
        </w:tc>
        <w:tc>
          <w:tcPr>
            <w:tcW w:w="1187" w:type="dxa"/>
            <w:tcBorders>
              <w:bottom w:val="single" w:sz="8" w:space="0" w:color="000000"/>
            </w:tcBorders>
            <w:tcMar>
              <w:bottom w:w="28" w:type="dxa"/>
            </w:tcMar>
            <w:vAlign w:val="center"/>
          </w:tcPr>
          <w:p>
            <w:pPr>
              <w:pStyle w:val="TableContents"/>
              <w:bidi w:val="0"/>
              <w:spacing w:before="0" w:after="283"/>
              <w:jc w:val="center"/>
              <w:rPr>
                <w:b/>
              </w:rPr>
            </w:pPr>
            <w:r>
              <w:rPr>
                <w:b/>
              </w:rPr>
              <w:t>Date (1)</w:t>
            </w:r>
          </w:p>
        </w:tc>
        <w:tc>
          <w:tcPr>
            <w:tcW w:w="60" w:type="dxa"/>
            <w:tcBorders/>
            <w:vAlign w:val="center"/>
          </w:tcPr>
          <w:p>
            <w:pPr>
              <w:pStyle w:val="TableContents"/>
              <w:bidi w:val="0"/>
              <w:spacing w:before="0" w:after="283"/>
              <w:jc w:val="left"/>
              <w:rPr/>
            </w:pPr>
            <w:r>
              <w:rPr/>
              <w:t> </w:t>
            </w:r>
          </w:p>
        </w:tc>
        <w:tc>
          <w:tcPr>
            <w:tcW w:w="12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Principal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236" w:type="dxa"/>
            <w:tcBorders/>
            <w:vAlign w:val="center"/>
          </w:tcPr>
          <w:p>
            <w:pPr>
              <w:pStyle w:val="TableContents"/>
              <w:bidi w:val="0"/>
              <w:spacing w:before="0" w:after="283"/>
              <w:jc w:val="left"/>
              <w:rPr/>
            </w:pPr>
            <w:r>
              <w:rPr/>
              <w:t> </w:t>
            </w:r>
          </w:p>
        </w:tc>
      </w:tr>
      <w:tr>
        <w:trPr/>
        <w:tc>
          <w:tcPr>
            <w:tcW w:w="1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89" w:type="dxa"/>
            <w:gridSpan w:val="17"/>
            <w:tcBorders/>
            <w:vAlign w:val="center"/>
          </w:tcPr>
          <w:p>
            <w:pPr>
              <w:pStyle w:val="TableContents"/>
              <w:bidi w:val="0"/>
              <w:spacing w:before="0" w:after="283"/>
              <w:jc w:val="center"/>
              <w:rPr>
                <w:b/>
              </w:rPr>
            </w:pPr>
            <w:r>
              <w:rPr>
                <w:b/>
              </w:rPr>
              <w:t>(Dollars in thousands)</w:t>
            </w:r>
          </w:p>
        </w:tc>
        <w:tc>
          <w:tcPr>
            <w:tcW w:w="60" w:type="dxa"/>
            <w:tcBorders/>
            <w:vAlign w:val="center"/>
          </w:tcPr>
          <w:p>
            <w:pPr>
              <w:pStyle w:val="TableContents"/>
              <w:bidi w:val="0"/>
              <w:spacing w:before="0" w:after="283"/>
              <w:jc w:val="left"/>
              <w:rPr/>
            </w:pPr>
            <w:r>
              <w:rPr/>
              <w:t> </w:t>
            </w:r>
          </w:p>
        </w:tc>
        <w:tc>
          <w:tcPr>
            <w:tcW w:w="1380" w:type="dxa"/>
            <w:gridSpan w:val="2"/>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r>
      <w:tr>
        <w:trPr/>
        <w:tc>
          <w:tcPr>
            <w:tcW w:w="1780" w:type="dxa"/>
            <w:tcBorders/>
            <w:shd w:fill="EEEEEE" w:val="clear"/>
            <w:vAlign w:val="center"/>
          </w:tcPr>
          <w:p>
            <w:pPr>
              <w:pStyle w:val="TableContents"/>
              <w:bidi w:val="0"/>
              <w:spacing w:before="0" w:after="283"/>
              <w:jc w:val="left"/>
              <w:rPr/>
            </w:pPr>
            <w:r>
              <w:rPr/>
              <w:t>CPS 2018-A</w:t>
            </w:r>
          </w:p>
        </w:tc>
        <w:tc>
          <w:tcPr>
            <w:tcW w:w="60" w:type="dxa"/>
            <w:tcBorders/>
            <w:shd w:fill="EEEEEE" w:val="clear"/>
            <w:vAlign w:val="center"/>
          </w:tcPr>
          <w:p>
            <w:pPr>
              <w:pStyle w:val="TableContents"/>
              <w:bidi w:val="0"/>
              <w:spacing w:before="0" w:after="283"/>
              <w:jc w:val="left"/>
              <w:rPr/>
            </w:pPr>
            <w:r>
              <w:rPr/>
              <w:t> </w:t>
            </w:r>
            <w:bookmarkStart w:id="625" w:name="xdx_98C_ecustom--FinalScheduledPaymentDa"/>
            <w:bookmarkEnd w:id="625"/>
          </w:p>
        </w:tc>
        <w:tc>
          <w:tcPr>
            <w:tcW w:w="1187" w:type="dxa"/>
            <w:tcBorders/>
            <w:shd w:fill="EEEEEE" w:val="clear"/>
            <w:vAlign w:val="center"/>
          </w:tcPr>
          <w:p>
            <w:pPr>
              <w:pStyle w:val="TableContents"/>
              <w:bidi w:val="0"/>
              <w:spacing w:before="0" w:after="283"/>
              <w:jc w:val="right"/>
              <w:rPr/>
            </w:pPr>
            <w:r>
              <w:rPr/>
              <w:t>March 2025</w:t>
            </w:r>
          </w:p>
        </w:tc>
        <w:tc>
          <w:tcPr>
            <w:tcW w:w="60" w:type="dxa"/>
            <w:tcBorders/>
            <w:shd w:fill="EEEEEE" w:val="clear"/>
            <w:vAlign w:val="center"/>
          </w:tcPr>
          <w:p>
            <w:pPr>
              <w:pStyle w:val="TableContents"/>
              <w:bidi w:val="0"/>
              <w:spacing w:before="0" w:after="283"/>
              <w:jc w:val="left"/>
              <w:rPr/>
            </w:pPr>
            <w:r>
              <w:rPr/>
              <w:t> </w:t>
            </w:r>
          </w:p>
        </w:tc>
        <w:tc>
          <w:tcPr>
            <w:tcW w:w="157" w:type="dxa"/>
            <w:tcBorders/>
            <w:shd w:fill="EEEEEE" w:val="clear"/>
            <w:vAlign w:val="center"/>
          </w:tcPr>
          <w:p>
            <w:pPr>
              <w:pStyle w:val="TableContents"/>
              <w:bidi w:val="0"/>
              <w:spacing w:before="0" w:after="283"/>
              <w:jc w:val="left"/>
              <w:rPr/>
            </w:pPr>
            <w:r>
              <w:rPr/>
              <w:t>$</w:t>
            </w:r>
            <w:bookmarkStart w:id="626" w:name="xdx_983_ecustom--ReceivablesPledged_iI_p"/>
            <w:bookmarkEnd w:id="626"/>
          </w:p>
        </w:tc>
        <w:tc>
          <w:tcPr>
            <w:tcW w:w="1110"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bookmarkStart w:id="627" w:name="xdx_986_ecustom--SecuritizationTrustDebt"/>
            <w:bookmarkEnd w:id="627"/>
          </w:p>
        </w:tc>
        <w:tc>
          <w:tcPr>
            <w:tcW w:w="980" w:type="dxa"/>
            <w:tcBorders/>
            <w:shd w:fill="EEEEEE" w:val="clear"/>
            <w:vAlign w:val="center"/>
          </w:tcPr>
          <w:p>
            <w:pPr>
              <w:pStyle w:val="TableContents"/>
              <w:bidi w:val="0"/>
              <w:spacing w:before="0" w:after="283"/>
              <w:jc w:val="right"/>
              <w:rPr/>
            </w:pPr>
            <w:r>
              <w:rPr/>
              <w:t>190,000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w:t>
            </w:r>
            <w:bookmarkStart w:id="628" w:name="xdx_98C_eus-gaap--PrincipalAmountOutstan"/>
            <w:bookmarkEnd w:id="628"/>
          </w:p>
        </w:tc>
        <w:tc>
          <w:tcPr>
            <w:tcW w:w="1160"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3" w:type="dxa"/>
            <w:tcBorders/>
            <w:shd w:fill="EEEEEE" w:val="clear"/>
            <w:vAlign w:val="center"/>
          </w:tcPr>
          <w:p>
            <w:pPr>
              <w:pStyle w:val="TableContents"/>
              <w:bidi w:val="0"/>
              <w:spacing w:before="0" w:after="283"/>
              <w:jc w:val="left"/>
              <w:rPr/>
            </w:pPr>
            <w:r>
              <w:rPr/>
              <w:t>$</w:t>
            </w:r>
            <w:bookmarkStart w:id="629" w:name="xdx_980_eus-gaap--PrincipalAmountOutstan"/>
            <w:bookmarkEnd w:id="629"/>
          </w:p>
        </w:tc>
        <w:tc>
          <w:tcPr>
            <w:tcW w:w="1147" w:type="dxa"/>
            <w:tcBorders/>
            <w:shd w:fill="EEEEEE" w:val="clear"/>
            <w:vAlign w:val="center"/>
          </w:tcPr>
          <w:p>
            <w:pPr>
              <w:pStyle w:val="TableContents"/>
              <w:bidi w:val="0"/>
              <w:spacing w:before="0" w:after="283"/>
              <w:jc w:val="right"/>
              <w:rPr/>
            </w:pPr>
            <w:r>
              <w:rPr/>
              <w:t>12,939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4" w:type="dxa"/>
            <w:tcBorders/>
            <w:shd w:fill="EEEEEE" w:val="clear"/>
            <w:vAlign w:val="center"/>
          </w:tcPr>
          <w:p>
            <w:pPr>
              <w:pStyle w:val="TableContents"/>
              <w:bidi w:val="0"/>
              <w:spacing w:before="0" w:after="283"/>
              <w:jc w:val="left"/>
              <w:rPr/>
            </w:pPr>
            <w:r>
              <w:rPr/>
              <w:t> </w:t>
            </w:r>
          </w:p>
        </w:tc>
        <w:tc>
          <w:tcPr>
            <w:tcW w:w="1216" w:type="dxa"/>
            <w:tcBorders/>
            <w:shd w:fill="EEEEEE" w:val="clear"/>
            <w:vAlign w:val="center"/>
          </w:tcPr>
          <w:p>
            <w:pPr>
              <w:pStyle w:val="TableContents"/>
              <w:bidi w:val="0"/>
              <w:spacing w:before="0" w:after="283"/>
              <w:jc w:val="right"/>
              <w:rPr/>
            </w:pPr>
            <w:bookmarkStart w:id="630" w:name="xdx_90C_eus-gaap--DebtWeightedAverageInt"/>
            <w:bookmarkEnd w:id="630"/>
            <w:r>
              <w:rPr/>
              <w:t>–</w:t>
            </w:r>
          </w:p>
        </w:tc>
        <w:tc>
          <w:tcPr>
            <w:tcW w:w="236" w:type="dxa"/>
            <w:tcBorders/>
            <w:shd w:fill="EEEEEE" w:val="clear"/>
            <w:vAlign w:val="center"/>
          </w:tcPr>
          <w:p>
            <w:pPr>
              <w:pStyle w:val="TableContents"/>
              <w:bidi w:val="0"/>
              <w:spacing w:before="0" w:after="283"/>
              <w:jc w:val="left"/>
              <w:rPr/>
            </w:pPr>
            <w:r>
              <w:rPr/>
              <w:t> </w:t>
            </w:r>
          </w:p>
        </w:tc>
      </w:tr>
      <w:tr>
        <w:trPr/>
        <w:tc>
          <w:tcPr>
            <w:tcW w:w="1780" w:type="dxa"/>
            <w:tcBorders/>
            <w:shd w:fill="FFFFFF" w:val="clear"/>
            <w:vAlign w:val="center"/>
          </w:tcPr>
          <w:p>
            <w:pPr>
              <w:pStyle w:val="TableContents"/>
              <w:bidi w:val="0"/>
              <w:spacing w:before="0" w:after="283"/>
              <w:jc w:val="left"/>
              <w:rPr/>
            </w:pPr>
            <w:r>
              <w:rPr/>
              <w:t>CPS 2018-B</w:t>
            </w:r>
          </w:p>
        </w:tc>
        <w:tc>
          <w:tcPr>
            <w:tcW w:w="60" w:type="dxa"/>
            <w:tcBorders/>
            <w:shd w:fill="FFFFFF" w:val="clear"/>
            <w:vAlign w:val="center"/>
          </w:tcPr>
          <w:p>
            <w:pPr>
              <w:pStyle w:val="TableContents"/>
              <w:bidi w:val="0"/>
              <w:spacing w:before="0" w:after="283"/>
              <w:jc w:val="left"/>
              <w:rPr/>
            </w:pPr>
            <w:r>
              <w:rPr/>
              <w:t> </w:t>
            </w:r>
            <w:bookmarkStart w:id="631" w:name="xdx_984_ecustom--FinalScheduledPaymentDa"/>
            <w:bookmarkEnd w:id="631"/>
          </w:p>
        </w:tc>
        <w:tc>
          <w:tcPr>
            <w:tcW w:w="1187" w:type="dxa"/>
            <w:tcBorders/>
            <w:shd w:fill="FFFFFF" w:val="clear"/>
            <w:vAlign w:val="center"/>
          </w:tcPr>
          <w:p>
            <w:pPr>
              <w:pStyle w:val="TableContents"/>
              <w:bidi w:val="0"/>
              <w:spacing w:before="0" w:after="283"/>
              <w:jc w:val="right"/>
              <w:rPr/>
            </w:pPr>
            <w:r>
              <w:rPr/>
              <w:t>December 2024</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bookmarkStart w:id="632" w:name="xdx_988_ecustom--ReceivablesPledged_iI_p"/>
            <w:bookmarkEnd w:id="632"/>
          </w:p>
        </w:tc>
        <w:tc>
          <w:tcPr>
            <w:tcW w:w="11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33" w:name="xdx_983_ecustom--SecuritizationTrustDebt"/>
            <w:bookmarkEnd w:id="633"/>
          </w:p>
        </w:tc>
        <w:tc>
          <w:tcPr>
            <w:tcW w:w="980" w:type="dxa"/>
            <w:tcBorders/>
            <w:shd w:fill="FFFFFF" w:val="clear"/>
            <w:vAlign w:val="center"/>
          </w:tcPr>
          <w:p>
            <w:pPr>
              <w:pStyle w:val="TableContents"/>
              <w:bidi w:val="0"/>
              <w:spacing w:before="0" w:after="283"/>
              <w:jc w:val="right"/>
              <w:rPr/>
            </w:pPr>
            <w:r>
              <w:rPr/>
              <w:t>201,823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bookmarkStart w:id="634" w:name="xdx_982_eus-gaap--PrincipalAmountOutstan"/>
            <w:bookmarkEnd w:id="634"/>
          </w:p>
        </w:tc>
        <w:tc>
          <w:tcPr>
            <w:tcW w:w="11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bookmarkStart w:id="635" w:name="xdx_985_eus-gaap--PrincipalAmountOutstan"/>
            <w:bookmarkEnd w:id="635"/>
          </w:p>
        </w:tc>
        <w:tc>
          <w:tcPr>
            <w:tcW w:w="1147" w:type="dxa"/>
            <w:tcBorders/>
            <w:shd w:fill="FFFFFF" w:val="clear"/>
            <w:vAlign w:val="center"/>
          </w:tcPr>
          <w:p>
            <w:pPr>
              <w:pStyle w:val="TableContents"/>
              <w:bidi w:val="0"/>
              <w:spacing w:before="0" w:after="283"/>
              <w:jc w:val="right"/>
              <w:rPr/>
            </w:pPr>
            <w:r>
              <w:rPr/>
              <w:t>17,077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bookmarkStart w:id="636" w:name="xdx_900_eus-gaap--DebtWeightedAverageInt"/>
            <w:bookmarkEnd w:id="636"/>
            <w:r>
              <w:rPr/>
              <w:t>–</w:t>
            </w:r>
          </w:p>
        </w:tc>
        <w:tc>
          <w:tcPr>
            <w:tcW w:w="236" w:type="dxa"/>
            <w:tcBorders/>
            <w:shd w:fill="FFFFFF" w:val="clear"/>
            <w:vAlign w:val="center"/>
          </w:tcPr>
          <w:p>
            <w:pPr>
              <w:pStyle w:val="TableContents"/>
              <w:bidi w:val="0"/>
              <w:spacing w:before="0" w:after="283"/>
              <w:jc w:val="left"/>
              <w:rPr/>
            </w:pPr>
            <w:r>
              <w:rPr/>
              <w:t> </w:t>
            </w:r>
          </w:p>
        </w:tc>
      </w:tr>
      <w:tr>
        <w:trPr/>
        <w:tc>
          <w:tcPr>
            <w:tcW w:w="1780" w:type="dxa"/>
            <w:tcBorders/>
            <w:shd w:fill="EEEEEE" w:val="clear"/>
            <w:vAlign w:val="center"/>
          </w:tcPr>
          <w:p>
            <w:pPr>
              <w:pStyle w:val="TableContents"/>
              <w:bidi w:val="0"/>
              <w:spacing w:before="0" w:after="283"/>
              <w:jc w:val="left"/>
              <w:rPr/>
            </w:pPr>
            <w:r>
              <w:rPr/>
              <w:t>CPS 2018-C</w:t>
            </w:r>
          </w:p>
        </w:tc>
        <w:tc>
          <w:tcPr>
            <w:tcW w:w="60" w:type="dxa"/>
            <w:tcBorders/>
            <w:shd w:fill="EEEEEE" w:val="clear"/>
            <w:vAlign w:val="center"/>
          </w:tcPr>
          <w:p>
            <w:pPr>
              <w:pStyle w:val="TableContents"/>
              <w:bidi w:val="0"/>
              <w:spacing w:before="0" w:after="283"/>
              <w:jc w:val="left"/>
              <w:rPr/>
            </w:pPr>
            <w:r>
              <w:rPr/>
              <w:t> </w:t>
            </w:r>
            <w:bookmarkStart w:id="637" w:name="xdx_980_ecustom--FinalScheduledPaymentDa"/>
            <w:bookmarkEnd w:id="637"/>
          </w:p>
        </w:tc>
        <w:tc>
          <w:tcPr>
            <w:tcW w:w="1187" w:type="dxa"/>
            <w:tcBorders/>
            <w:shd w:fill="EEEEEE" w:val="clear"/>
            <w:vAlign w:val="center"/>
          </w:tcPr>
          <w:p>
            <w:pPr>
              <w:pStyle w:val="TableContents"/>
              <w:bidi w:val="0"/>
              <w:spacing w:before="0" w:after="283"/>
              <w:jc w:val="right"/>
              <w:rPr/>
            </w:pPr>
            <w:r>
              <w:rPr/>
              <w:t>September 2025</w:t>
            </w:r>
          </w:p>
        </w:tc>
        <w:tc>
          <w:tcPr>
            <w:tcW w:w="60" w:type="dxa"/>
            <w:tcBorders/>
            <w:shd w:fill="EEEEEE" w:val="clear"/>
            <w:vAlign w:val="center"/>
          </w:tcPr>
          <w:p>
            <w:pPr>
              <w:pStyle w:val="TableContents"/>
              <w:bidi w:val="0"/>
              <w:spacing w:before="0" w:after="283"/>
              <w:jc w:val="left"/>
              <w:rPr/>
            </w:pPr>
            <w:r>
              <w:rPr/>
              <w:t> </w:t>
            </w:r>
          </w:p>
        </w:tc>
        <w:tc>
          <w:tcPr>
            <w:tcW w:w="157" w:type="dxa"/>
            <w:tcBorders/>
            <w:shd w:fill="EEEEEE" w:val="clear"/>
            <w:vAlign w:val="center"/>
          </w:tcPr>
          <w:p>
            <w:pPr>
              <w:pStyle w:val="TableContents"/>
              <w:bidi w:val="0"/>
              <w:spacing w:before="0" w:after="283"/>
              <w:jc w:val="left"/>
              <w:rPr/>
            </w:pPr>
            <w:r>
              <w:rPr/>
              <w:t> </w:t>
            </w:r>
            <w:bookmarkStart w:id="638" w:name="xdx_98C_ecustom--ReceivablesPledged_iI_p"/>
            <w:bookmarkEnd w:id="638"/>
          </w:p>
        </w:tc>
        <w:tc>
          <w:tcPr>
            <w:tcW w:w="1110"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639" w:name="xdx_982_ecustom--SecuritizationTrustDebt"/>
            <w:bookmarkEnd w:id="639"/>
          </w:p>
        </w:tc>
        <w:tc>
          <w:tcPr>
            <w:tcW w:w="980" w:type="dxa"/>
            <w:tcBorders/>
            <w:shd w:fill="EEEEEE" w:val="clear"/>
            <w:vAlign w:val="center"/>
          </w:tcPr>
          <w:p>
            <w:pPr>
              <w:pStyle w:val="TableContents"/>
              <w:bidi w:val="0"/>
              <w:spacing w:before="0" w:after="283"/>
              <w:jc w:val="right"/>
              <w:rPr/>
            </w:pPr>
            <w:r>
              <w:rPr/>
              <w:t>230,275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bookmarkStart w:id="640" w:name="xdx_988_eus-gaap--PrincipalAmountOutstan"/>
            <w:bookmarkEnd w:id="640"/>
          </w:p>
        </w:tc>
        <w:tc>
          <w:tcPr>
            <w:tcW w:w="1160"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3" w:type="dxa"/>
            <w:tcBorders/>
            <w:shd w:fill="EEEEEE" w:val="clear"/>
            <w:vAlign w:val="center"/>
          </w:tcPr>
          <w:p>
            <w:pPr>
              <w:pStyle w:val="TableContents"/>
              <w:bidi w:val="0"/>
              <w:spacing w:before="0" w:after="283"/>
              <w:jc w:val="left"/>
              <w:rPr/>
            </w:pPr>
            <w:r>
              <w:rPr/>
              <w:t> </w:t>
            </w:r>
            <w:bookmarkStart w:id="641" w:name="xdx_982_eus-gaap--PrincipalAmountOutstan"/>
            <w:bookmarkEnd w:id="641"/>
          </w:p>
        </w:tc>
        <w:tc>
          <w:tcPr>
            <w:tcW w:w="1147" w:type="dxa"/>
            <w:tcBorders/>
            <w:shd w:fill="EEEEEE" w:val="clear"/>
            <w:vAlign w:val="center"/>
          </w:tcPr>
          <w:p>
            <w:pPr>
              <w:pStyle w:val="TableContents"/>
              <w:bidi w:val="0"/>
              <w:spacing w:before="0" w:after="283"/>
              <w:jc w:val="right"/>
              <w:rPr/>
            </w:pPr>
            <w:r>
              <w:rPr/>
              <w:t>20,222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4" w:type="dxa"/>
            <w:tcBorders/>
            <w:shd w:fill="EEEEEE" w:val="clear"/>
            <w:vAlign w:val="center"/>
          </w:tcPr>
          <w:p>
            <w:pPr>
              <w:pStyle w:val="TableContents"/>
              <w:bidi w:val="0"/>
              <w:spacing w:before="0" w:after="283"/>
              <w:jc w:val="left"/>
              <w:rPr/>
            </w:pPr>
            <w:r>
              <w:rPr/>
              <w:t> </w:t>
            </w:r>
          </w:p>
        </w:tc>
        <w:tc>
          <w:tcPr>
            <w:tcW w:w="1216" w:type="dxa"/>
            <w:tcBorders/>
            <w:shd w:fill="EEEEEE" w:val="clear"/>
            <w:vAlign w:val="center"/>
          </w:tcPr>
          <w:p>
            <w:pPr>
              <w:pStyle w:val="TableContents"/>
              <w:bidi w:val="0"/>
              <w:spacing w:before="0" w:after="283"/>
              <w:jc w:val="right"/>
              <w:rPr/>
            </w:pPr>
            <w:bookmarkStart w:id="642" w:name="xdx_90C_eus-gaap--DebtWeightedAverageInt"/>
            <w:bookmarkEnd w:id="642"/>
            <w:r>
              <w:rPr/>
              <w:t>0.00</w:t>
            </w:r>
          </w:p>
        </w:tc>
        <w:tc>
          <w:tcPr>
            <w:tcW w:w="236" w:type="dxa"/>
            <w:tcBorders/>
            <w:shd w:fill="EEEEEE" w:val="clear"/>
            <w:vAlign w:val="center"/>
          </w:tcPr>
          <w:p>
            <w:pPr>
              <w:pStyle w:val="TableContents"/>
              <w:bidi w:val="0"/>
              <w:spacing w:before="0" w:after="283"/>
              <w:jc w:val="left"/>
              <w:rPr/>
            </w:pPr>
            <w:r>
              <w:rPr/>
              <w:t>%</w:t>
            </w:r>
          </w:p>
        </w:tc>
      </w:tr>
      <w:tr>
        <w:trPr/>
        <w:tc>
          <w:tcPr>
            <w:tcW w:w="1780" w:type="dxa"/>
            <w:tcBorders/>
            <w:shd w:fill="FFFFFF" w:val="clear"/>
            <w:vAlign w:val="center"/>
          </w:tcPr>
          <w:p>
            <w:pPr>
              <w:pStyle w:val="TableContents"/>
              <w:bidi w:val="0"/>
              <w:spacing w:before="0" w:after="283"/>
              <w:jc w:val="left"/>
              <w:rPr/>
            </w:pPr>
            <w:r>
              <w:rPr/>
              <w:t>CPS 2018-D</w:t>
            </w:r>
          </w:p>
        </w:tc>
        <w:tc>
          <w:tcPr>
            <w:tcW w:w="60" w:type="dxa"/>
            <w:tcBorders/>
            <w:shd w:fill="FFFFFF" w:val="clear"/>
            <w:vAlign w:val="center"/>
          </w:tcPr>
          <w:p>
            <w:pPr>
              <w:pStyle w:val="TableContents"/>
              <w:bidi w:val="0"/>
              <w:spacing w:before="0" w:after="283"/>
              <w:jc w:val="left"/>
              <w:rPr/>
            </w:pPr>
            <w:r>
              <w:rPr/>
              <w:t> </w:t>
            </w:r>
            <w:bookmarkStart w:id="643" w:name="xdx_98F_ecustom--FinalScheduledPaymentDa"/>
            <w:bookmarkEnd w:id="643"/>
          </w:p>
        </w:tc>
        <w:tc>
          <w:tcPr>
            <w:tcW w:w="1187" w:type="dxa"/>
            <w:tcBorders/>
            <w:shd w:fill="FFFFFF" w:val="clear"/>
            <w:vAlign w:val="center"/>
          </w:tcPr>
          <w:p>
            <w:pPr>
              <w:pStyle w:val="TableContents"/>
              <w:bidi w:val="0"/>
              <w:spacing w:before="0" w:after="283"/>
              <w:jc w:val="right"/>
              <w:rPr/>
            </w:pPr>
            <w:r>
              <w:rPr/>
              <w:t>June 2025</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bookmarkStart w:id="644" w:name="xdx_986_ecustom--ReceivablesPledged_iI_p"/>
            <w:bookmarkEnd w:id="644"/>
          </w:p>
        </w:tc>
        <w:tc>
          <w:tcPr>
            <w:tcW w:w="11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45" w:name="xdx_985_ecustom--SecuritizationTrustDebt"/>
            <w:bookmarkEnd w:id="645"/>
          </w:p>
        </w:tc>
        <w:tc>
          <w:tcPr>
            <w:tcW w:w="980" w:type="dxa"/>
            <w:tcBorders/>
            <w:shd w:fill="FFFFFF" w:val="clear"/>
            <w:vAlign w:val="center"/>
          </w:tcPr>
          <w:p>
            <w:pPr>
              <w:pStyle w:val="TableContents"/>
              <w:bidi w:val="0"/>
              <w:spacing w:before="0" w:after="283"/>
              <w:jc w:val="right"/>
              <w:rPr/>
            </w:pPr>
            <w:r>
              <w:rPr/>
              <w:t>233,730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bookmarkStart w:id="646" w:name="xdx_98A_eus-gaap--PrincipalAmountOutstan"/>
            <w:bookmarkEnd w:id="646"/>
          </w:p>
        </w:tc>
        <w:tc>
          <w:tcPr>
            <w:tcW w:w="11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bookmarkStart w:id="647" w:name="xdx_98D_eus-gaap--PrincipalAmountOutstan"/>
            <w:bookmarkEnd w:id="647"/>
          </w:p>
        </w:tc>
        <w:tc>
          <w:tcPr>
            <w:tcW w:w="1147" w:type="dxa"/>
            <w:tcBorders/>
            <w:shd w:fill="FFFFFF" w:val="clear"/>
            <w:vAlign w:val="center"/>
          </w:tcPr>
          <w:p>
            <w:pPr>
              <w:pStyle w:val="TableContents"/>
              <w:bidi w:val="0"/>
              <w:spacing w:before="0" w:after="283"/>
              <w:jc w:val="right"/>
              <w:rPr/>
            </w:pPr>
            <w:r>
              <w:rPr/>
              <w:t>25,563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bookmarkStart w:id="648" w:name="xdx_900_eus-gaap--DebtWeightedAverageInt"/>
            <w:bookmarkEnd w:id="648"/>
            <w:r>
              <w:rPr/>
              <w:t>0.00</w:t>
            </w:r>
          </w:p>
        </w:tc>
        <w:tc>
          <w:tcPr>
            <w:tcW w:w="236" w:type="dxa"/>
            <w:tcBorders/>
            <w:shd w:fill="FFFFFF" w:val="clear"/>
            <w:vAlign w:val="center"/>
          </w:tcPr>
          <w:p>
            <w:pPr>
              <w:pStyle w:val="TableContents"/>
              <w:bidi w:val="0"/>
              <w:spacing w:before="0" w:after="283"/>
              <w:jc w:val="left"/>
              <w:rPr/>
            </w:pPr>
            <w:r>
              <w:rPr/>
              <w:t>%</w:t>
            </w:r>
          </w:p>
        </w:tc>
      </w:tr>
      <w:tr>
        <w:trPr/>
        <w:tc>
          <w:tcPr>
            <w:tcW w:w="1780" w:type="dxa"/>
            <w:tcBorders/>
            <w:shd w:fill="EEEEEE" w:val="clear"/>
            <w:vAlign w:val="center"/>
          </w:tcPr>
          <w:p>
            <w:pPr>
              <w:pStyle w:val="TableContents"/>
              <w:bidi w:val="0"/>
              <w:spacing w:before="0" w:after="283"/>
              <w:jc w:val="left"/>
              <w:rPr/>
            </w:pPr>
            <w:r>
              <w:rPr/>
              <w:t>CPS 2019-A</w:t>
            </w:r>
          </w:p>
        </w:tc>
        <w:tc>
          <w:tcPr>
            <w:tcW w:w="60" w:type="dxa"/>
            <w:tcBorders/>
            <w:shd w:fill="EEEEEE" w:val="clear"/>
            <w:vAlign w:val="center"/>
          </w:tcPr>
          <w:p>
            <w:pPr>
              <w:pStyle w:val="TableContents"/>
              <w:bidi w:val="0"/>
              <w:spacing w:before="0" w:after="283"/>
              <w:jc w:val="left"/>
              <w:rPr/>
            </w:pPr>
            <w:r>
              <w:rPr/>
              <w:t> </w:t>
            </w:r>
            <w:bookmarkStart w:id="649" w:name="xdx_986_ecustom--FinalScheduledPaymentDa"/>
            <w:bookmarkEnd w:id="649"/>
          </w:p>
        </w:tc>
        <w:tc>
          <w:tcPr>
            <w:tcW w:w="1187" w:type="dxa"/>
            <w:tcBorders/>
            <w:shd w:fill="EEEEEE" w:val="clear"/>
            <w:vAlign w:val="center"/>
          </w:tcPr>
          <w:p>
            <w:pPr>
              <w:pStyle w:val="TableContents"/>
              <w:bidi w:val="0"/>
              <w:spacing w:before="0" w:after="283"/>
              <w:jc w:val="right"/>
              <w:rPr/>
            </w:pPr>
            <w:r>
              <w:rPr/>
              <w:t>March 2026</w:t>
            </w:r>
          </w:p>
        </w:tc>
        <w:tc>
          <w:tcPr>
            <w:tcW w:w="60" w:type="dxa"/>
            <w:tcBorders/>
            <w:shd w:fill="EEEEEE" w:val="clear"/>
            <w:vAlign w:val="center"/>
          </w:tcPr>
          <w:p>
            <w:pPr>
              <w:pStyle w:val="TableContents"/>
              <w:bidi w:val="0"/>
              <w:spacing w:before="0" w:after="283"/>
              <w:jc w:val="left"/>
              <w:rPr/>
            </w:pPr>
            <w:r>
              <w:rPr/>
              <w:t> </w:t>
            </w:r>
          </w:p>
        </w:tc>
        <w:tc>
          <w:tcPr>
            <w:tcW w:w="157" w:type="dxa"/>
            <w:tcBorders/>
            <w:shd w:fill="EEEEEE" w:val="clear"/>
            <w:vAlign w:val="center"/>
          </w:tcPr>
          <w:p>
            <w:pPr>
              <w:pStyle w:val="TableContents"/>
              <w:bidi w:val="0"/>
              <w:spacing w:before="0" w:after="283"/>
              <w:jc w:val="left"/>
              <w:rPr/>
            </w:pPr>
            <w:r>
              <w:rPr/>
              <w:t> </w:t>
            </w:r>
            <w:bookmarkStart w:id="650" w:name="xdx_98C_ecustom--ReceivablesPledged_iI_p"/>
            <w:bookmarkEnd w:id="650"/>
          </w:p>
        </w:tc>
        <w:tc>
          <w:tcPr>
            <w:tcW w:w="1110" w:type="dxa"/>
            <w:tcBorders/>
            <w:shd w:fill="EEEEEE" w:val="clear"/>
            <w:vAlign w:val="center"/>
          </w:tcPr>
          <w:p>
            <w:pPr>
              <w:pStyle w:val="TableContents"/>
              <w:bidi w:val="0"/>
              <w:spacing w:before="0" w:after="283"/>
              <w:jc w:val="right"/>
              <w:rPr/>
            </w:pPr>
            <w:r>
              <w:rPr/>
              <w:t>21,838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651" w:name="xdx_983_ecustom--SecuritizationTrustDebt"/>
            <w:bookmarkEnd w:id="651"/>
          </w:p>
        </w:tc>
        <w:tc>
          <w:tcPr>
            <w:tcW w:w="980" w:type="dxa"/>
            <w:tcBorders/>
            <w:shd w:fill="EEEEEE" w:val="clear"/>
            <w:vAlign w:val="center"/>
          </w:tcPr>
          <w:p>
            <w:pPr>
              <w:pStyle w:val="TableContents"/>
              <w:bidi w:val="0"/>
              <w:spacing w:before="0" w:after="283"/>
              <w:jc w:val="right"/>
              <w:rPr/>
            </w:pPr>
            <w:r>
              <w:rPr/>
              <w:t>254,400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bookmarkStart w:id="652" w:name="xdx_98C_eus-gaap--PrincipalAmountOutstan"/>
            <w:bookmarkEnd w:id="652"/>
          </w:p>
        </w:tc>
        <w:tc>
          <w:tcPr>
            <w:tcW w:w="1160" w:type="dxa"/>
            <w:tcBorders/>
            <w:shd w:fill="EEEEEE" w:val="clear"/>
            <w:vAlign w:val="center"/>
          </w:tcPr>
          <w:p>
            <w:pPr>
              <w:pStyle w:val="TableContents"/>
              <w:bidi w:val="0"/>
              <w:spacing w:before="0" w:after="283"/>
              <w:jc w:val="right"/>
              <w:rPr/>
            </w:pPr>
            <w:r>
              <w:rPr/>
              <w:t>16,739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3" w:type="dxa"/>
            <w:tcBorders/>
            <w:shd w:fill="EEEEEE" w:val="clear"/>
            <w:vAlign w:val="center"/>
          </w:tcPr>
          <w:p>
            <w:pPr>
              <w:pStyle w:val="TableContents"/>
              <w:bidi w:val="0"/>
              <w:spacing w:before="0" w:after="283"/>
              <w:jc w:val="left"/>
              <w:rPr/>
            </w:pPr>
            <w:r>
              <w:rPr/>
              <w:t> </w:t>
            </w:r>
            <w:bookmarkStart w:id="653" w:name="xdx_987_eus-gaap--PrincipalAmountOutstan"/>
            <w:bookmarkEnd w:id="653"/>
          </w:p>
        </w:tc>
        <w:tc>
          <w:tcPr>
            <w:tcW w:w="1147" w:type="dxa"/>
            <w:tcBorders/>
            <w:shd w:fill="EEEEEE" w:val="clear"/>
            <w:vAlign w:val="center"/>
          </w:tcPr>
          <w:p>
            <w:pPr>
              <w:pStyle w:val="TableContents"/>
              <w:bidi w:val="0"/>
              <w:spacing w:before="0" w:after="283"/>
              <w:jc w:val="right"/>
              <w:rPr/>
            </w:pPr>
            <w:r>
              <w:rPr/>
              <w:t>32,898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4" w:type="dxa"/>
            <w:tcBorders/>
            <w:shd w:fill="EEEEEE" w:val="clear"/>
            <w:vAlign w:val="center"/>
          </w:tcPr>
          <w:p>
            <w:pPr>
              <w:pStyle w:val="TableContents"/>
              <w:bidi w:val="0"/>
              <w:spacing w:before="0" w:after="283"/>
              <w:jc w:val="left"/>
              <w:rPr/>
            </w:pPr>
            <w:r>
              <w:rPr/>
              <w:t> </w:t>
            </w:r>
          </w:p>
        </w:tc>
        <w:tc>
          <w:tcPr>
            <w:tcW w:w="1216" w:type="dxa"/>
            <w:tcBorders/>
            <w:shd w:fill="EEEEEE" w:val="clear"/>
            <w:vAlign w:val="center"/>
          </w:tcPr>
          <w:p>
            <w:pPr>
              <w:pStyle w:val="TableContents"/>
              <w:bidi w:val="0"/>
              <w:spacing w:before="0" w:after="283"/>
              <w:jc w:val="right"/>
              <w:rPr/>
            </w:pPr>
            <w:bookmarkStart w:id="654" w:name="xdx_907_eus-gaap--DebtWeightedAverageInt"/>
            <w:bookmarkEnd w:id="654"/>
            <w:r>
              <w:rPr/>
              <w:t>5.81</w:t>
            </w:r>
          </w:p>
        </w:tc>
        <w:tc>
          <w:tcPr>
            <w:tcW w:w="236" w:type="dxa"/>
            <w:tcBorders/>
            <w:shd w:fill="EEEEEE" w:val="clear"/>
            <w:vAlign w:val="center"/>
          </w:tcPr>
          <w:p>
            <w:pPr>
              <w:pStyle w:val="TableContents"/>
              <w:bidi w:val="0"/>
              <w:spacing w:before="0" w:after="283"/>
              <w:jc w:val="left"/>
              <w:rPr/>
            </w:pPr>
            <w:r>
              <w:rPr/>
              <w:t>%</w:t>
            </w:r>
          </w:p>
        </w:tc>
      </w:tr>
      <w:tr>
        <w:trPr/>
        <w:tc>
          <w:tcPr>
            <w:tcW w:w="1780" w:type="dxa"/>
            <w:tcBorders/>
            <w:shd w:fill="FFFFFF" w:val="clear"/>
            <w:vAlign w:val="center"/>
          </w:tcPr>
          <w:p>
            <w:pPr>
              <w:pStyle w:val="TableContents"/>
              <w:bidi w:val="0"/>
              <w:spacing w:before="0" w:after="283"/>
              <w:jc w:val="left"/>
              <w:rPr/>
            </w:pPr>
            <w:r>
              <w:rPr/>
              <w:t>CPS 2019-B</w:t>
            </w:r>
          </w:p>
        </w:tc>
        <w:tc>
          <w:tcPr>
            <w:tcW w:w="60" w:type="dxa"/>
            <w:tcBorders/>
            <w:shd w:fill="FFFFFF" w:val="clear"/>
            <w:vAlign w:val="center"/>
          </w:tcPr>
          <w:p>
            <w:pPr>
              <w:pStyle w:val="TableContents"/>
              <w:bidi w:val="0"/>
              <w:spacing w:before="0" w:after="283"/>
              <w:jc w:val="left"/>
              <w:rPr/>
            </w:pPr>
            <w:r>
              <w:rPr/>
              <w:t> </w:t>
            </w:r>
            <w:bookmarkStart w:id="655" w:name="xdx_985_ecustom--FinalScheduledPaymentDa"/>
            <w:bookmarkEnd w:id="655"/>
          </w:p>
        </w:tc>
        <w:tc>
          <w:tcPr>
            <w:tcW w:w="1187" w:type="dxa"/>
            <w:tcBorders/>
            <w:shd w:fill="FFFFFF" w:val="clear"/>
            <w:vAlign w:val="center"/>
          </w:tcPr>
          <w:p>
            <w:pPr>
              <w:pStyle w:val="TableContents"/>
              <w:bidi w:val="0"/>
              <w:spacing w:before="0" w:after="283"/>
              <w:jc w:val="right"/>
              <w:rPr/>
            </w:pPr>
            <w:r>
              <w:rPr/>
              <w:t>June 2026</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bookmarkStart w:id="656" w:name="xdx_98F_ecustom--ReceivablesPledged_iI_p"/>
            <w:bookmarkEnd w:id="656"/>
          </w:p>
        </w:tc>
        <w:tc>
          <w:tcPr>
            <w:tcW w:w="1110" w:type="dxa"/>
            <w:tcBorders/>
            <w:shd w:fill="FFFFFF" w:val="clear"/>
            <w:vAlign w:val="center"/>
          </w:tcPr>
          <w:p>
            <w:pPr>
              <w:pStyle w:val="TableContents"/>
              <w:bidi w:val="0"/>
              <w:spacing w:before="0" w:after="283"/>
              <w:jc w:val="right"/>
              <w:rPr/>
            </w:pPr>
            <w:r>
              <w:rPr/>
              <w:t>24,211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57" w:name="xdx_982_ecustom--SecuritizationTrustDebt"/>
            <w:bookmarkEnd w:id="657"/>
          </w:p>
        </w:tc>
        <w:tc>
          <w:tcPr>
            <w:tcW w:w="980" w:type="dxa"/>
            <w:tcBorders/>
            <w:shd w:fill="FFFFFF" w:val="clear"/>
            <w:vAlign w:val="center"/>
          </w:tcPr>
          <w:p>
            <w:pPr>
              <w:pStyle w:val="TableContents"/>
              <w:bidi w:val="0"/>
              <w:spacing w:before="0" w:after="283"/>
              <w:jc w:val="right"/>
              <w:rPr/>
            </w:pPr>
            <w:r>
              <w:rPr/>
              <w:t>228,275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bookmarkStart w:id="658" w:name="xdx_987_eus-gaap--PrincipalAmountOutstan"/>
            <w:bookmarkEnd w:id="658"/>
          </w:p>
        </w:tc>
        <w:tc>
          <w:tcPr>
            <w:tcW w:w="1160" w:type="dxa"/>
            <w:tcBorders/>
            <w:shd w:fill="FFFFFF" w:val="clear"/>
            <w:vAlign w:val="center"/>
          </w:tcPr>
          <w:p>
            <w:pPr>
              <w:pStyle w:val="TableContents"/>
              <w:bidi w:val="0"/>
              <w:spacing w:before="0" w:after="283"/>
              <w:jc w:val="right"/>
              <w:rPr/>
            </w:pPr>
            <w:r>
              <w:rPr/>
              <w:t>19,935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bookmarkStart w:id="659" w:name="xdx_98D_eus-gaap--PrincipalAmountOutstan"/>
            <w:bookmarkEnd w:id="659"/>
          </w:p>
        </w:tc>
        <w:tc>
          <w:tcPr>
            <w:tcW w:w="1147" w:type="dxa"/>
            <w:tcBorders/>
            <w:shd w:fill="FFFFFF" w:val="clear"/>
            <w:vAlign w:val="center"/>
          </w:tcPr>
          <w:p>
            <w:pPr>
              <w:pStyle w:val="TableContents"/>
              <w:bidi w:val="0"/>
              <w:spacing w:before="0" w:after="283"/>
              <w:jc w:val="right"/>
              <w:rPr/>
            </w:pPr>
            <w:r>
              <w:rPr/>
              <w:t>33,897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bookmarkStart w:id="660" w:name="xdx_908_eus-gaap--DebtWeightedAverageInt"/>
            <w:bookmarkEnd w:id="660"/>
            <w:r>
              <w:rPr/>
              <w:t>5.82</w:t>
            </w:r>
          </w:p>
        </w:tc>
        <w:tc>
          <w:tcPr>
            <w:tcW w:w="236" w:type="dxa"/>
            <w:tcBorders/>
            <w:shd w:fill="FFFFFF" w:val="clear"/>
            <w:vAlign w:val="center"/>
          </w:tcPr>
          <w:p>
            <w:pPr>
              <w:pStyle w:val="TableContents"/>
              <w:bidi w:val="0"/>
              <w:spacing w:before="0" w:after="283"/>
              <w:jc w:val="left"/>
              <w:rPr/>
            </w:pPr>
            <w:r>
              <w:rPr/>
              <w:t>%</w:t>
            </w:r>
          </w:p>
        </w:tc>
      </w:tr>
      <w:tr>
        <w:trPr/>
        <w:tc>
          <w:tcPr>
            <w:tcW w:w="1780" w:type="dxa"/>
            <w:tcBorders/>
            <w:shd w:fill="EEEEEE" w:val="clear"/>
            <w:vAlign w:val="center"/>
          </w:tcPr>
          <w:p>
            <w:pPr>
              <w:pStyle w:val="TableContents"/>
              <w:bidi w:val="0"/>
              <w:spacing w:before="0" w:after="283"/>
              <w:jc w:val="left"/>
              <w:rPr/>
            </w:pPr>
            <w:r>
              <w:rPr/>
              <w:t>CPS 2019-C</w:t>
            </w:r>
          </w:p>
        </w:tc>
        <w:tc>
          <w:tcPr>
            <w:tcW w:w="60" w:type="dxa"/>
            <w:tcBorders/>
            <w:shd w:fill="EEEEEE" w:val="clear"/>
            <w:vAlign w:val="center"/>
          </w:tcPr>
          <w:p>
            <w:pPr>
              <w:pStyle w:val="TableContents"/>
              <w:bidi w:val="0"/>
              <w:spacing w:before="0" w:after="283"/>
              <w:jc w:val="left"/>
              <w:rPr/>
            </w:pPr>
            <w:r>
              <w:rPr/>
              <w:t> </w:t>
            </w:r>
            <w:bookmarkStart w:id="661" w:name="xdx_982_ecustom--FinalScheduledPaymentDa"/>
            <w:bookmarkEnd w:id="661"/>
          </w:p>
        </w:tc>
        <w:tc>
          <w:tcPr>
            <w:tcW w:w="1187" w:type="dxa"/>
            <w:tcBorders/>
            <w:shd w:fill="EEEEEE" w:val="clear"/>
            <w:vAlign w:val="center"/>
          </w:tcPr>
          <w:p>
            <w:pPr>
              <w:pStyle w:val="TableContents"/>
              <w:bidi w:val="0"/>
              <w:spacing w:before="0" w:after="283"/>
              <w:jc w:val="right"/>
              <w:rPr/>
            </w:pPr>
            <w:r>
              <w:rPr/>
              <w:t>September 2026</w:t>
            </w:r>
          </w:p>
        </w:tc>
        <w:tc>
          <w:tcPr>
            <w:tcW w:w="60" w:type="dxa"/>
            <w:tcBorders/>
            <w:shd w:fill="EEEEEE" w:val="clear"/>
            <w:vAlign w:val="center"/>
          </w:tcPr>
          <w:p>
            <w:pPr>
              <w:pStyle w:val="TableContents"/>
              <w:bidi w:val="0"/>
              <w:spacing w:before="0" w:after="283"/>
              <w:jc w:val="left"/>
              <w:rPr/>
            </w:pPr>
            <w:r>
              <w:rPr/>
              <w:t> </w:t>
            </w:r>
          </w:p>
        </w:tc>
        <w:tc>
          <w:tcPr>
            <w:tcW w:w="157" w:type="dxa"/>
            <w:tcBorders/>
            <w:shd w:fill="EEEEEE" w:val="clear"/>
            <w:vAlign w:val="center"/>
          </w:tcPr>
          <w:p>
            <w:pPr>
              <w:pStyle w:val="TableContents"/>
              <w:bidi w:val="0"/>
              <w:spacing w:before="0" w:after="283"/>
              <w:jc w:val="left"/>
              <w:rPr/>
            </w:pPr>
            <w:r>
              <w:rPr/>
              <w:t> </w:t>
            </w:r>
            <w:bookmarkStart w:id="662" w:name="xdx_986_ecustom--ReceivablesPledged_iI_p"/>
            <w:bookmarkEnd w:id="662"/>
          </w:p>
        </w:tc>
        <w:tc>
          <w:tcPr>
            <w:tcW w:w="1110" w:type="dxa"/>
            <w:tcBorders/>
            <w:shd w:fill="EEEEEE" w:val="clear"/>
            <w:vAlign w:val="center"/>
          </w:tcPr>
          <w:p>
            <w:pPr>
              <w:pStyle w:val="TableContents"/>
              <w:bidi w:val="0"/>
              <w:spacing w:before="0" w:after="283"/>
              <w:jc w:val="right"/>
              <w:rPr/>
            </w:pPr>
            <w:r>
              <w:rPr/>
              <w:t>29,160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663" w:name="xdx_985_ecustom--SecuritizationTrustDebt"/>
            <w:bookmarkEnd w:id="663"/>
          </w:p>
        </w:tc>
        <w:tc>
          <w:tcPr>
            <w:tcW w:w="980" w:type="dxa"/>
            <w:tcBorders/>
            <w:shd w:fill="EEEEEE" w:val="clear"/>
            <w:vAlign w:val="center"/>
          </w:tcPr>
          <w:p>
            <w:pPr>
              <w:pStyle w:val="TableContents"/>
              <w:bidi w:val="0"/>
              <w:spacing w:before="0" w:after="283"/>
              <w:jc w:val="right"/>
              <w:rPr/>
            </w:pPr>
            <w:r>
              <w:rPr/>
              <w:t>243,513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bookmarkStart w:id="664" w:name="xdx_983_eus-gaap--PrincipalAmountOutstan"/>
            <w:bookmarkEnd w:id="664"/>
          </w:p>
        </w:tc>
        <w:tc>
          <w:tcPr>
            <w:tcW w:w="1160" w:type="dxa"/>
            <w:tcBorders/>
            <w:shd w:fill="EEEEEE" w:val="clear"/>
            <w:vAlign w:val="center"/>
          </w:tcPr>
          <w:p>
            <w:pPr>
              <w:pStyle w:val="TableContents"/>
              <w:bidi w:val="0"/>
              <w:spacing w:before="0" w:after="283"/>
              <w:jc w:val="right"/>
              <w:rPr/>
            </w:pPr>
            <w:r>
              <w:rPr/>
              <w:t>24,635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3" w:type="dxa"/>
            <w:tcBorders/>
            <w:shd w:fill="EEEEEE" w:val="clear"/>
            <w:vAlign w:val="center"/>
          </w:tcPr>
          <w:p>
            <w:pPr>
              <w:pStyle w:val="TableContents"/>
              <w:bidi w:val="0"/>
              <w:spacing w:before="0" w:after="283"/>
              <w:jc w:val="left"/>
              <w:rPr/>
            </w:pPr>
            <w:r>
              <w:rPr/>
              <w:t> </w:t>
            </w:r>
            <w:bookmarkStart w:id="665" w:name="xdx_982_eus-gaap--PrincipalAmountOutstan"/>
            <w:bookmarkEnd w:id="665"/>
          </w:p>
        </w:tc>
        <w:tc>
          <w:tcPr>
            <w:tcW w:w="1147" w:type="dxa"/>
            <w:tcBorders/>
            <w:shd w:fill="EEEEEE" w:val="clear"/>
            <w:vAlign w:val="center"/>
          </w:tcPr>
          <w:p>
            <w:pPr>
              <w:pStyle w:val="TableContents"/>
              <w:bidi w:val="0"/>
              <w:spacing w:before="0" w:after="283"/>
              <w:jc w:val="right"/>
              <w:rPr/>
            </w:pPr>
            <w:r>
              <w:rPr/>
              <w:t>41,515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4" w:type="dxa"/>
            <w:tcBorders/>
            <w:shd w:fill="EEEEEE" w:val="clear"/>
            <w:vAlign w:val="center"/>
          </w:tcPr>
          <w:p>
            <w:pPr>
              <w:pStyle w:val="TableContents"/>
              <w:bidi w:val="0"/>
              <w:spacing w:before="0" w:after="283"/>
              <w:jc w:val="left"/>
              <w:rPr/>
            </w:pPr>
            <w:r>
              <w:rPr/>
              <w:t> </w:t>
            </w:r>
          </w:p>
        </w:tc>
        <w:tc>
          <w:tcPr>
            <w:tcW w:w="1216" w:type="dxa"/>
            <w:tcBorders/>
            <w:shd w:fill="EEEEEE" w:val="clear"/>
            <w:vAlign w:val="center"/>
          </w:tcPr>
          <w:p>
            <w:pPr>
              <w:pStyle w:val="TableContents"/>
              <w:bidi w:val="0"/>
              <w:spacing w:before="0" w:after="283"/>
              <w:jc w:val="right"/>
              <w:rPr/>
            </w:pPr>
            <w:bookmarkStart w:id="666" w:name="xdx_90F_eus-gaap--DebtWeightedAverageInt"/>
            <w:bookmarkEnd w:id="666"/>
            <w:r>
              <w:rPr/>
              <w:t>4.90</w:t>
            </w:r>
          </w:p>
        </w:tc>
        <w:tc>
          <w:tcPr>
            <w:tcW w:w="236" w:type="dxa"/>
            <w:tcBorders/>
            <w:shd w:fill="EEEEEE" w:val="clear"/>
            <w:vAlign w:val="center"/>
          </w:tcPr>
          <w:p>
            <w:pPr>
              <w:pStyle w:val="TableContents"/>
              <w:bidi w:val="0"/>
              <w:spacing w:before="0" w:after="283"/>
              <w:jc w:val="left"/>
              <w:rPr/>
            </w:pPr>
            <w:r>
              <w:rPr/>
              <w:t>%</w:t>
            </w:r>
          </w:p>
        </w:tc>
      </w:tr>
      <w:tr>
        <w:trPr/>
        <w:tc>
          <w:tcPr>
            <w:tcW w:w="1780" w:type="dxa"/>
            <w:tcBorders/>
            <w:shd w:fill="FFFFFF" w:val="clear"/>
            <w:vAlign w:val="center"/>
          </w:tcPr>
          <w:p>
            <w:pPr>
              <w:pStyle w:val="TableContents"/>
              <w:bidi w:val="0"/>
              <w:spacing w:before="0" w:after="283"/>
              <w:jc w:val="left"/>
              <w:rPr/>
            </w:pPr>
            <w:r>
              <w:rPr/>
              <w:t>CPS 2019-D</w:t>
            </w:r>
          </w:p>
        </w:tc>
        <w:tc>
          <w:tcPr>
            <w:tcW w:w="60" w:type="dxa"/>
            <w:tcBorders/>
            <w:shd w:fill="FFFFFF" w:val="clear"/>
            <w:vAlign w:val="center"/>
          </w:tcPr>
          <w:p>
            <w:pPr>
              <w:pStyle w:val="TableContents"/>
              <w:bidi w:val="0"/>
              <w:spacing w:before="0" w:after="283"/>
              <w:jc w:val="left"/>
              <w:rPr/>
            </w:pPr>
            <w:r>
              <w:rPr/>
              <w:t> </w:t>
            </w:r>
            <w:bookmarkStart w:id="667" w:name="xdx_982_ecustom--FinalScheduledPaymentDa"/>
            <w:bookmarkEnd w:id="667"/>
          </w:p>
        </w:tc>
        <w:tc>
          <w:tcPr>
            <w:tcW w:w="1187" w:type="dxa"/>
            <w:tcBorders/>
            <w:shd w:fill="FFFFFF" w:val="clear"/>
            <w:vAlign w:val="center"/>
          </w:tcPr>
          <w:p>
            <w:pPr>
              <w:pStyle w:val="TableContents"/>
              <w:bidi w:val="0"/>
              <w:spacing w:before="0" w:after="283"/>
              <w:jc w:val="right"/>
              <w:rPr/>
            </w:pPr>
            <w:r>
              <w:rPr/>
              <w:t>December 2026</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bookmarkStart w:id="668" w:name="xdx_987_ecustom--ReceivablesPledged_iI_p"/>
            <w:bookmarkEnd w:id="668"/>
          </w:p>
        </w:tc>
        <w:tc>
          <w:tcPr>
            <w:tcW w:w="1110" w:type="dxa"/>
            <w:tcBorders/>
            <w:shd w:fill="FFFFFF" w:val="clear"/>
            <w:vAlign w:val="center"/>
          </w:tcPr>
          <w:p>
            <w:pPr>
              <w:pStyle w:val="TableContents"/>
              <w:bidi w:val="0"/>
              <w:spacing w:before="0" w:after="283"/>
              <w:jc w:val="right"/>
              <w:rPr/>
            </w:pPr>
            <w:r>
              <w:rPr/>
              <w:t>38,268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69" w:name="xdx_984_ecustom--SecuritizationTrustDebt"/>
            <w:bookmarkEnd w:id="669"/>
          </w:p>
        </w:tc>
        <w:tc>
          <w:tcPr>
            <w:tcW w:w="980" w:type="dxa"/>
            <w:tcBorders/>
            <w:shd w:fill="FFFFFF" w:val="clear"/>
            <w:vAlign w:val="center"/>
          </w:tcPr>
          <w:p>
            <w:pPr>
              <w:pStyle w:val="TableContents"/>
              <w:bidi w:val="0"/>
              <w:spacing w:before="0" w:after="283"/>
              <w:jc w:val="right"/>
              <w:rPr/>
            </w:pPr>
            <w:r>
              <w:rPr/>
              <w:t>274,313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bookmarkStart w:id="670" w:name="xdx_980_eus-gaap--PrincipalAmountOutstan"/>
            <w:bookmarkEnd w:id="670"/>
          </w:p>
        </w:tc>
        <w:tc>
          <w:tcPr>
            <w:tcW w:w="1160" w:type="dxa"/>
            <w:tcBorders/>
            <w:shd w:fill="FFFFFF" w:val="clear"/>
            <w:vAlign w:val="center"/>
          </w:tcPr>
          <w:p>
            <w:pPr>
              <w:pStyle w:val="TableContents"/>
              <w:bidi w:val="0"/>
              <w:spacing w:before="0" w:after="283"/>
              <w:jc w:val="right"/>
              <w:rPr/>
            </w:pPr>
            <w:r>
              <w:rPr/>
              <w:t>33,693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bookmarkStart w:id="671" w:name="xdx_987_eus-gaap--PrincipalAmountOutstan"/>
            <w:bookmarkEnd w:id="671"/>
          </w:p>
        </w:tc>
        <w:tc>
          <w:tcPr>
            <w:tcW w:w="1147" w:type="dxa"/>
            <w:tcBorders/>
            <w:shd w:fill="FFFFFF" w:val="clear"/>
            <w:vAlign w:val="center"/>
          </w:tcPr>
          <w:p>
            <w:pPr>
              <w:pStyle w:val="TableContents"/>
              <w:bidi w:val="0"/>
              <w:spacing w:before="0" w:after="283"/>
              <w:jc w:val="right"/>
              <w:rPr/>
            </w:pPr>
            <w:r>
              <w:rPr/>
              <w:t>53,625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bookmarkStart w:id="672" w:name="xdx_90F_eus-gaap--DebtWeightedAverageInt"/>
            <w:bookmarkEnd w:id="672"/>
            <w:r>
              <w:rPr/>
              <w:t>4.28</w:t>
            </w:r>
          </w:p>
        </w:tc>
        <w:tc>
          <w:tcPr>
            <w:tcW w:w="236" w:type="dxa"/>
            <w:tcBorders/>
            <w:shd w:fill="FFFFFF" w:val="clear"/>
            <w:vAlign w:val="center"/>
          </w:tcPr>
          <w:p>
            <w:pPr>
              <w:pStyle w:val="TableContents"/>
              <w:bidi w:val="0"/>
              <w:spacing w:before="0" w:after="283"/>
              <w:jc w:val="left"/>
              <w:rPr/>
            </w:pPr>
            <w:r>
              <w:rPr/>
              <w:t>%</w:t>
            </w:r>
          </w:p>
        </w:tc>
      </w:tr>
      <w:tr>
        <w:trPr/>
        <w:tc>
          <w:tcPr>
            <w:tcW w:w="1780" w:type="dxa"/>
            <w:tcBorders/>
            <w:shd w:fill="EEEEEE" w:val="clear"/>
            <w:vAlign w:val="center"/>
          </w:tcPr>
          <w:p>
            <w:pPr>
              <w:pStyle w:val="TableContents"/>
              <w:bidi w:val="0"/>
              <w:spacing w:before="0" w:after="283"/>
              <w:jc w:val="left"/>
              <w:rPr/>
            </w:pPr>
            <w:r>
              <w:rPr/>
              <w:t>CPS 2020-A</w:t>
            </w:r>
          </w:p>
        </w:tc>
        <w:tc>
          <w:tcPr>
            <w:tcW w:w="60" w:type="dxa"/>
            <w:tcBorders/>
            <w:shd w:fill="EEEEEE" w:val="clear"/>
            <w:vAlign w:val="center"/>
          </w:tcPr>
          <w:p>
            <w:pPr>
              <w:pStyle w:val="TableContents"/>
              <w:bidi w:val="0"/>
              <w:spacing w:before="0" w:after="283"/>
              <w:jc w:val="left"/>
              <w:rPr/>
            </w:pPr>
            <w:r>
              <w:rPr/>
              <w:t> </w:t>
            </w:r>
            <w:bookmarkStart w:id="673" w:name="xdx_986_ecustom--FinalScheduledPaymentDa"/>
            <w:bookmarkEnd w:id="673"/>
          </w:p>
        </w:tc>
        <w:tc>
          <w:tcPr>
            <w:tcW w:w="1187" w:type="dxa"/>
            <w:tcBorders/>
            <w:shd w:fill="EEEEEE" w:val="clear"/>
            <w:vAlign w:val="center"/>
          </w:tcPr>
          <w:p>
            <w:pPr>
              <w:pStyle w:val="TableContents"/>
              <w:bidi w:val="0"/>
              <w:spacing w:before="0" w:after="283"/>
              <w:jc w:val="right"/>
              <w:rPr/>
            </w:pPr>
            <w:r>
              <w:rPr/>
              <w:t>March 2027</w:t>
            </w:r>
          </w:p>
        </w:tc>
        <w:tc>
          <w:tcPr>
            <w:tcW w:w="60" w:type="dxa"/>
            <w:tcBorders/>
            <w:shd w:fill="EEEEEE" w:val="clear"/>
            <w:vAlign w:val="center"/>
          </w:tcPr>
          <w:p>
            <w:pPr>
              <w:pStyle w:val="TableContents"/>
              <w:bidi w:val="0"/>
              <w:spacing w:before="0" w:after="283"/>
              <w:jc w:val="left"/>
              <w:rPr/>
            </w:pPr>
            <w:r>
              <w:rPr/>
              <w:t> </w:t>
            </w:r>
          </w:p>
        </w:tc>
        <w:tc>
          <w:tcPr>
            <w:tcW w:w="157" w:type="dxa"/>
            <w:tcBorders/>
            <w:shd w:fill="EEEEEE" w:val="clear"/>
            <w:vAlign w:val="center"/>
          </w:tcPr>
          <w:p>
            <w:pPr>
              <w:pStyle w:val="TableContents"/>
              <w:bidi w:val="0"/>
              <w:spacing w:before="0" w:after="283"/>
              <w:jc w:val="left"/>
              <w:rPr/>
            </w:pPr>
            <w:r>
              <w:rPr/>
              <w:t> </w:t>
            </w:r>
            <w:bookmarkStart w:id="674" w:name="xdx_98C_ecustom--ReceivablesPledged_iI_p"/>
            <w:bookmarkEnd w:id="674"/>
          </w:p>
        </w:tc>
        <w:tc>
          <w:tcPr>
            <w:tcW w:w="1110" w:type="dxa"/>
            <w:tcBorders/>
            <w:shd w:fill="EEEEEE" w:val="clear"/>
            <w:vAlign w:val="center"/>
          </w:tcPr>
          <w:p>
            <w:pPr>
              <w:pStyle w:val="TableContents"/>
              <w:bidi w:val="0"/>
              <w:spacing w:before="0" w:after="283"/>
              <w:jc w:val="right"/>
              <w:rPr/>
            </w:pPr>
            <w:r>
              <w:rPr/>
              <w:t>36,578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675" w:name="xdx_98C_ecustom--SecuritizationTrustDebt"/>
            <w:bookmarkEnd w:id="675"/>
          </w:p>
        </w:tc>
        <w:tc>
          <w:tcPr>
            <w:tcW w:w="980" w:type="dxa"/>
            <w:tcBorders/>
            <w:shd w:fill="EEEEEE" w:val="clear"/>
            <w:vAlign w:val="center"/>
          </w:tcPr>
          <w:p>
            <w:pPr>
              <w:pStyle w:val="TableContents"/>
              <w:bidi w:val="0"/>
              <w:spacing w:before="0" w:after="283"/>
              <w:jc w:val="right"/>
              <w:rPr/>
            </w:pPr>
            <w:r>
              <w:rPr/>
              <w:t>260,000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bookmarkStart w:id="676" w:name="xdx_98A_eus-gaap--PrincipalAmountOutstan"/>
            <w:bookmarkEnd w:id="676"/>
          </w:p>
        </w:tc>
        <w:tc>
          <w:tcPr>
            <w:tcW w:w="1160" w:type="dxa"/>
            <w:tcBorders/>
            <w:shd w:fill="EEEEEE" w:val="clear"/>
            <w:vAlign w:val="center"/>
          </w:tcPr>
          <w:p>
            <w:pPr>
              <w:pStyle w:val="TableContents"/>
              <w:bidi w:val="0"/>
              <w:spacing w:before="0" w:after="283"/>
              <w:jc w:val="right"/>
              <w:rPr/>
            </w:pPr>
            <w:r>
              <w:rPr/>
              <w:t>31,769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3" w:type="dxa"/>
            <w:tcBorders/>
            <w:shd w:fill="EEEEEE" w:val="clear"/>
            <w:vAlign w:val="center"/>
          </w:tcPr>
          <w:p>
            <w:pPr>
              <w:pStyle w:val="TableContents"/>
              <w:bidi w:val="0"/>
              <w:spacing w:before="0" w:after="283"/>
              <w:jc w:val="left"/>
              <w:rPr/>
            </w:pPr>
            <w:r>
              <w:rPr/>
              <w:t> </w:t>
            </w:r>
            <w:bookmarkStart w:id="677" w:name="xdx_981_eus-gaap--PrincipalAmountOutstan"/>
            <w:bookmarkEnd w:id="677"/>
          </w:p>
        </w:tc>
        <w:tc>
          <w:tcPr>
            <w:tcW w:w="1147" w:type="dxa"/>
            <w:tcBorders/>
            <w:shd w:fill="EEEEEE" w:val="clear"/>
            <w:vAlign w:val="center"/>
          </w:tcPr>
          <w:p>
            <w:pPr>
              <w:pStyle w:val="TableContents"/>
              <w:bidi w:val="0"/>
              <w:spacing w:before="0" w:after="283"/>
              <w:jc w:val="right"/>
              <w:rPr/>
            </w:pPr>
            <w:r>
              <w:rPr/>
              <w:t>52,705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4" w:type="dxa"/>
            <w:tcBorders/>
            <w:shd w:fill="EEEEEE" w:val="clear"/>
            <w:vAlign w:val="center"/>
          </w:tcPr>
          <w:p>
            <w:pPr>
              <w:pStyle w:val="TableContents"/>
              <w:bidi w:val="0"/>
              <w:spacing w:before="0" w:after="283"/>
              <w:jc w:val="left"/>
              <w:rPr/>
            </w:pPr>
            <w:r>
              <w:rPr/>
              <w:t> </w:t>
            </w:r>
          </w:p>
        </w:tc>
        <w:tc>
          <w:tcPr>
            <w:tcW w:w="1216" w:type="dxa"/>
            <w:tcBorders/>
            <w:shd w:fill="EEEEEE" w:val="clear"/>
            <w:vAlign w:val="center"/>
          </w:tcPr>
          <w:p>
            <w:pPr>
              <w:pStyle w:val="TableContents"/>
              <w:bidi w:val="0"/>
              <w:spacing w:before="0" w:after="283"/>
              <w:jc w:val="right"/>
              <w:rPr/>
            </w:pPr>
            <w:bookmarkStart w:id="678" w:name="xdx_903_eus-gaap--DebtWeightedAverageInt"/>
            <w:bookmarkEnd w:id="678"/>
            <w:r>
              <w:rPr/>
              <w:t>4.67</w:t>
            </w:r>
          </w:p>
        </w:tc>
        <w:tc>
          <w:tcPr>
            <w:tcW w:w="236" w:type="dxa"/>
            <w:tcBorders/>
            <w:shd w:fill="EEEEEE" w:val="clear"/>
            <w:vAlign w:val="center"/>
          </w:tcPr>
          <w:p>
            <w:pPr>
              <w:pStyle w:val="TableContents"/>
              <w:bidi w:val="0"/>
              <w:spacing w:before="0" w:after="283"/>
              <w:jc w:val="left"/>
              <w:rPr/>
            </w:pPr>
            <w:r>
              <w:rPr/>
              <w:t>%</w:t>
            </w:r>
          </w:p>
        </w:tc>
      </w:tr>
      <w:tr>
        <w:trPr/>
        <w:tc>
          <w:tcPr>
            <w:tcW w:w="1780" w:type="dxa"/>
            <w:tcBorders/>
            <w:shd w:fill="FFFFFF" w:val="clear"/>
            <w:vAlign w:val="center"/>
          </w:tcPr>
          <w:p>
            <w:pPr>
              <w:pStyle w:val="TableContents"/>
              <w:bidi w:val="0"/>
              <w:spacing w:before="0" w:after="283"/>
              <w:jc w:val="left"/>
              <w:rPr/>
            </w:pPr>
            <w:r>
              <w:rPr/>
              <w:t>CPS 2020-B</w:t>
            </w:r>
          </w:p>
        </w:tc>
        <w:tc>
          <w:tcPr>
            <w:tcW w:w="60" w:type="dxa"/>
            <w:tcBorders/>
            <w:shd w:fill="FFFFFF" w:val="clear"/>
            <w:vAlign w:val="center"/>
          </w:tcPr>
          <w:p>
            <w:pPr>
              <w:pStyle w:val="TableContents"/>
              <w:bidi w:val="0"/>
              <w:spacing w:before="0" w:after="283"/>
              <w:jc w:val="left"/>
              <w:rPr/>
            </w:pPr>
            <w:r>
              <w:rPr/>
              <w:t> </w:t>
            </w:r>
            <w:bookmarkStart w:id="679" w:name="xdx_980_ecustom--FinalScheduledPaymentDa"/>
            <w:bookmarkEnd w:id="679"/>
          </w:p>
        </w:tc>
        <w:tc>
          <w:tcPr>
            <w:tcW w:w="1187" w:type="dxa"/>
            <w:tcBorders/>
            <w:shd w:fill="FFFFFF" w:val="clear"/>
            <w:vAlign w:val="center"/>
          </w:tcPr>
          <w:p>
            <w:pPr>
              <w:pStyle w:val="TableContents"/>
              <w:bidi w:val="0"/>
              <w:spacing w:before="0" w:after="283"/>
              <w:jc w:val="right"/>
              <w:rPr/>
            </w:pPr>
            <w:r>
              <w:rPr/>
              <w:t>June 2027</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bookmarkStart w:id="680" w:name="xdx_987_ecustom--ReceivablesPledged_iI_p"/>
            <w:bookmarkEnd w:id="680"/>
          </w:p>
        </w:tc>
        <w:tc>
          <w:tcPr>
            <w:tcW w:w="1110" w:type="dxa"/>
            <w:tcBorders/>
            <w:shd w:fill="FFFFFF" w:val="clear"/>
            <w:vAlign w:val="center"/>
          </w:tcPr>
          <w:p>
            <w:pPr>
              <w:pStyle w:val="TableContents"/>
              <w:bidi w:val="0"/>
              <w:spacing w:before="0" w:after="283"/>
              <w:jc w:val="right"/>
              <w:rPr/>
            </w:pPr>
            <w:r>
              <w:rPr/>
              <w:t>42,170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81" w:name="xdx_98D_ecustom--SecuritizationTrustDebt"/>
            <w:bookmarkEnd w:id="681"/>
          </w:p>
        </w:tc>
        <w:tc>
          <w:tcPr>
            <w:tcW w:w="980" w:type="dxa"/>
            <w:tcBorders/>
            <w:shd w:fill="FFFFFF" w:val="clear"/>
            <w:vAlign w:val="center"/>
          </w:tcPr>
          <w:p>
            <w:pPr>
              <w:pStyle w:val="TableContents"/>
              <w:bidi w:val="0"/>
              <w:spacing w:before="0" w:after="283"/>
              <w:jc w:val="right"/>
              <w:rPr/>
            </w:pPr>
            <w:r>
              <w:rPr/>
              <w:t>202,343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bookmarkStart w:id="682" w:name="xdx_98F_eus-gaap--PrincipalAmountOutstan"/>
            <w:bookmarkEnd w:id="682"/>
          </w:p>
        </w:tc>
        <w:tc>
          <w:tcPr>
            <w:tcW w:w="1160" w:type="dxa"/>
            <w:tcBorders/>
            <w:shd w:fill="FFFFFF" w:val="clear"/>
            <w:vAlign w:val="center"/>
          </w:tcPr>
          <w:p>
            <w:pPr>
              <w:pStyle w:val="TableContents"/>
              <w:bidi w:val="0"/>
              <w:spacing w:before="0" w:after="283"/>
              <w:jc w:val="right"/>
              <w:rPr/>
            </w:pPr>
            <w:r>
              <w:rPr/>
              <w:t>27,649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bookmarkStart w:id="683" w:name="xdx_981_eus-gaap--PrincipalAmountOutstan"/>
            <w:bookmarkEnd w:id="683"/>
          </w:p>
        </w:tc>
        <w:tc>
          <w:tcPr>
            <w:tcW w:w="1147" w:type="dxa"/>
            <w:tcBorders/>
            <w:shd w:fill="FFFFFF" w:val="clear"/>
            <w:vAlign w:val="center"/>
          </w:tcPr>
          <w:p>
            <w:pPr>
              <w:pStyle w:val="TableContents"/>
              <w:bidi w:val="0"/>
              <w:spacing w:before="0" w:after="283"/>
              <w:jc w:val="right"/>
              <w:rPr/>
            </w:pPr>
            <w:r>
              <w:rPr/>
              <w:t>41,736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bookmarkStart w:id="684" w:name="xdx_905_eus-gaap--DebtWeightedAverageInt"/>
            <w:bookmarkEnd w:id="684"/>
            <w:r>
              <w:rPr/>
              <w:t>6.88</w:t>
            </w:r>
          </w:p>
        </w:tc>
        <w:tc>
          <w:tcPr>
            <w:tcW w:w="236" w:type="dxa"/>
            <w:tcBorders/>
            <w:shd w:fill="FFFFFF" w:val="clear"/>
            <w:vAlign w:val="center"/>
          </w:tcPr>
          <w:p>
            <w:pPr>
              <w:pStyle w:val="TableContents"/>
              <w:bidi w:val="0"/>
              <w:spacing w:before="0" w:after="283"/>
              <w:jc w:val="left"/>
              <w:rPr/>
            </w:pPr>
            <w:r>
              <w:rPr/>
              <w:t>%</w:t>
            </w:r>
          </w:p>
        </w:tc>
      </w:tr>
      <w:tr>
        <w:trPr/>
        <w:tc>
          <w:tcPr>
            <w:tcW w:w="1780" w:type="dxa"/>
            <w:tcBorders/>
            <w:shd w:fill="EEEEEE" w:val="clear"/>
            <w:vAlign w:val="center"/>
          </w:tcPr>
          <w:p>
            <w:pPr>
              <w:pStyle w:val="TableContents"/>
              <w:bidi w:val="0"/>
              <w:spacing w:before="0" w:after="283"/>
              <w:jc w:val="left"/>
              <w:rPr/>
            </w:pPr>
            <w:r>
              <w:rPr/>
              <w:t>CPS 2020-C</w:t>
            </w:r>
          </w:p>
        </w:tc>
        <w:tc>
          <w:tcPr>
            <w:tcW w:w="60" w:type="dxa"/>
            <w:tcBorders/>
            <w:shd w:fill="EEEEEE" w:val="clear"/>
            <w:vAlign w:val="center"/>
          </w:tcPr>
          <w:p>
            <w:pPr>
              <w:pStyle w:val="TableContents"/>
              <w:bidi w:val="0"/>
              <w:spacing w:before="0" w:after="283"/>
              <w:jc w:val="left"/>
              <w:rPr/>
            </w:pPr>
            <w:r>
              <w:rPr/>
              <w:t> </w:t>
            </w:r>
            <w:bookmarkStart w:id="685" w:name="xdx_98C_ecustom--FinalScheduledPaymentDa"/>
            <w:bookmarkEnd w:id="685"/>
          </w:p>
        </w:tc>
        <w:tc>
          <w:tcPr>
            <w:tcW w:w="1187" w:type="dxa"/>
            <w:tcBorders/>
            <w:shd w:fill="EEEEEE" w:val="clear"/>
            <w:vAlign w:val="center"/>
          </w:tcPr>
          <w:p>
            <w:pPr>
              <w:pStyle w:val="TableContents"/>
              <w:bidi w:val="0"/>
              <w:spacing w:before="0" w:after="283"/>
              <w:jc w:val="right"/>
              <w:rPr/>
            </w:pPr>
            <w:r>
              <w:rPr/>
              <w:t>November 2027</w:t>
            </w:r>
          </w:p>
        </w:tc>
        <w:tc>
          <w:tcPr>
            <w:tcW w:w="60" w:type="dxa"/>
            <w:tcBorders/>
            <w:shd w:fill="EEEEEE" w:val="clear"/>
            <w:vAlign w:val="center"/>
          </w:tcPr>
          <w:p>
            <w:pPr>
              <w:pStyle w:val="TableContents"/>
              <w:bidi w:val="0"/>
              <w:spacing w:before="0" w:after="283"/>
              <w:jc w:val="left"/>
              <w:rPr/>
            </w:pPr>
            <w:r>
              <w:rPr/>
              <w:t> </w:t>
            </w:r>
          </w:p>
        </w:tc>
        <w:tc>
          <w:tcPr>
            <w:tcW w:w="157" w:type="dxa"/>
            <w:tcBorders/>
            <w:shd w:fill="EEEEEE" w:val="clear"/>
            <w:vAlign w:val="center"/>
          </w:tcPr>
          <w:p>
            <w:pPr>
              <w:pStyle w:val="TableContents"/>
              <w:bidi w:val="0"/>
              <w:spacing w:before="0" w:after="283"/>
              <w:jc w:val="left"/>
              <w:rPr/>
            </w:pPr>
            <w:r>
              <w:rPr/>
              <w:t> </w:t>
            </w:r>
            <w:bookmarkStart w:id="686" w:name="xdx_987_ecustom--ReceivablesPledged_iI_p"/>
            <w:bookmarkEnd w:id="686"/>
          </w:p>
        </w:tc>
        <w:tc>
          <w:tcPr>
            <w:tcW w:w="1110" w:type="dxa"/>
            <w:tcBorders/>
            <w:shd w:fill="EEEEEE" w:val="clear"/>
            <w:vAlign w:val="center"/>
          </w:tcPr>
          <w:p>
            <w:pPr>
              <w:pStyle w:val="TableContents"/>
              <w:bidi w:val="0"/>
              <w:spacing w:before="0" w:after="283"/>
              <w:jc w:val="right"/>
              <w:rPr/>
            </w:pPr>
            <w:r>
              <w:rPr/>
              <w:t>58,424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687" w:name="xdx_98A_ecustom--SecuritizationTrustDebt"/>
            <w:bookmarkEnd w:id="687"/>
          </w:p>
        </w:tc>
        <w:tc>
          <w:tcPr>
            <w:tcW w:w="980" w:type="dxa"/>
            <w:tcBorders/>
            <w:shd w:fill="EEEEEE" w:val="clear"/>
            <w:vAlign w:val="center"/>
          </w:tcPr>
          <w:p>
            <w:pPr>
              <w:pStyle w:val="TableContents"/>
              <w:bidi w:val="0"/>
              <w:spacing w:before="0" w:after="283"/>
              <w:jc w:val="right"/>
              <w:rPr/>
            </w:pPr>
            <w:r>
              <w:rPr/>
              <w:t>252,200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bookmarkStart w:id="688" w:name="xdx_985_eus-gaap--PrincipalAmountOutstan"/>
            <w:bookmarkEnd w:id="688"/>
          </w:p>
        </w:tc>
        <w:tc>
          <w:tcPr>
            <w:tcW w:w="1160" w:type="dxa"/>
            <w:tcBorders/>
            <w:shd w:fill="EEEEEE" w:val="clear"/>
            <w:vAlign w:val="center"/>
          </w:tcPr>
          <w:p>
            <w:pPr>
              <w:pStyle w:val="TableContents"/>
              <w:bidi w:val="0"/>
              <w:spacing w:before="0" w:after="283"/>
              <w:jc w:val="right"/>
              <w:rPr/>
            </w:pPr>
            <w:r>
              <w:rPr/>
              <w:t>49,298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3" w:type="dxa"/>
            <w:tcBorders/>
            <w:shd w:fill="EEEEEE" w:val="clear"/>
            <w:vAlign w:val="center"/>
          </w:tcPr>
          <w:p>
            <w:pPr>
              <w:pStyle w:val="TableContents"/>
              <w:bidi w:val="0"/>
              <w:spacing w:before="0" w:after="283"/>
              <w:jc w:val="left"/>
              <w:rPr/>
            </w:pPr>
            <w:r>
              <w:rPr/>
              <w:t> </w:t>
            </w:r>
            <w:bookmarkStart w:id="689" w:name="xdx_98D_eus-gaap--PrincipalAmountOutstan"/>
            <w:bookmarkEnd w:id="689"/>
          </w:p>
        </w:tc>
        <w:tc>
          <w:tcPr>
            <w:tcW w:w="1147" w:type="dxa"/>
            <w:tcBorders/>
            <w:shd w:fill="EEEEEE" w:val="clear"/>
            <w:vAlign w:val="center"/>
          </w:tcPr>
          <w:p>
            <w:pPr>
              <w:pStyle w:val="TableContents"/>
              <w:bidi w:val="0"/>
              <w:spacing w:before="0" w:after="283"/>
              <w:jc w:val="right"/>
              <w:rPr/>
            </w:pPr>
            <w:r>
              <w:rPr/>
              <w:t>72,894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4" w:type="dxa"/>
            <w:tcBorders/>
            <w:shd w:fill="EEEEEE" w:val="clear"/>
            <w:vAlign w:val="center"/>
          </w:tcPr>
          <w:p>
            <w:pPr>
              <w:pStyle w:val="TableContents"/>
              <w:bidi w:val="0"/>
              <w:spacing w:before="0" w:after="283"/>
              <w:jc w:val="left"/>
              <w:rPr/>
            </w:pPr>
            <w:r>
              <w:rPr/>
              <w:t> </w:t>
            </w:r>
          </w:p>
        </w:tc>
        <w:tc>
          <w:tcPr>
            <w:tcW w:w="1216" w:type="dxa"/>
            <w:tcBorders/>
            <w:shd w:fill="EEEEEE" w:val="clear"/>
            <w:vAlign w:val="center"/>
          </w:tcPr>
          <w:p>
            <w:pPr>
              <w:pStyle w:val="TableContents"/>
              <w:bidi w:val="0"/>
              <w:spacing w:before="0" w:after="283"/>
              <w:jc w:val="right"/>
              <w:rPr/>
            </w:pPr>
            <w:bookmarkStart w:id="690" w:name="xdx_901_eus-gaap--DebtWeightedAverageInt"/>
            <w:bookmarkEnd w:id="690"/>
            <w:r>
              <w:rPr/>
              <w:t>3.81</w:t>
            </w:r>
          </w:p>
        </w:tc>
        <w:tc>
          <w:tcPr>
            <w:tcW w:w="236" w:type="dxa"/>
            <w:tcBorders/>
            <w:shd w:fill="EEEEEE" w:val="clear"/>
            <w:vAlign w:val="center"/>
          </w:tcPr>
          <w:p>
            <w:pPr>
              <w:pStyle w:val="TableContents"/>
              <w:bidi w:val="0"/>
              <w:spacing w:before="0" w:after="283"/>
              <w:jc w:val="left"/>
              <w:rPr/>
            </w:pPr>
            <w:r>
              <w:rPr/>
              <w:t>%</w:t>
            </w:r>
          </w:p>
        </w:tc>
      </w:tr>
      <w:tr>
        <w:trPr/>
        <w:tc>
          <w:tcPr>
            <w:tcW w:w="1780" w:type="dxa"/>
            <w:tcBorders/>
            <w:shd w:fill="FFFFFF" w:val="clear"/>
            <w:vAlign w:val="center"/>
          </w:tcPr>
          <w:p>
            <w:pPr>
              <w:pStyle w:val="TableContents"/>
              <w:bidi w:val="0"/>
              <w:spacing w:before="0" w:after="283"/>
              <w:jc w:val="left"/>
              <w:rPr/>
            </w:pPr>
            <w:r>
              <w:rPr/>
              <w:t>CPS 2021-A</w:t>
            </w:r>
          </w:p>
        </w:tc>
        <w:tc>
          <w:tcPr>
            <w:tcW w:w="60" w:type="dxa"/>
            <w:tcBorders/>
            <w:shd w:fill="FFFFFF" w:val="clear"/>
            <w:vAlign w:val="center"/>
          </w:tcPr>
          <w:p>
            <w:pPr>
              <w:pStyle w:val="TableContents"/>
              <w:bidi w:val="0"/>
              <w:spacing w:before="0" w:after="283"/>
              <w:jc w:val="left"/>
              <w:rPr/>
            </w:pPr>
            <w:r>
              <w:rPr/>
              <w:t> </w:t>
            </w:r>
            <w:bookmarkStart w:id="691" w:name="xdx_984_ecustom--FinalScheduledPaymentDa"/>
            <w:bookmarkEnd w:id="691"/>
          </w:p>
        </w:tc>
        <w:tc>
          <w:tcPr>
            <w:tcW w:w="1187" w:type="dxa"/>
            <w:tcBorders/>
            <w:shd w:fill="FFFFFF" w:val="clear"/>
            <w:vAlign w:val="center"/>
          </w:tcPr>
          <w:p>
            <w:pPr>
              <w:pStyle w:val="TableContents"/>
              <w:bidi w:val="0"/>
              <w:spacing w:before="0" w:after="283"/>
              <w:jc w:val="right"/>
              <w:rPr/>
            </w:pPr>
            <w:r>
              <w:rPr/>
              <w:t>March 2028</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bookmarkStart w:id="692" w:name="xdx_981_ecustom--ReceivablesPledged_iI_p"/>
            <w:bookmarkEnd w:id="692"/>
          </w:p>
        </w:tc>
        <w:tc>
          <w:tcPr>
            <w:tcW w:w="1110" w:type="dxa"/>
            <w:tcBorders/>
            <w:shd w:fill="FFFFFF" w:val="clear"/>
            <w:vAlign w:val="center"/>
          </w:tcPr>
          <w:p>
            <w:pPr>
              <w:pStyle w:val="TableContents"/>
              <w:bidi w:val="0"/>
              <w:spacing w:before="0" w:after="283"/>
              <w:jc w:val="right"/>
              <w:rPr/>
            </w:pPr>
            <w:r>
              <w:rPr/>
              <w:t>62,378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93" w:name="xdx_98D_ecustom--SecuritizationTrustDebt"/>
            <w:bookmarkEnd w:id="693"/>
          </w:p>
        </w:tc>
        <w:tc>
          <w:tcPr>
            <w:tcW w:w="980" w:type="dxa"/>
            <w:tcBorders/>
            <w:shd w:fill="FFFFFF" w:val="clear"/>
            <w:vAlign w:val="center"/>
          </w:tcPr>
          <w:p>
            <w:pPr>
              <w:pStyle w:val="TableContents"/>
              <w:bidi w:val="0"/>
              <w:spacing w:before="0" w:after="283"/>
              <w:jc w:val="right"/>
              <w:rPr/>
            </w:pPr>
            <w:r>
              <w:rPr/>
              <w:t>230,545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bookmarkStart w:id="694" w:name="xdx_98F_eus-gaap--PrincipalAmountOutstan"/>
            <w:bookmarkEnd w:id="694"/>
          </w:p>
        </w:tc>
        <w:tc>
          <w:tcPr>
            <w:tcW w:w="1160" w:type="dxa"/>
            <w:tcBorders/>
            <w:shd w:fill="FFFFFF" w:val="clear"/>
            <w:vAlign w:val="center"/>
          </w:tcPr>
          <w:p>
            <w:pPr>
              <w:pStyle w:val="TableContents"/>
              <w:bidi w:val="0"/>
              <w:spacing w:before="0" w:after="283"/>
              <w:jc w:val="right"/>
              <w:rPr/>
            </w:pPr>
            <w:r>
              <w:rPr/>
              <w:t>44,128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bookmarkStart w:id="695" w:name="xdx_989_eus-gaap--PrincipalAmountOutstan"/>
            <w:bookmarkEnd w:id="695"/>
          </w:p>
        </w:tc>
        <w:tc>
          <w:tcPr>
            <w:tcW w:w="1147" w:type="dxa"/>
            <w:tcBorders/>
            <w:shd w:fill="FFFFFF" w:val="clear"/>
            <w:vAlign w:val="center"/>
          </w:tcPr>
          <w:p>
            <w:pPr>
              <w:pStyle w:val="TableContents"/>
              <w:bidi w:val="0"/>
              <w:spacing w:before="0" w:after="283"/>
              <w:jc w:val="right"/>
              <w:rPr/>
            </w:pPr>
            <w:r>
              <w:rPr/>
              <w:t>72,076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bookmarkStart w:id="696" w:name="xdx_908_eus-gaap--DebtWeightedAverageInt"/>
            <w:bookmarkEnd w:id="696"/>
            <w:r>
              <w:rPr/>
              <w:t>1.74</w:t>
            </w:r>
          </w:p>
        </w:tc>
        <w:tc>
          <w:tcPr>
            <w:tcW w:w="236" w:type="dxa"/>
            <w:tcBorders/>
            <w:shd w:fill="FFFFFF" w:val="clear"/>
            <w:vAlign w:val="center"/>
          </w:tcPr>
          <w:p>
            <w:pPr>
              <w:pStyle w:val="TableContents"/>
              <w:bidi w:val="0"/>
              <w:spacing w:before="0" w:after="283"/>
              <w:jc w:val="left"/>
              <w:rPr/>
            </w:pPr>
            <w:r>
              <w:rPr/>
              <w:t>%</w:t>
            </w:r>
          </w:p>
        </w:tc>
      </w:tr>
      <w:tr>
        <w:trPr/>
        <w:tc>
          <w:tcPr>
            <w:tcW w:w="1780" w:type="dxa"/>
            <w:tcBorders/>
            <w:shd w:fill="EEEEEE" w:val="clear"/>
            <w:vAlign w:val="center"/>
          </w:tcPr>
          <w:p>
            <w:pPr>
              <w:pStyle w:val="TableContents"/>
              <w:bidi w:val="0"/>
              <w:spacing w:before="0" w:after="283"/>
              <w:jc w:val="left"/>
              <w:rPr/>
            </w:pPr>
            <w:r>
              <w:rPr/>
              <w:t>CPS 2021-B</w:t>
            </w:r>
          </w:p>
        </w:tc>
        <w:tc>
          <w:tcPr>
            <w:tcW w:w="60" w:type="dxa"/>
            <w:tcBorders/>
            <w:shd w:fill="EEEEEE" w:val="clear"/>
            <w:vAlign w:val="center"/>
          </w:tcPr>
          <w:p>
            <w:pPr>
              <w:pStyle w:val="TableContents"/>
              <w:bidi w:val="0"/>
              <w:spacing w:before="0" w:after="283"/>
              <w:jc w:val="left"/>
              <w:rPr/>
            </w:pPr>
            <w:r>
              <w:rPr/>
              <w:t> </w:t>
            </w:r>
            <w:bookmarkStart w:id="697" w:name="xdx_981_ecustom--FinalScheduledPaymentDa"/>
            <w:bookmarkEnd w:id="697"/>
          </w:p>
        </w:tc>
        <w:tc>
          <w:tcPr>
            <w:tcW w:w="1187" w:type="dxa"/>
            <w:tcBorders/>
            <w:shd w:fill="EEEEEE" w:val="clear"/>
            <w:vAlign w:val="center"/>
          </w:tcPr>
          <w:p>
            <w:pPr>
              <w:pStyle w:val="TableContents"/>
              <w:bidi w:val="0"/>
              <w:spacing w:before="0" w:after="283"/>
              <w:jc w:val="right"/>
              <w:rPr/>
            </w:pPr>
            <w:r>
              <w:rPr/>
              <w:t>June 2028</w:t>
            </w:r>
          </w:p>
        </w:tc>
        <w:tc>
          <w:tcPr>
            <w:tcW w:w="60" w:type="dxa"/>
            <w:tcBorders/>
            <w:shd w:fill="EEEEEE" w:val="clear"/>
            <w:vAlign w:val="center"/>
          </w:tcPr>
          <w:p>
            <w:pPr>
              <w:pStyle w:val="TableContents"/>
              <w:bidi w:val="0"/>
              <w:spacing w:before="0" w:after="283"/>
              <w:jc w:val="left"/>
              <w:rPr/>
            </w:pPr>
            <w:r>
              <w:rPr/>
              <w:t> </w:t>
            </w:r>
          </w:p>
        </w:tc>
        <w:tc>
          <w:tcPr>
            <w:tcW w:w="157" w:type="dxa"/>
            <w:tcBorders/>
            <w:shd w:fill="EEEEEE" w:val="clear"/>
            <w:vAlign w:val="center"/>
          </w:tcPr>
          <w:p>
            <w:pPr>
              <w:pStyle w:val="TableContents"/>
              <w:bidi w:val="0"/>
              <w:spacing w:before="0" w:after="283"/>
              <w:jc w:val="left"/>
              <w:rPr/>
            </w:pPr>
            <w:r>
              <w:rPr/>
              <w:t> </w:t>
            </w:r>
            <w:bookmarkStart w:id="698" w:name="xdx_982_ecustom--ReceivablesPledged_iI_p"/>
            <w:bookmarkEnd w:id="698"/>
          </w:p>
        </w:tc>
        <w:tc>
          <w:tcPr>
            <w:tcW w:w="1110" w:type="dxa"/>
            <w:tcBorders/>
            <w:shd w:fill="EEEEEE" w:val="clear"/>
            <w:vAlign w:val="center"/>
          </w:tcPr>
          <w:p>
            <w:pPr>
              <w:pStyle w:val="TableContents"/>
              <w:bidi w:val="0"/>
              <w:spacing w:before="0" w:after="283"/>
              <w:jc w:val="right"/>
              <w:rPr/>
            </w:pPr>
            <w:r>
              <w:rPr/>
              <w:t>78,721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699" w:name="xdx_98A_ecustom--SecuritizationTrustDebt"/>
            <w:bookmarkEnd w:id="699"/>
          </w:p>
        </w:tc>
        <w:tc>
          <w:tcPr>
            <w:tcW w:w="980" w:type="dxa"/>
            <w:tcBorders/>
            <w:shd w:fill="EEEEEE" w:val="clear"/>
            <w:vAlign w:val="center"/>
          </w:tcPr>
          <w:p>
            <w:pPr>
              <w:pStyle w:val="TableContents"/>
              <w:bidi w:val="0"/>
              <w:spacing w:before="0" w:after="283"/>
              <w:jc w:val="right"/>
              <w:rPr/>
            </w:pPr>
            <w:r>
              <w:rPr/>
              <w:t>240,000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bookmarkStart w:id="700" w:name="xdx_980_eus-gaap--PrincipalAmountOutstan"/>
            <w:bookmarkEnd w:id="700"/>
          </w:p>
        </w:tc>
        <w:tc>
          <w:tcPr>
            <w:tcW w:w="1160" w:type="dxa"/>
            <w:tcBorders/>
            <w:shd w:fill="EEEEEE" w:val="clear"/>
            <w:vAlign w:val="center"/>
          </w:tcPr>
          <w:p>
            <w:pPr>
              <w:pStyle w:val="TableContents"/>
              <w:bidi w:val="0"/>
              <w:spacing w:before="0" w:after="283"/>
              <w:jc w:val="right"/>
              <w:rPr/>
            </w:pPr>
            <w:r>
              <w:rPr/>
              <w:t>65,432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3" w:type="dxa"/>
            <w:tcBorders/>
            <w:shd w:fill="EEEEEE" w:val="clear"/>
            <w:vAlign w:val="center"/>
          </w:tcPr>
          <w:p>
            <w:pPr>
              <w:pStyle w:val="TableContents"/>
              <w:bidi w:val="0"/>
              <w:spacing w:before="0" w:after="283"/>
              <w:jc w:val="left"/>
              <w:rPr/>
            </w:pPr>
            <w:r>
              <w:rPr/>
              <w:t> </w:t>
            </w:r>
            <w:bookmarkStart w:id="701" w:name="xdx_98D_eus-gaap--PrincipalAmountOutstan"/>
            <w:bookmarkEnd w:id="701"/>
          </w:p>
        </w:tc>
        <w:tc>
          <w:tcPr>
            <w:tcW w:w="1147" w:type="dxa"/>
            <w:tcBorders/>
            <w:shd w:fill="EEEEEE" w:val="clear"/>
            <w:vAlign w:val="center"/>
          </w:tcPr>
          <w:p>
            <w:pPr>
              <w:pStyle w:val="TableContents"/>
              <w:bidi w:val="0"/>
              <w:spacing w:before="0" w:after="283"/>
              <w:jc w:val="right"/>
              <w:rPr/>
            </w:pPr>
            <w:r>
              <w:rPr/>
              <w:t>101,206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4" w:type="dxa"/>
            <w:tcBorders/>
            <w:shd w:fill="EEEEEE" w:val="clear"/>
            <w:vAlign w:val="center"/>
          </w:tcPr>
          <w:p>
            <w:pPr>
              <w:pStyle w:val="TableContents"/>
              <w:bidi w:val="0"/>
              <w:spacing w:before="0" w:after="283"/>
              <w:jc w:val="left"/>
              <w:rPr/>
            </w:pPr>
            <w:r>
              <w:rPr/>
              <w:t> </w:t>
            </w:r>
          </w:p>
        </w:tc>
        <w:tc>
          <w:tcPr>
            <w:tcW w:w="1216" w:type="dxa"/>
            <w:tcBorders/>
            <w:shd w:fill="EEEEEE" w:val="clear"/>
            <w:vAlign w:val="center"/>
          </w:tcPr>
          <w:p>
            <w:pPr>
              <w:pStyle w:val="TableContents"/>
              <w:bidi w:val="0"/>
              <w:spacing w:before="0" w:after="283"/>
              <w:jc w:val="right"/>
              <w:rPr/>
            </w:pPr>
            <w:bookmarkStart w:id="702" w:name="xdx_90F_eus-gaap--DebtWeightedAverageInt"/>
            <w:bookmarkEnd w:id="702"/>
            <w:r>
              <w:rPr/>
              <w:t>2.31</w:t>
            </w:r>
          </w:p>
        </w:tc>
        <w:tc>
          <w:tcPr>
            <w:tcW w:w="236" w:type="dxa"/>
            <w:tcBorders/>
            <w:shd w:fill="EEEEEE" w:val="clear"/>
            <w:vAlign w:val="center"/>
          </w:tcPr>
          <w:p>
            <w:pPr>
              <w:pStyle w:val="TableContents"/>
              <w:bidi w:val="0"/>
              <w:spacing w:before="0" w:after="283"/>
              <w:jc w:val="left"/>
              <w:rPr/>
            </w:pPr>
            <w:r>
              <w:rPr/>
              <w:t>%</w:t>
            </w:r>
          </w:p>
        </w:tc>
      </w:tr>
      <w:tr>
        <w:trPr/>
        <w:tc>
          <w:tcPr>
            <w:tcW w:w="1780" w:type="dxa"/>
            <w:tcBorders/>
            <w:shd w:fill="FFFFFF" w:val="clear"/>
            <w:vAlign w:val="center"/>
          </w:tcPr>
          <w:p>
            <w:pPr>
              <w:pStyle w:val="TableContents"/>
              <w:bidi w:val="0"/>
              <w:spacing w:before="0" w:after="283"/>
              <w:jc w:val="left"/>
              <w:rPr/>
            </w:pPr>
            <w:r>
              <w:rPr/>
              <w:t>CPS 2021-C</w:t>
            </w:r>
          </w:p>
        </w:tc>
        <w:tc>
          <w:tcPr>
            <w:tcW w:w="60" w:type="dxa"/>
            <w:tcBorders/>
            <w:shd w:fill="FFFFFF" w:val="clear"/>
            <w:vAlign w:val="center"/>
          </w:tcPr>
          <w:p>
            <w:pPr>
              <w:pStyle w:val="TableContents"/>
              <w:bidi w:val="0"/>
              <w:spacing w:before="0" w:after="283"/>
              <w:jc w:val="left"/>
              <w:rPr/>
            </w:pPr>
            <w:r>
              <w:rPr/>
              <w:t> </w:t>
            </w:r>
            <w:bookmarkStart w:id="703" w:name="xdx_980_ecustom--FinalScheduledPaymentDa"/>
            <w:bookmarkEnd w:id="703"/>
          </w:p>
        </w:tc>
        <w:tc>
          <w:tcPr>
            <w:tcW w:w="1187" w:type="dxa"/>
            <w:tcBorders/>
            <w:shd w:fill="FFFFFF" w:val="clear"/>
            <w:vAlign w:val="center"/>
          </w:tcPr>
          <w:p>
            <w:pPr>
              <w:pStyle w:val="TableContents"/>
              <w:bidi w:val="0"/>
              <w:spacing w:before="0" w:after="283"/>
              <w:jc w:val="right"/>
              <w:rPr/>
            </w:pPr>
            <w:r>
              <w:rPr/>
              <w:t>September 2028</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bookmarkStart w:id="704" w:name="xdx_98B_ecustom--ReceivablesPledged_iI_p"/>
            <w:bookmarkEnd w:id="704"/>
          </w:p>
        </w:tc>
        <w:tc>
          <w:tcPr>
            <w:tcW w:w="1110" w:type="dxa"/>
            <w:tcBorders/>
            <w:shd w:fill="FFFFFF" w:val="clear"/>
            <w:vAlign w:val="center"/>
          </w:tcPr>
          <w:p>
            <w:pPr>
              <w:pStyle w:val="TableContents"/>
              <w:bidi w:val="0"/>
              <w:spacing w:before="0" w:after="283"/>
              <w:jc w:val="right"/>
              <w:rPr/>
            </w:pPr>
            <w:r>
              <w:rPr/>
              <w:t>117,555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05" w:name="xdx_98B_ecustom--SecuritizationTrustDebt"/>
            <w:bookmarkEnd w:id="705"/>
          </w:p>
        </w:tc>
        <w:tc>
          <w:tcPr>
            <w:tcW w:w="980" w:type="dxa"/>
            <w:tcBorders/>
            <w:shd w:fill="FFFFFF" w:val="clear"/>
            <w:vAlign w:val="center"/>
          </w:tcPr>
          <w:p>
            <w:pPr>
              <w:pStyle w:val="TableContents"/>
              <w:bidi w:val="0"/>
              <w:spacing w:before="0" w:after="283"/>
              <w:jc w:val="right"/>
              <w:rPr/>
            </w:pPr>
            <w:r>
              <w:rPr/>
              <w:t>291,000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bookmarkStart w:id="706" w:name="xdx_98A_eus-gaap--PrincipalAmountOutstan"/>
            <w:bookmarkEnd w:id="706"/>
          </w:p>
        </w:tc>
        <w:tc>
          <w:tcPr>
            <w:tcW w:w="1160" w:type="dxa"/>
            <w:tcBorders/>
            <w:shd w:fill="FFFFFF" w:val="clear"/>
            <w:vAlign w:val="center"/>
          </w:tcPr>
          <w:p>
            <w:pPr>
              <w:pStyle w:val="TableContents"/>
              <w:bidi w:val="0"/>
              <w:spacing w:before="0" w:after="283"/>
              <w:jc w:val="right"/>
              <w:rPr/>
            </w:pPr>
            <w:r>
              <w:rPr/>
              <w:t>98,915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bookmarkStart w:id="707" w:name="xdx_988_eus-gaap--PrincipalAmountOutstan"/>
            <w:bookmarkEnd w:id="707"/>
          </w:p>
        </w:tc>
        <w:tc>
          <w:tcPr>
            <w:tcW w:w="1147" w:type="dxa"/>
            <w:tcBorders/>
            <w:shd w:fill="FFFFFF" w:val="clear"/>
            <w:vAlign w:val="center"/>
          </w:tcPr>
          <w:p>
            <w:pPr>
              <w:pStyle w:val="TableContents"/>
              <w:bidi w:val="0"/>
              <w:spacing w:before="0" w:after="283"/>
              <w:jc w:val="right"/>
              <w:rPr/>
            </w:pPr>
            <w:r>
              <w:rPr/>
              <w:t>147,593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bookmarkStart w:id="708" w:name="xdx_90B_eus-gaap--DebtWeightedAverageInt"/>
            <w:bookmarkEnd w:id="708"/>
            <w:r>
              <w:rPr/>
              <w:t>1.92</w:t>
            </w:r>
          </w:p>
        </w:tc>
        <w:tc>
          <w:tcPr>
            <w:tcW w:w="236" w:type="dxa"/>
            <w:tcBorders/>
            <w:shd w:fill="FFFFFF" w:val="clear"/>
            <w:vAlign w:val="center"/>
          </w:tcPr>
          <w:p>
            <w:pPr>
              <w:pStyle w:val="TableContents"/>
              <w:bidi w:val="0"/>
              <w:spacing w:before="0" w:after="283"/>
              <w:jc w:val="left"/>
              <w:rPr/>
            </w:pPr>
            <w:r>
              <w:rPr/>
              <w:t>%</w:t>
            </w:r>
          </w:p>
        </w:tc>
      </w:tr>
      <w:tr>
        <w:trPr/>
        <w:tc>
          <w:tcPr>
            <w:tcW w:w="1780" w:type="dxa"/>
            <w:tcBorders/>
            <w:shd w:fill="EEEEEE" w:val="clear"/>
            <w:vAlign w:val="center"/>
          </w:tcPr>
          <w:p>
            <w:pPr>
              <w:pStyle w:val="TableContents"/>
              <w:bidi w:val="0"/>
              <w:spacing w:before="0" w:after="283"/>
              <w:jc w:val="left"/>
              <w:rPr/>
            </w:pPr>
            <w:r>
              <w:rPr/>
              <w:t>CPS 2021-D</w:t>
            </w:r>
          </w:p>
        </w:tc>
        <w:tc>
          <w:tcPr>
            <w:tcW w:w="60" w:type="dxa"/>
            <w:tcBorders/>
            <w:shd w:fill="EEEEEE" w:val="clear"/>
            <w:vAlign w:val="center"/>
          </w:tcPr>
          <w:p>
            <w:pPr>
              <w:pStyle w:val="TableContents"/>
              <w:bidi w:val="0"/>
              <w:spacing w:before="0" w:after="283"/>
              <w:jc w:val="left"/>
              <w:rPr/>
            </w:pPr>
            <w:r>
              <w:rPr/>
              <w:t> </w:t>
            </w:r>
            <w:bookmarkStart w:id="709" w:name="xdx_986_ecustom--FinalScheduledPaymentDa"/>
            <w:bookmarkEnd w:id="709"/>
          </w:p>
        </w:tc>
        <w:tc>
          <w:tcPr>
            <w:tcW w:w="1187" w:type="dxa"/>
            <w:tcBorders/>
            <w:shd w:fill="EEEEEE" w:val="clear"/>
            <w:vAlign w:val="center"/>
          </w:tcPr>
          <w:p>
            <w:pPr>
              <w:pStyle w:val="TableContents"/>
              <w:bidi w:val="0"/>
              <w:spacing w:before="0" w:after="283"/>
              <w:jc w:val="right"/>
              <w:rPr/>
            </w:pPr>
            <w:r>
              <w:rPr/>
              <w:t>December 2028</w:t>
            </w:r>
          </w:p>
        </w:tc>
        <w:tc>
          <w:tcPr>
            <w:tcW w:w="60" w:type="dxa"/>
            <w:tcBorders/>
            <w:shd w:fill="EEEEEE" w:val="clear"/>
            <w:vAlign w:val="center"/>
          </w:tcPr>
          <w:p>
            <w:pPr>
              <w:pStyle w:val="TableContents"/>
              <w:bidi w:val="0"/>
              <w:spacing w:before="0" w:after="283"/>
              <w:jc w:val="left"/>
              <w:rPr/>
            </w:pPr>
            <w:r>
              <w:rPr/>
              <w:t> </w:t>
            </w:r>
          </w:p>
        </w:tc>
        <w:tc>
          <w:tcPr>
            <w:tcW w:w="157" w:type="dxa"/>
            <w:tcBorders/>
            <w:shd w:fill="EEEEEE" w:val="clear"/>
            <w:vAlign w:val="center"/>
          </w:tcPr>
          <w:p>
            <w:pPr>
              <w:pStyle w:val="TableContents"/>
              <w:bidi w:val="0"/>
              <w:spacing w:before="0" w:after="283"/>
              <w:jc w:val="left"/>
              <w:rPr/>
            </w:pPr>
            <w:r>
              <w:rPr/>
              <w:t> </w:t>
            </w:r>
            <w:bookmarkStart w:id="710" w:name="xdx_980_ecustom--ReceivablesPledged_iI_p"/>
            <w:bookmarkEnd w:id="710"/>
          </w:p>
        </w:tc>
        <w:tc>
          <w:tcPr>
            <w:tcW w:w="1110" w:type="dxa"/>
            <w:tcBorders/>
            <w:shd w:fill="EEEEEE" w:val="clear"/>
            <w:vAlign w:val="center"/>
          </w:tcPr>
          <w:p>
            <w:pPr>
              <w:pStyle w:val="TableContents"/>
              <w:bidi w:val="0"/>
              <w:spacing w:before="0" w:after="283"/>
              <w:jc w:val="right"/>
              <w:rPr/>
            </w:pPr>
            <w:r>
              <w:rPr/>
              <w:t>160,217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711" w:name="xdx_988_ecustom--SecuritizationTrustDebt"/>
            <w:bookmarkEnd w:id="711"/>
          </w:p>
        </w:tc>
        <w:tc>
          <w:tcPr>
            <w:tcW w:w="980" w:type="dxa"/>
            <w:tcBorders/>
            <w:shd w:fill="EEEEEE" w:val="clear"/>
            <w:vAlign w:val="center"/>
          </w:tcPr>
          <w:p>
            <w:pPr>
              <w:pStyle w:val="TableContents"/>
              <w:bidi w:val="0"/>
              <w:spacing w:before="0" w:after="283"/>
              <w:jc w:val="right"/>
              <w:rPr/>
            </w:pPr>
            <w:r>
              <w:rPr/>
              <w:t>349,202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bookmarkStart w:id="712" w:name="xdx_982_eus-gaap--PrincipalAmountOutstan"/>
            <w:bookmarkEnd w:id="712"/>
          </w:p>
        </w:tc>
        <w:tc>
          <w:tcPr>
            <w:tcW w:w="1160" w:type="dxa"/>
            <w:tcBorders/>
            <w:shd w:fill="EEEEEE" w:val="clear"/>
            <w:vAlign w:val="center"/>
          </w:tcPr>
          <w:p>
            <w:pPr>
              <w:pStyle w:val="TableContents"/>
              <w:bidi w:val="0"/>
              <w:spacing w:before="0" w:after="283"/>
              <w:jc w:val="right"/>
              <w:rPr/>
            </w:pPr>
            <w:r>
              <w:rPr/>
              <w:t>143,583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3" w:type="dxa"/>
            <w:tcBorders/>
            <w:shd w:fill="EEEEEE" w:val="clear"/>
            <w:vAlign w:val="center"/>
          </w:tcPr>
          <w:p>
            <w:pPr>
              <w:pStyle w:val="TableContents"/>
              <w:bidi w:val="0"/>
              <w:spacing w:before="0" w:after="283"/>
              <w:jc w:val="left"/>
              <w:rPr/>
            </w:pPr>
            <w:r>
              <w:rPr/>
              <w:t> </w:t>
            </w:r>
            <w:bookmarkStart w:id="713" w:name="xdx_989_eus-gaap--PrincipalAmountOutstan"/>
            <w:bookmarkEnd w:id="713"/>
          </w:p>
        </w:tc>
        <w:tc>
          <w:tcPr>
            <w:tcW w:w="1147" w:type="dxa"/>
            <w:tcBorders/>
            <w:shd w:fill="EEEEEE" w:val="clear"/>
            <w:vAlign w:val="center"/>
          </w:tcPr>
          <w:p>
            <w:pPr>
              <w:pStyle w:val="TableContents"/>
              <w:bidi w:val="0"/>
              <w:spacing w:before="0" w:after="283"/>
              <w:jc w:val="right"/>
              <w:rPr/>
            </w:pPr>
            <w:r>
              <w:rPr/>
              <w:t>209,277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4" w:type="dxa"/>
            <w:tcBorders/>
            <w:shd w:fill="EEEEEE" w:val="clear"/>
            <w:vAlign w:val="center"/>
          </w:tcPr>
          <w:p>
            <w:pPr>
              <w:pStyle w:val="TableContents"/>
              <w:bidi w:val="0"/>
              <w:spacing w:before="0" w:after="283"/>
              <w:jc w:val="left"/>
              <w:rPr/>
            </w:pPr>
            <w:r>
              <w:rPr/>
              <w:t> </w:t>
            </w:r>
          </w:p>
        </w:tc>
        <w:tc>
          <w:tcPr>
            <w:tcW w:w="1216" w:type="dxa"/>
            <w:tcBorders/>
            <w:shd w:fill="EEEEEE" w:val="clear"/>
            <w:vAlign w:val="center"/>
          </w:tcPr>
          <w:p>
            <w:pPr>
              <w:pStyle w:val="TableContents"/>
              <w:bidi w:val="0"/>
              <w:spacing w:before="0" w:after="283"/>
              <w:jc w:val="right"/>
              <w:rPr/>
            </w:pPr>
            <w:bookmarkStart w:id="714" w:name="xdx_90F_eus-gaap--DebtWeightedAverageInt"/>
            <w:bookmarkEnd w:id="714"/>
            <w:r>
              <w:rPr/>
              <w:t>2.36</w:t>
            </w:r>
          </w:p>
        </w:tc>
        <w:tc>
          <w:tcPr>
            <w:tcW w:w="236" w:type="dxa"/>
            <w:tcBorders/>
            <w:shd w:fill="EEEEEE" w:val="clear"/>
            <w:vAlign w:val="center"/>
          </w:tcPr>
          <w:p>
            <w:pPr>
              <w:pStyle w:val="TableContents"/>
              <w:bidi w:val="0"/>
              <w:spacing w:before="0" w:after="283"/>
              <w:jc w:val="left"/>
              <w:rPr/>
            </w:pPr>
            <w:r>
              <w:rPr/>
              <w:t>%</w:t>
            </w:r>
          </w:p>
        </w:tc>
      </w:tr>
      <w:tr>
        <w:trPr/>
        <w:tc>
          <w:tcPr>
            <w:tcW w:w="1780" w:type="dxa"/>
            <w:tcBorders/>
            <w:shd w:fill="FFFFFF" w:val="clear"/>
            <w:vAlign w:val="center"/>
          </w:tcPr>
          <w:p>
            <w:pPr>
              <w:pStyle w:val="TableContents"/>
              <w:bidi w:val="0"/>
              <w:spacing w:before="0" w:after="283"/>
              <w:jc w:val="left"/>
              <w:rPr/>
            </w:pPr>
            <w:r>
              <w:rPr/>
              <w:t>CPS 2022-A</w:t>
            </w:r>
          </w:p>
        </w:tc>
        <w:tc>
          <w:tcPr>
            <w:tcW w:w="60" w:type="dxa"/>
            <w:tcBorders/>
            <w:shd w:fill="FFFFFF" w:val="clear"/>
            <w:vAlign w:val="center"/>
          </w:tcPr>
          <w:p>
            <w:pPr>
              <w:pStyle w:val="TableContents"/>
              <w:bidi w:val="0"/>
              <w:spacing w:before="0" w:after="283"/>
              <w:jc w:val="left"/>
              <w:rPr/>
            </w:pPr>
            <w:r>
              <w:rPr/>
              <w:t> </w:t>
            </w:r>
            <w:bookmarkStart w:id="715" w:name="xdx_982_ecustom--FinalScheduledPaymentDa"/>
            <w:bookmarkEnd w:id="715"/>
          </w:p>
        </w:tc>
        <w:tc>
          <w:tcPr>
            <w:tcW w:w="1187" w:type="dxa"/>
            <w:tcBorders/>
            <w:shd w:fill="FFFFFF" w:val="clear"/>
            <w:vAlign w:val="center"/>
          </w:tcPr>
          <w:p>
            <w:pPr>
              <w:pStyle w:val="TableContents"/>
              <w:bidi w:val="0"/>
              <w:spacing w:before="0" w:after="283"/>
              <w:jc w:val="right"/>
              <w:rPr/>
            </w:pPr>
            <w:r>
              <w:rPr/>
              <w:t>April 2029</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bookmarkStart w:id="716" w:name="xdx_98E_ecustom--ReceivablesPledged_iI_p"/>
            <w:bookmarkEnd w:id="716"/>
          </w:p>
        </w:tc>
        <w:tc>
          <w:tcPr>
            <w:tcW w:w="1110" w:type="dxa"/>
            <w:tcBorders/>
            <w:shd w:fill="FFFFFF" w:val="clear"/>
            <w:vAlign w:val="center"/>
          </w:tcPr>
          <w:p>
            <w:pPr>
              <w:pStyle w:val="TableContents"/>
              <w:bidi w:val="0"/>
              <w:spacing w:before="0" w:after="283"/>
              <w:jc w:val="right"/>
              <w:rPr/>
            </w:pPr>
            <w:r>
              <w:rPr/>
              <w:t>177,253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17" w:name="xdx_98A_ecustom--SecuritizationTrustDebt"/>
            <w:bookmarkEnd w:id="717"/>
          </w:p>
        </w:tc>
        <w:tc>
          <w:tcPr>
            <w:tcW w:w="980" w:type="dxa"/>
            <w:tcBorders/>
            <w:shd w:fill="FFFFFF" w:val="clear"/>
            <w:vAlign w:val="center"/>
          </w:tcPr>
          <w:p>
            <w:pPr>
              <w:pStyle w:val="TableContents"/>
              <w:bidi w:val="0"/>
              <w:spacing w:before="0" w:after="283"/>
              <w:jc w:val="right"/>
              <w:rPr/>
            </w:pPr>
            <w:r>
              <w:rPr/>
              <w:t>316,800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bookmarkStart w:id="718" w:name="xdx_98D_eus-gaap--PrincipalAmountOutstan"/>
            <w:bookmarkEnd w:id="718"/>
          </w:p>
        </w:tc>
        <w:tc>
          <w:tcPr>
            <w:tcW w:w="1160" w:type="dxa"/>
            <w:tcBorders/>
            <w:shd w:fill="FFFFFF" w:val="clear"/>
            <w:vAlign w:val="center"/>
          </w:tcPr>
          <w:p>
            <w:pPr>
              <w:pStyle w:val="TableContents"/>
              <w:bidi w:val="0"/>
              <w:spacing w:before="0" w:after="283"/>
              <w:jc w:val="right"/>
              <w:rPr/>
            </w:pPr>
            <w:r>
              <w:rPr/>
              <w:t>155,921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bookmarkStart w:id="719" w:name="xdx_98B_eus-gaap--PrincipalAmountOutstan"/>
            <w:bookmarkEnd w:id="719"/>
          </w:p>
        </w:tc>
        <w:tc>
          <w:tcPr>
            <w:tcW w:w="1147" w:type="dxa"/>
            <w:tcBorders/>
            <w:shd w:fill="FFFFFF" w:val="clear"/>
            <w:vAlign w:val="center"/>
          </w:tcPr>
          <w:p>
            <w:pPr>
              <w:pStyle w:val="TableContents"/>
              <w:bidi w:val="0"/>
              <w:spacing w:before="0" w:after="283"/>
              <w:jc w:val="right"/>
              <w:rPr/>
            </w:pPr>
            <w:r>
              <w:rPr/>
              <w:t>222,613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bookmarkStart w:id="720" w:name="xdx_906_eus-gaap--DebtWeightedAverageInt"/>
            <w:bookmarkEnd w:id="720"/>
            <w:r>
              <w:rPr/>
              <w:t>2.65</w:t>
            </w:r>
          </w:p>
        </w:tc>
        <w:tc>
          <w:tcPr>
            <w:tcW w:w="236" w:type="dxa"/>
            <w:tcBorders/>
            <w:shd w:fill="FFFFFF" w:val="clear"/>
            <w:vAlign w:val="center"/>
          </w:tcPr>
          <w:p>
            <w:pPr>
              <w:pStyle w:val="TableContents"/>
              <w:bidi w:val="0"/>
              <w:spacing w:before="0" w:after="283"/>
              <w:jc w:val="left"/>
              <w:rPr/>
            </w:pPr>
            <w:r>
              <w:rPr/>
              <w:t>%</w:t>
            </w:r>
          </w:p>
        </w:tc>
      </w:tr>
      <w:tr>
        <w:trPr/>
        <w:tc>
          <w:tcPr>
            <w:tcW w:w="1780" w:type="dxa"/>
            <w:tcBorders/>
            <w:shd w:fill="EEEEEE" w:val="clear"/>
            <w:vAlign w:val="center"/>
          </w:tcPr>
          <w:p>
            <w:pPr>
              <w:pStyle w:val="TableContents"/>
              <w:bidi w:val="0"/>
              <w:spacing w:before="0" w:after="283"/>
              <w:jc w:val="left"/>
              <w:rPr/>
            </w:pPr>
            <w:r>
              <w:rPr/>
              <w:t>CPS 2022-B</w:t>
            </w:r>
          </w:p>
        </w:tc>
        <w:tc>
          <w:tcPr>
            <w:tcW w:w="60" w:type="dxa"/>
            <w:tcBorders/>
            <w:shd w:fill="EEEEEE" w:val="clear"/>
            <w:vAlign w:val="center"/>
          </w:tcPr>
          <w:p>
            <w:pPr>
              <w:pStyle w:val="TableContents"/>
              <w:bidi w:val="0"/>
              <w:spacing w:before="0" w:after="283"/>
              <w:jc w:val="left"/>
              <w:rPr/>
            </w:pPr>
            <w:r>
              <w:rPr/>
              <w:t> </w:t>
            </w:r>
            <w:bookmarkStart w:id="721" w:name="xdx_98E_ecustom--FinalScheduledPaymentDa"/>
            <w:bookmarkEnd w:id="721"/>
          </w:p>
        </w:tc>
        <w:tc>
          <w:tcPr>
            <w:tcW w:w="1187" w:type="dxa"/>
            <w:tcBorders/>
            <w:shd w:fill="EEEEEE" w:val="clear"/>
            <w:vAlign w:val="center"/>
          </w:tcPr>
          <w:p>
            <w:pPr>
              <w:pStyle w:val="TableContents"/>
              <w:bidi w:val="0"/>
              <w:spacing w:before="0" w:after="283"/>
              <w:jc w:val="right"/>
              <w:rPr/>
            </w:pPr>
            <w:r>
              <w:rPr/>
              <w:t>October 2029</w:t>
            </w:r>
          </w:p>
        </w:tc>
        <w:tc>
          <w:tcPr>
            <w:tcW w:w="60" w:type="dxa"/>
            <w:tcBorders/>
            <w:shd w:fill="EEEEEE" w:val="clear"/>
            <w:vAlign w:val="center"/>
          </w:tcPr>
          <w:p>
            <w:pPr>
              <w:pStyle w:val="TableContents"/>
              <w:bidi w:val="0"/>
              <w:spacing w:before="0" w:after="283"/>
              <w:jc w:val="left"/>
              <w:rPr/>
            </w:pPr>
            <w:r>
              <w:rPr/>
              <w:t> </w:t>
            </w:r>
          </w:p>
        </w:tc>
        <w:tc>
          <w:tcPr>
            <w:tcW w:w="157" w:type="dxa"/>
            <w:tcBorders/>
            <w:shd w:fill="EEEEEE" w:val="clear"/>
            <w:vAlign w:val="center"/>
          </w:tcPr>
          <w:p>
            <w:pPr>
              <w:pStyle w:val="TableContents"/>
              <w:bidi w:val="0"/>
              <w:spacing w:before="0" w:after="283"/>
              <w:jc w:val="left"/>
              <w:rPr/>
            </w:pPr>
            <w:r>
              <w:rPr/>
              <w:t> </w:t>
            </w:r>
            <w:bookmarkStart w:id="722" w:name="xdx_982_ecustom--ReceivablesPledged_iI_p"/>
            <w:bookmarkEnd w:id="722"/>
          </w:p>
        </w:tc>
        <w:tc>
          <w:tcPr>
            <w:tcW w:w="1110" w:type="dxa"/>
            <w:tcBorders/>
            <w:shd w:fill="EEEEEE" w:val="clear"/>
            <w:vAlign w:val="center"/>
          </w:tcPr>
          <w:p>
            <w:pPr>
              <w:pStyle w:val="TableContents"/>
              <w:bidi w:val="0"/>
              <w:spacing w:before="0" w:after="283"/>
              <w:jc w:val="right"/>
              <w:rPr/>
            </w:pPr>
            <w:r>
              <w:rPr/>
              <w:t>267,738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723" w:name="xdx_98B_ecustom--SecuritizationTrustDebt"/>
            <w:bookmarkEnd w:id="723"/>
          </w:p>
        </w:tc>
        <w:tc>
          <w:tcPr>
            <w:tcW w:w="980" w:type="dxa"/>
            <w:tcBorders/>
            <w:shd w:fill="EEEEEE" w:val="clear"/>
            <w:vAlign w:val="center"/>
          </w:tcPr>
          <w:p>
            <w:pPr>
              <w:pStyle w:val="TableContents"/>
              <w:bidi w:val="0"/>
              <w:spacing w:before="0" w:after="283"/>
              <w:jc w:val="right"/>
              <w:rPr/>
            </w:pPr>
            <w:r>
              <w:rPr/>
              <w:t>395,600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bookmarkStart w:id="724" w:name="xdx_983_eus-gaap--PrincipalAmountOutstan"/>
            <w:bookmarkEnd w:id="724"/>
          </w:p>
        </w:tc>
        <w:tc>
          <w:tcPr>
            <w:tcW w:w="1160" w:type="dxa"/>
            <w:tcBorders/>
            <w:shd w:fill="EEEEEE" w:val="clear"/>
            <w:vAlign w:val="center"/>
          </w:tcPr>
          <w:p>
            <w:pPr>
              <w:pStyle w:val="TableContents"/>
              <w:bidi w:val="0"/>
              <w:spacing w:before="0" w:after="283"/>
              <w:jc w:val="right"/>
              <w:rPr/>
            </w:pPr>
            <w:r>
              <w:rPr/>
              <w:t>237,944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3" w:type="dxa"/>
            <w:tcBorders/>
            <w:shd w:fill="EEEEEE" w:val="clear"/>
            <w:vAlign w:val="center"/>
          </w:tcPr>
          <w:p>
            <w:pPr>
              <w:pStyle w:val="TableContents"/>
              <w:bidi w:val="0"/>
              <w:spacing w:before="0" w:after="283"/>
              <w:jc w:val="left"/>
              <w:rPr/>
            </w:pPr>
            <w:r>
              <w:rPr/>
              <w:t> </w:t>
            </w:r>
            <w:bookmarkStart w:id="725" w:name="xdx_988_eus-gaap--PrincipalAmountOutstan"/>
            <w:bookmarkEnd w:id="725"/>
          </w:p>
        </w:tc>
        <w:tc>
          <w:tcPr>
            <w:tcW w:w="1147" w:type="dxa"/>
            <w:tcBorders/>
            <w:shd w:fill="EEEEEE" w:val="clear"/>
            <w:vAlign w:val="center"/>
          </w:tcPr>
          <w:p>
            <w:pPr>
              <w:pStyle w:val="TableContents"/>
              <w:bidi w:val="0"/>
              <w:spacing w:before="0" w:after="283"/>
              <w:jc w:val="right"/>
              <w:rPr/>
            </w:pPr>
            <w:r>
              <w:rPr/>
              <w:t>325,907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4" w:type="dxa"/>
            <w:tcBorders/>
            <w:shd w:fill="EEEEEE" w:val="clear"/>
            <w:vAlign w:val="center"/>
          </w:tcPr>
          <w:p>
            <w:pPr>
              <w:pStyle w:val="TableContents"/>
              <w:bidi w:val="0"/>
              <w:spacing w:before="0" w:after="283"/>
              <w:jc w:val="left"/>
              <w:rPr/>
            </w:pPr>
            <w:r>
              <w:rPr/>
              <w:t> </w:t>
            </w:r>
          </w:p>
        </w:tc>
        <w:tc>
          <w:tcPr>
            <w:tcW w:w="1216" w:type="dxa"/>
            <w:tcBorders/>
            <w:shd w:fill="EEEEEE" w:val="clear"/>
            <w:vAlign w:val="center"/>
          </w:tcPr>
          <w:p>
            <w:pPr>
              <w:pStyle w:val="TableContents"/>
              <w:bidi w:val="0"/>
              <w:spacing w:before="0" w:after="283"/>
              <w:jc w:val="right"/>
              <w:rPr/>
            </w:pPr>
            <w:bookmarkStart w:id="726" w:name="xdx_90A_eus-gaap--DebtWeightedAverageInt"/>
            <w:bookmarkEnd w:id="726"/>
            <w:r>
              <w:rPr/>
              <w:t>4.64</w:t>
            </w:r>
          </w:p>
        </w:tc>
        <w:tc>
          <w:tcPr>
            <w:tcW w:w="236" w:type="dxa"/>
            <w:tcBorders/>
            <w:shd w:fill="EEEEEE" w:val="clear"/>
            <w:vAlign w:val="center"/>
          </w:tcPr>
          <w:p>
            <w:pPr>
              <w:pStyle w:val="TableContents"/>
              <w:bidi w:val="0"/>
              <w:spacing w:before="0" w:after="283"/>
              <w:jc w:val="left"/>
              <w:rPr/>
            </w:pPr>
            <w:r>
              <w:rPr/>
              <w:t>%</w:t>
            </w:r>
          </w:p>
        </w:tc>
      </w:tr>
      <w:tr>
        <w:trPr/>
        <w:tc>
          <w:tcPr>
            <w:tcW w:w="1780" w:type="dxa"/>
            <w:tcBorders/>
            <w:shd w:fill="FFFFFF" w:val="clear"/>
            <w:vAlign w:val="center"/>
          </w:tcPr>
          <w:p>
            <w:pPr>
              <w:pStyle w:val="TableContents"/>
              <w:bidi w:val="0"/>
              <w:spacing w:before="0" w:after="283"/>
              <w:jc w:val="left"/>
              <w:rPr/>
            </w:pPr>
            <w:r>
              <w:rPr/>
              <w:t>CPS 2022-C</w:t>
            </w:r>
          </w:p>
        </w:tc>
        <w:tc>
          <w:tcPr>
            <w:tcW w:w="60" w:type="dxa"/>
            <w:tcBorders/>
            <w:shd w:fill="FFFFFF" w:val="clear"/>
            <w:vAlign w:val="center"/>
          </w:tcPr>
          <w:p>
            <w:pPr>
              <w:pStyle w:val="TableContents"/>
              <w:bidi w:val="0"/>
              <w:spacing w:before="0" w:after="283"/>
              <w:jc w:val="left"/>
              <w:rPr/>
            </w:pPr>
            <w:r>
              <w:rPr/>
              <w:t> </w:t>
            </w:r>
            <w:bookmarkStart w:id="727" w:name="xdx_98A_ecustom--FinalScheduledPaymentDa"/>
            <w:bookmarkEnd w:id="727"/>
          </w:p>
        </w:tc>
        <w:tc>
          <w:tcPr>
            <w:tcW w:w="1187" w:type="dxa"/>
            <w:tcBorders/>
            <w:shd w:fill="FFFFFF" w:val="clear"/>
            <w:vAlign w:val="center"/>
          </w:tcPr>
          <w:p>
            <w:pPr>
              <w:pStyle w:val="TableContents"/>
              <w:bidi w:val="0"/>
              <w:spacing w:before="0" w:after="283"/>
              <w:jc w:val="right"/>
              <w:rPr/>
            </w:pPr>
            <w:r>
              <w:rPr/>
              <w:t>April 2030</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bookmarkStart w:id="728" w:name="xdx_98F_ecustom--ReceivablesPledged_iI_p"/>
            <w:bookmarkEnd w:id="728"/>
          </w:p>
        </w:tc>
        <w:tc>
          <w:tcPr>
            <w:tcW w:w="1110" w:type="dxa"/>
            <w:tcBorders/>
            <w:shd w:fill="FFFFFF" w:val="clear"/>
            <w:vAlign w:val="center"/>
          </w:tcPr>
          <w:p>
            <w:pPr>
              <w:pStyle w:val="TableContents"/>
              <w:bidi w:val="0"/>
              <w:spacing w:before="0" w:after="283"/>
              <w:jc w:val="right"/>
              <w:rPr/>
            </w:pPr>
            <w:r>
              <w:rPr/>
              <w:t>304,257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29" w:name="xdx_988_ecustom--SecuritizationTrustDebt"/>
            <w:bookmarkEnd w:id="729"/>
          </w:p>
        </w:tc>
        <w:tc>
          <w:tcPr>
            <w:tcW w:w="980" w:type="dxa"/>
            <w:tcBorders/>
            <w:shd w:fill="FFFFFF" w:val="clear"/>
            <w:vAlign w:val="center"/>
          </w:tcPr>
          <w:p>
            <w:pPr>
              <w:pStyle w:val="TableContents"/>
              <w:bidi w:val="0"/>
              <w:spacing w:before="0" w:after="283"/>
              <w:jc w:val="right"/>
              <w:rPr/>
            </w:pPr>
            <w:r>
              <w:rPr/>
              <w:t>391,600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bookmarkStart w:id="730" w:name="xdx_982_eus-gaap--PrincipalAmountOutstan"/>
            <w:bookmarkEnd w:id="730"/>
          </w:p>
        </w:tc>
        <w:tc>
          <w:tcPr>
            <w:tcW w:w="1160" w:type="dxa"/>
            <w:tcBorders/>
            <w:shd w:fill="FFFFFF" w:val="clear"/>
            <w:vAlign w:val="center"/>
          </w:tcPr>
          <w:p>
            <w:pPr>
              <w:pStyle w:val="TableContents"/>
              <w:bidi w:val="0"/>
              <w:spacing w:before="0" w:after="283"/>
              <w:jc w:val="right"/>
              <w:rPr/>
            </w:pPr>
            <w:r>
              <w:rPr/>
              <w:t>255,748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bookmarkStart w:id="731" w:name="xdx_989_eus-gaap--PrincipalAmountOutstan"/>
            <w:bookmarkEnd w:id="731"/>
          </w:p>
        </w:tc>
        <w:tc>
          <w:tcPr>
            <w:tcW w:w="1147" w:type="dxa"/>
            <w:tcBorders/>
            <w:shd w:fill="FFFFFF" w:val="clear"/>
            <w:vAlign w:val="center"/>
          </w:tcPr>
          <w:p>
            <w:pPr>
              <w:pStyle w:val="TableContents"/>
              <w:bidi w:val="0"/>
              <w:spacing w:before="0" w:after="283"/>
              <w:jc w:val="right"/>
              <w:rPr/>
            </w:pPr>
            <w:r>
              <w:rPr/>
              <w:t>346,714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bookmarkStart w:id="732" w:name="xdx_907_eus-gaap--DebtWeightedAverageInt"/>
            <w:bookmarkEnd w:id="732"/>
            <w:r>
              <w:rPr/>
              <w:t>5.62</w:t>
            </w:r>
          </w:p>
        </w:tc>
        <w:tc>
          <w:tcPr>
            <w:tcW w:w="236" w:type="dxa"/>
            <w:tcBorders/>
            <w:shd w:fill="FFFFFF" w:val="clear"/>
            <w:vAlign w:val="center"/>
          </w:tcPr>
          <w:p>
            <w:pPr>
              <w:pStyle w:val="TableContents"/>
              <w:bidi w:val="0"/>
              <w:spacing w:before="0" w:after="283"/>
              <w:jc w:val="left"/>
              <w:rPr/>
            </w:pPr>
            <w:r>
              <w:rPr/>
              <w:t>%</w:t>
            </w:r>
          </w:p>
        </w:tc>
      </w:tr>
      <w:tr>
        <w:trPr/>
        <w:tc>
          <w:tcPr>
            <w:tcW w:w="1780" w:type="dxa"/>
            <w:tcBorders/>
            <w:shd w:fill="EEEEEE" w:val="clear"/>
            <w:vAlign w:val="center"/>
          </w:tcPr>
          <w:p>
            <w:pPr>
              <w:pStyle w:val="TableContents"/>
              <w:bidi w:val="0"/>
              <w:spacing w:before="0" w:after="283"/>
              <w:jc w:val="left"/>
              <w:rPr/>
            </w:pPr>
            <w:r>
              <w:rPr/>
              <w:t>CPS 2022-D</w:t>
            </w:r>
          </w:p>
        </w:tc>
        <w:tc>
          <w:tcPr>
            <w:tcW w:w="60" w:type="dxa"/>
            <w:tcBorders/>
            <w:shd w:fill="EEEEEE" w:val="clear"/>
            <w:vAlign w:val="center"/>
          </w:tcPr>
          <w:p>
            <w:pPr>
              <w:pStyle w:val="TableContents"/>
              <w:bidi w:val="0"/>
              <w:spacing w:before="0" w:after="283"/>
              <w:jc w:val="left"/>
              <w:rPr/>
            </w:pPr>
            <w:r>
              <w:rPr/>
              <w:t> </w:t>
            </w:r>
            <w:bookmarkStart w:id="733" w:name="xdx_983_ecustom--FinalScheduledPaymentDa"/>
            <w:bookmarkEnd w:id="733"/>
          </w:p>
        </w:tc>
        <w:tc>
          <w:tcPr>
            <w:tcW w:w="1187" w:type="dxa"/>
            <w:tcBorders/>
            <w:shd w:fill="EEEEEE" w:val="clear"/>
            <w:vAlign w:val="center"/>
          </w:tcPr>
          <w:p>
            <w:pPr>
              <w:pStyle w:val="TableContents"/>
              <w:bidi w:val="0"/>
              <w:spacing w:before="0" w:after="283"/>
              <w:jc w:val="right"/>
              <w:rPr/>
            </w:pPr>
            <w:r>
              <w:rPr/>
              <w:t>June 2030</w:t>
            </w:r>
          </w:p>
        </w:tc>
        <w:tc>
          <w:tcPr>
            <w:tcW w:w="60" w:type="dxa"/>
            <w:tcBorders/>
            <w:shd w:fill="EEEEEE" w:val="clear"/>
            <w:vAlign w:val="center"/>
          </w:tcPr>
          <w:p>
            <w:pPr>
              <w:pStyle w:val="TableContents"/>
              <w:bidi w:val="0"/>
              <w:spacing w:before="0" w:after="283"/>
              <w:jc w:val="left"/>
              <w:rPr/>
            </w:pPr>
            <w:r>
              <w:rPr/>
              <w:t> </w:t>
            </w:r>
          </w:p>
        </w:tc>
        <w:tc>
          <w:tcPr>
            <w:tcW w:w="157" w:type="dxa"/>
            <w:tcBorders/>
            <w:shd w:fill="EEEEEE" w:val="clear"/>
            <w:vAlign w:val="center"/>
          </w:tcPr>
          <w:p>
            <w:pPr>
              <w:pStyle w:val="TableContents"/>
              <w:bidi w:val="0"/>
              <w:spacing w:before="0" w:after="283"/>
              <w:jc w:val="left"/>
              <w:rPr/>
            </w:pPr>
            <w:r>
              <w:rPr/>
              <w:t> </w:t>
            </w:r>
            <w:bookmarkStart w:id="734" w:name="xdx_98E_ecustom--ReceivablesPledged_iI_p"/>
            <w:bookmarkEnd w:id="734"/>
          </w:p>
        </w:tc>
        <w:tc>
          <w:tcPr>
            <w:tcW w:w="1110" w:type="dxa"/>
            <w:tcBorders/>
            <w:shd w:fill="EEEEEE" w:val="clear"/>
            <w:vAlign w:val="center"/>
          </w:tcPr>
          <w:p>
            <w:pPr>
              <w:pStyle w:val="TableContents"/>
              <w:bidi w:val="0"/>
              <w:spacing w:before="0" w:after="283"/>
              <w:jc w:val="right"/>
              <w:rPr/>
            </w:pPr>
            <w:r>
              <w:rPr/>
              <w:t>255,071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735" w:name="xdx_989_ecustom--SecuritizationTrustDebt"/>
            <w:bookmarkEnd w:id="735"/>
          </w:p>
        </w:tc>
        <w:tc>
          <w:tcPr>
            <w:tcW w:w="980" w:type="dxa"/>
            <w:tcBorders/>
            <w:shd w:fill="EEEEEE" w:val="clear"/>
            <w:vAlign w:val="center"/>
          </w:tcPr>
          <w:p>
            <w:pPr>
              <w:pStyle w:val="TableContents"/>
              <w:bidi w:val="0"/>
              <w:spacing w:before="0" w:after="283"/>
              <w:jc w:val="right"/>
              <w:rPr/>
            </w:pPr>
            <w:r>
              <w:rPr/>
              <w:t>307,018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bookmarkStart w:id="736" w:name="xdx_981_eus-gaap--PrincipalAmountOutstan"/>
            <w:bookmarkEnd w:id="736"/>
          </w:p>
        </w:tc>
        <w:tc>
          <w:tcPr>
            <w:tcW w:w="1160" w:type="dxa"/>
            <w:tcBorders/>
            <w:shd w:fill="EEEEEE" w:val="clear"/>
            <w:vAlign w:val="center"/>
          </w:tcPr>
          <w:p>
            <w:pPr>
              <w:pStyle w:val="TableContents"/>
              <w:bidi w:val="0"/>
              <w:spacing w:before="0" w:after="283"/>
              <w:jc w:val="right"/>
              <w:rPr/>
            </w:pPr>
            <w:r>
              <w:rPr/>
              <w:t>227,124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3" w:type="dxa"/>
            <w:tcBorders/>
            <w:shd w:fill="EEEEEE" w:val="clear"/>
            <w:vAlign w:val="center"/>
          </w:tcPr>
          <w:p>
            <w:pPr>
              <w:pStyle w:val="TableContents"/>
              <w:bidi w:val="0"/>
              <w:spacing w:before="0" w:after="283"/>
              <w:jc w:val="left"/>
              <w:rPr/>
            </w:pPr>
            <w:r>
              <w:rPr/>
              <w:t> </w:t>
            </w:r>
            <w:bookmarkStart w:id="737" w:name="xdx_98E_eus-gaap--PrincipalAmountOutstan"/>
            <w:bookmarkEnd w:id="737"/>
          </w:p>
        </w:tc>
        <w:tc>
          <w:tcPr>
            <w:tcW w:w="1147" w:type="dxa"/>
            <w:tcBorders/>
            <w:shd w:fill="EEEEEE" w:val="clear"/>
            <w:vAlign w:val="center"/>
          </w:tcPr>
          <w:p>
            <w:pPr>
              <w:pStyle w:val="TableContents"/>
              <w:bidi w:val="0"/>
              <w:spacing w:before="0" w:after="283"/>
              <w:jc w:val="right"/>
              <w:rPr/>
            </w:pPr>
            <w:r>
              <w:rPr/>
              <w:t>292,461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4" w:type="dxa"/>
            <w:tcBorders/>
            <w:shd w:fill="EEEEEE" w:val="clear"/>
            <w:vAlign w:val="center"/>
          </w:tcPr>
          <w:p>
            <w:pPr>
              <w:pStyle w:val="TableContents"/>
              <w:bidi w:val="0"/>
              <w:spacing w:before="0" w:after="283"/>
              <w:jc w:val="left"/>
              <w:rPr/>
            </w:pPr>
            <w:r>
              <w:rPr/>
              <w:t> </w:t>
            </w:r>
          </w:p>
        </w:tc>
        <w:tc>
          <w:tcPr>
            <w:tcW w:w="1216" w:type="dxa"/>
            <w:tcBorders/>
            <w:shd w:fill="EEEEEE" w:val="clear"/>
            <w:vAlign w:val="center"/>
          </w:tcPr>
          <w:p>
            <w:pPr>
              <w:pStyle w:val="TableContents"/>
              <w:bidi w:val="0"/>
              <w:spacing w:before="0" w:after="283"/>
              <w:jc w:val="right"/>
              <w:rPr/>
            </w:pPr>
            <w:bookmarkStart w:id="738" w:name="xdx_904_eus-gaap--DebtWeightedAverageInt"/>
            <w:bookmarkEnd w:id="738"/>
            <w:r>
              <w:rPr/>
              <w:t>7.73</w:t>
            </w:r>
          </w:p>
        </w:tc>
        <w:tc>
          <w:tcPr>
            <w:tcW w:w="236" w:type="dxa"/>
            <w:tcBorders/>
            <w:shd w:fill="EEEEEE" w:val="clear"/>
            <w:vAlign w:val="center"/>
          </w:tcPr>
          <w:p>
            <w:pPr>
              <w:pStyle w:val="TableContents"/>
              <w:bidi w:val="0"/>
              <w:spacing w:before="0" w:after="283"/>
              <w:jc w:val="left"/>
              <w:rPr/>
            </w:pPr>
            <w:r>
              <w:rPr/>
              <w:t>%</w:t>
            </w:r>
          </w:p>
        </w:tc>
      </w:tr>
      <w:tr>
        <w:trPr/>
        <w:tc>
          <w:tcPr>
            <w:tcW w:w="1780" w:type="dxa"/>
            <w:tcBorders/>
            <w:shd w:fill="FFFFFF" w:val="clear"/>
            <w:vAlign w:val="center"/>
          </w:tcPr>
          <w:p>
            <w:pPr>
              <w:pStyle w:val="TableContents"/>
              <w:bidi w:val="0"/>
              <w:spacing w:before="0" w:after="283"/>
              <w:jc w:val="left"/>
              <w:rPr/>
            </w:pPr>
            <w:r>
              <w:rPr/>
              <w:t>CPS 2023-A</w:t>
            </w:r>
          </w:p>
        </w:tc>
        <w:tc>
          <w:tcPr>
            <w:tcW w:w="60" w:type="dxa"/>
            <w:tcBorders/>
            <w:shd w:fill="FFFFFF" w:val="clear"/>
            <w:vAlign w:val="center"/>
          </w:tcPr>
          <w:p>
            <w:pPr>
              <w:pStyle w:val="TableContents"/>
              <w:bidi w:val="0"/>
              <w:spacing w:before="0" w:after="283"/>
              <w:jc w:val="left"/>
              <w:rPr/>
            </w:pPr>
            <w:r>
              <w:rPr/>
              <w:t> </w:t>
            </w:r>
            <w:bookmarkStart w:id="739" w:name="xdx_988_ecustom--FinalScheduledPaymentDa"/>
            <w:bookmarkEnd w:id="739"/>
          </w:p>
        </w:tc>
        <w:tc>
          <w:tcPr>
            <w:tcW w:w="1187" w:type="dxa"/>
            <w:tcBorders/>
            <w:shd w:fill="FFFFFF" w:val="clear"/>
            <w:vAlign w:val="center"/>
          </w:tcPr>
          <w:p>
            <w:pPr>
              <w:pStyle w:val="TableContents"/>
              <w:bidi w:val="0"/>
              <w:spacing w:before="0" w:after="283"/>
              <w:jc w:val="right"/>
              <w:rPr/>
            </w:pPr>
            <w:r>
              <w:rPr/>
              <w:t>August 2030</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bookmarkStart w:id="740" w:name="xdx_98B_ecustom--ReceivablesPledged_iI_p"/>
            <w:bookmarkEnd w:id="740"/>
          </w:p>
        </w:tc>
        <w:tc>
          <w:tcPr>
            <w:tcW w:w="1110" w:type="dxa"/>
            <w:tcBorders/>
            <w:shd w:fill="FFFFFF" w:val="clear"/>
            <w:vAlign w:val="center"/>
          </w:tcPr>
          <w:p>
            <w:pPr>
              <w:pStyle w:val="TableContents"/>
              <w:bidi w:val="0"/>
              <w:spacing w:before="0" w:after="283"/>
              <w:jc w:val="right"/>
              <w:rPr/>
            </w:pPr>
            <w:r>
              <w:rPr/>
              <w:t>177,253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41" w:name="xdx_98B_ecustom--SecuritizationTrustDebt"/>
            <w:bookmarkEnd w:id="741"/>
          </w:p>
        </w:tc>
        <w:tc>
          <w:tcPr>
            <w:tcW w:w="980" w:type="dxa"/>
            <w:tcBorders/>
            <w:shd w:fill="FFFFFF" w:val="clear"/>
            <w:vAlign w:val="center"/>
          </w:tcPr>
          <w:p>
            <w:pPr>
              <w:pStyle w:val="TableContents"/>
              <w:bidi w:val="0"/>
              <w:spacing w:before="0" w:after="283"/>
              <w:jc w:val="right"/>
              <w:rPr/>
            </w:pPr>
            <w:r>
              <w:rPr/>
              <w:t>324,768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bookmarkStart w:id="742" w:name="xdx_983_eus-gaap--PrincipalAmountOutstan"/>
            <w:bookmarkEnd w:id="742"/>
          </w:p>
        </w:tc>
        <w:tc>
          <w:tcPr>
            <w:tcW w:w="1160" w:type="dxa"/>
            <w:tcBorders/>
            <w:shd w:fill="FFFFFF" w:val="clear"/>
            <w:vAlign w:val="center"/>
          </w:tcPr>
          <w:p>
            <w:pPr>
              <w:pStyle w:val="TableContents"/>
              <w:bidi w:val="0"/>
              <w:spacing w:before="0" w:after="283"/>
              <w:jc w:val="right"/>
              <w:rPr/>
            </w:pPr>
            <w:r>
              <w:rPr/>
              <w:t>255,056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bookmarkStart w:id="743" w:name="xdx_984_eus-gaap--PrincipalAmountOutstan"/>
            <w:bookmarkEnd w:id="743"/>
          </w:p>
        </w:tc>
        <w:tc>
          <w:tcPr>
            <w:tcW w:w="11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bookmarkStart w:id="744" w:name="xdx_906_eus-gaap--DebtWeightedAverageInt"/>
            <w:bookmarkEnd w:id="744"/>
            <w:r>
              <w:rPr/>
              <w:t>6.25</w:t>
            </w:r>
          </w:p>
        </w:tc>
        <w:tc>
          <w:tcPr>
            <w:tcW w:w="236" w:type="dxa"/>
            <w:tcBorders/>
            <w:shd w:fill="FFFFFF" w:val="clear"/>
            <w:vAlign w:val="center"/>
          </w:tcPr>
          <w:p>
            <w:pPr>
              <w:pStyle w:val="TableContents"/>
              <w:bidi w:val="0"/>
              <w:spacing w:before="0" w:after="283"/>
              <w:jc w:val="left"/>
              <w:rPr/>
            </w:pPr>
            <w:r>
              <w:rPr/>
              <w:t>%</w:t>
            </w:r>
          </w:p>
        </w:tc>
      </w:tr>
      <w:tr>
        <w:trPr/>
        <w:tc>
          <w:tcPr>
            <w:tcW w:w="1780" w:type="dxa"/>
            <w:tcBorders/>
            <w:shd w:fill="EEEEEE" w:val="clear"/>
            <w:vAlign w:val="center"/>
          </w:tcPr>
          <w:p>
            <w:pPr>
              <w:pStyle w:val="TableContents"/>
              <w:bidi w:val="0"/>
              <w:spacing w:before="0" w:after="283"/>
              <w:jc w:val="left"/>
              <w:rPr/>
            </w:pPr>
            <w:r>
              <w:rPr/>
              <w:t>CPS 2023-B</w:t>
            </w:r>
          </w:p>
        </w:tc>
        <w:tc>
          <w:tcPr>
            <w:tcW w:w="60" w:type="dxa"/>
            <w:tcBorders/>
            <w:shd w:fill="EEEEEE" w:val="clear"/>
            <w:vAlign w:val="center"/>
          </w:tcPr>
          <w:p>
            <w:pPr>
              <w:pStyle w:val="TableContents"/>
              <w:bidi w:val="0"/>
              <w:spacing w:before="0" w:after="283"/>
              <w:jc w:val="left"/>
              <w:rPr/>
            </w:pPr>
            <w:r>
              <w:rPr/>
              <w:t> </w:t>
            </w:r>
            <w:bookmarkStart w:id="745" w:name="xdx_98A_ecustom--FinalScheduledPaymentDa"/>
            <w:bookmarkEnd w:id="745"/>
          </w:p>
        </w:tc>
        <w:tc>
          <w:tcPr>
            <w:tcW w:w="1187" w:type="dxa"/>
            <w:tcBorders/>
            <w:shd w:fill="EEEEEE" w:val="clear"/>
            <w:vAlign w:val="center"/>
          </w:tcPr>
          <w:p>
            <w:pPr>
              <w:pStyle w:val="TableContents"/>
              <w:bidi w:val="0"/>
              <w:spacing w:before="0" w:after="283"/>
              <w:jc w:val="right"/>
              <w:rPr/>
            </w:pPr>
            <w:r>
              <w:rPr/>
              <w:t>November 2030</w:t>
            </w:r>
          </w:p>
        </w:tc>
        <w:tc>
          <w:tcPr>
            <w:tcW w:w="60" w:type="dxa"/>
            <w:tcBorders/>
            <w:shd w:fill="EEEEEE" w:val="clear"/>
            <w:vAlign w:val="center"/>
          </w:tcPr>
          <w:p>
            <w:pPr>
              <w:pStyle w:val="TableContents"/>
              <w:bidi w:val="0"/>
              <w:spacing w:before="0" w:after="283"/>
              <w:jc w:val="left"/>
              <w:rPr/>
            </w:pPr>
            <w:r>
              <w:rPr/>
              <w:t> </w:t>
            </w:r>
          </w:p>
        </w:tc>
        <w:tc>
          <w:tcPr>
            <w:tcW w:w="157" w:type="dxa"/>
            <w:tcBorders/>
            <w:shd w:fill="EEEEEE" w:val="clear"/>
            <w:vAlign w:val="center"/>
          </w:tcPr>
          <w:p>
            <w:pPr>
              <w:pStyle w:val="TableContents"/>
              <w:bidi w:val="0"/>
              <w:spacing w:before="0" w:after="283"/>
              <w:jc w:val="left"/>
              <w:rPr/>
            </w:pPr>
            <w:r>
              <w:rPr/>
              <w:t> </w:t>
            </w:r>
            <w:bookmarkStart w:id="746" w:name="xdx_986_ecustom--ReceivablesPledged_iI_p"/>
            <w:bookmarkEnd w:id="746"/>
          </w:p>
        </w:tc>
        <w:tc>
          <w:tcPr>
            <w:tcW w:w="1110" w:type="dxa"/>
            <w:tcBorders/>
            <w:shd w:fill="EEEEEE" w:val="clear"/>
            <w:vAlign w:val="center"/>
          </w:tcPr>
          <w:p>
            <w:pPr>
              <w:pStyle w:val="TableContents"/>
              <w:bidi w:val="0"/>
              <w:spacing w:before="0" w:after="283"/>
              <w:jc w:val="right"/>
              <w:rPr/>
            </w:pPr>
            <w:r>
              <w:rPr/>
              <w:t>267,738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747" w:name="xdx_988_ecustom--SecuritizationTrustDebt"/>
            <w:bookmarkEnd w:id="747"/>
          </w:p>
        </w:tc>
        <w:tc>
          <w:tcPr>
            <w:tcW w:w="980" w:type="dxa"/>
            <w:tcBorders/>
            <w:shd w:fill="EEEEEE" w:val="clear"/>
            <w:vAlign w:val="center"/>
          </w:tcPr>
          <w:p>
            <w:pPr>
              <w:pStyle w:val="TableContents"/>
              <w:bidi w:val="0"/>
              <w:spacing w:before="0" w:after="283"/>
              <w:jc w:val="right"/>
              <w:rPr/>
            </w:pPr>
            <w:r>
              <w:rPr/>
              <w:t>332,885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bookmarkStart w:id="748" w:name="xdx_982_eus-gaap--PrincipalAmountOutstan"/>
            <w:bookmarkEnd w:id="748"/>
          </w:p>
        </w:tc>
        <w:tc>
          <w:tcPr>
            <w:tcW w:w="1160" w:type="dxa"/>
            <w:tcBorders/>
            <w:shd w:fill="EEEEEE" w:val="clear"/>
            <w:vAlign w:val="center"/>
          </w:tcPr>
          <w:p>
            <w:pPr>
              <w:pStyle w:val="TableContents"/>
              <w:bidi w:val="0"/>
              <w:spacing w:before="0" w:after="283"/>
              <w:jc w:val="right"/>
              <w:rPr/>
            </w:pPr>
            <w:r>
              <w:rPr/>
              <w:t>293,825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3" w:type="dxa"/>
            <w:tcBorders/>
            <w:shd w:fill="EEEEEE" w:val="clear"/>
            <w:vAlign w:val="center"/>
          </w:tcPr>
          <w:p>
            <w:pPr>
              <w:pStyle w:val="TableContents"/>
              <w:bidi w:val="0"/>
              <w:spacing w:before="0" w:after="283"/>
              <w:jc w:val="left"/>
              <w:rPr/>
            </w:pPr>
            <w:r>
              <w:rPr/>
              <w:t> </w:t>
            </w:r>
            <w:bookmarkStart w:id="749" w:name="xdx_98C_eus-gaap--PrincipalAmountOutstan"/>
            <w:bookmarkEnd w:id="749"/>
          </w:p>
        </w:tc>
        <w:tc>
          <w:tcPr>
            <w:tcW w:w="1147"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4" w:type="dxa"/>
            <w:tcBorders/>
            <w:shd w:fill="EEEEEE" w:val="clear"/>
            <w:vAlign w:val="center"/>
          </w:tcPr>
          <w:p>
            <w:pPr>
              <w:pStyle w:val="TableContents"/>
              <w:bidi w:val="0"/>
              <w:spacing w:before="0" w:after="283"/>
              <w:jc w:val="left"/>
              <w:rPr/>
            </w:pPr>
            <w:r>
              <w:rPr/>
              <w:t> </w:t>
            </w:r>
          </w:p>
        </w:tc>
        <w:tc>
          <w:tcPr>
            <w:tcW w:w="1216" w:type="dxa"/>
            <w:tcBorders/>
            <w:shd w:fill="EEEEEE" w:val="clear"/>
            <w:vAlign w:val="center"/>
          </w:tcPr>
          <w:p>
            <w:pPr>
              <w:pStyle w:val="TableContents"/>
              <w:bidi w:val="0"/>
              <w:spacing w:before="0" w:after="283"/>
              <w:jc w:val="right"/>
              <w:rPr/>
            </w:pPr>
            <w:bookmarkStart w:id="750" w:name="xdx_902_eus-gaap--DebtWeightedAverageInt"/>
            <w:bookmarkEnd w:id="750"/>
            <w:r>
              <w:rPr/>
              <w:t>6.53</w:t>
            </w:r>
          </w:p>
        </w:tc>
        <w:tc>
          <w:tcPr>
            <w:tcW w:w="236" w:type="dxa"/>
            <w:tcBorders/>
            <w:shd w:fill="EEEEEE" w:val="clear"/>
            <w:vAlign w:val="center"/>
          </w:tcPr>
          <w:p>
            <w:pPr>
              <w:pStyle w:val="TableContents"/>
              <w:bidi w:val="0"/>
              <w:spacing w:before="0" w:after="283"/>
              <w:jc w:val="left"/>
              <w:rPr/>
            </w:pPr>
            <w:r>
              <w:rPr/>
              <w:t>%</w:t>
            </w:r>
          </w:p>
        </w:tc>
      </w:tr>
      <w:tr>
        <w:trPr/>
        <w:tc>
          <w:tcPr>
            <w:tcW w:w="1780" w:type="dxa"/>
            <w:tcBorders/>
            <w:shd w:fill="FFFFFF" w:val="clear"/>
            <w:vAlign w:val="center"/>
          </w:tcPr>
          <w:p>
            <w:pPr>
              <w:pStyle w:val="TableContents"/>
              <w:bidi w:val="0"/>
              <w:spacing w:before="0" w:after="283"/>
              <w:jc w:val="left"/>
              <w:rPr/>
            </w:pPr>
            <w:r>
              <w:rPr/>
              <w:t>CPS 2023-C</w:t>
            </w:r>
          </w:p>
        </w:tc>
        <w:tc>
          <w:tcPr>
            <w:tcW w:w="60" w:type="dxa"/>
            <w:tcBorders/>
            <w:shd w:fill="FFFFFF" w:val="clear"/>
            <w:vAlign w:val="center"/>
          </w:tcPr>
          <w:p>
            <w:pPr>
              <w:pStyle w:val="TableContents"/>
              <w:bidi w:val="0"/>
              <w:spacing w:before="0" w:after="283"/>
              <w:jc w:val="left"/>
              <w:rPr/>
            </w:pPr>
            <w:r>
              <w:rPr/>
              <w:t> </w:t>
            </w:r>
            <w:bookmarkStart w:id="751" w:name="xdx_983_ecustom--FinalScheduledPaymentDa"/>
            <w:bookmarkEnd w:id="751"/>
          </w:p>
        </w:tc>
        <w:tc>
          <w:tcPr>
            <w:tcW w:w="1187" w:type="dxa"/>
            <w:tcBorders/>
            <w:shd w:fill="FFFFFF" w:val="clear"/>
            <w:vAlign w:val="center"/>
          </w:tcPr>
          <w:p>
            <w:pPr>
              <w:pStyle w:val="TableContents"/>
              <w:bidi w:val="0"/>
              <w:spacing w:before="0" w:after="283"/>
              <w:jc w:val="right"/>
              <w:rPr/>
            </w:pPr>
            <w:r>
              <w:rPr/>
              <w:t>February 2031</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52" w:name="xdx_98D_ecustom--ReceivablesPledged_iI_p"/>
            <w:bookmarkEnd w:id="752"/>
          </w:p>
        </w:tc>
        <w:tc>
          <w:tcPr>
            <w:tcW w:w="1110" w:type="dxa"/>
            <w:tcBorders>
              <w:bottom w:val="single" w:sz="8" w:space="0" w:color="000000"/>
            </w:tcBorders>
            <w:shd w:fill="FFFFFF" w:val="clear"/>
            <w:tcMar>
              <w:bottom w:w="28" w:type="dxa"/>
            </w:tcMar>
            <w:vAlign w:val="center"/>
          </w:tcPr>
          <w:p>
            <w:pPr>
              <w:pStyle w:val="TableContents"/>
              <w:bidi w:val="0"/>
              <w:spacing w:before="0" w:after="283"/>
              <w:jc w:val="right"/>
              <w:rPr/>
            </w:pPr>
            <w:r>
              <w:rPr/>
              <w:t>304,257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53" w:name="xdx_98E_ecustom--SecuritizationTrustDebt"/>
            <w:bookmarkEnd w:id="753"/>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291,732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54" w:name="xdx_98B_eus-gaap--PrincipalAmountOutstan"/>
            <w:bookmarkEnd w:id="754"/>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pPr>
            <w:r>
              <w:rPr/>
              <w:t>276,438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55" w:name="xdx_985_eus-gaap--PrincipalAmountOutstan"/>
            <w:bookmarkEnd w:id="755"/>
          </w:p>
        </w:tc>
        <w:tc>
          <w:tcPr>
            <w:tcW w:w="114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bookmarkStart w:id="756" w:name="xdx_907_eus-gaap--DebtWeightedAverageInt"/>
            <w:bookmarkEnd w:id="756"/>
            <w:r>
              <w:rPr/>
              <w:t>6.61</w:t>
            </w:r>
          </w:p>
        </w:tc>
        <w:tc>
          <w:tcPr>
            <w:tcW w:w="236" w:type="dxa"/>
            <w:tcBorders/>
            <w:shd w:fill="FFFFFF" w:val="clear"/>
            <w:vAlign w:val="center"/>
          </w:tcPr>
          <w:p>
            <w:pPr>
              <w:pStyle w:val="TableContents"/>
              <w:bidi w:val="0"/>
              <w:spacing w:before="0" w:after="283"/>
              <w:jc w:val="left"/>
              <w:rPr/>
            </w:pPr>
            <w:r>
              <w:rPr/>
              <w:t>%</w:t>
            </w:r>
          </w:p>
        </w:tc>
      </w:tr>
      <w:tr>
        <w:trPr/>
        <w:tc>
          <w:tcPr>
            <w:tcW w:w="17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87"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157"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757" w:name="xdx_989_ecustom--ReceivablesPledged_iI_p"/>
            <w:bookmarkEnd w:id="757"/>
          </w:p>
        </w:tc>
        <w:tc>
          <w:tcPr>
            <w:tcW w:w="1110" w:type="dxa"/>
            <w:tcBorders>
              <w:bottom w:val="double" w:sz="6" w:space="0" w:color="000000"/>
            </w:tcBorders>
            <w:shd w:fill="EEEEEE" w:val="clear"/>
            <w:tcMar>
              <w:bottom w:w="28" w:type="dxa"/>
            </w:tcMar>
            <w:vAlign w:val="center"/>
          </w:tcPr>
          <w:p>
            <w:pPr>
              <w:pStyle w:val="TableContents"/>
              <w:bidi w:val="0"/>
              <w:spacing w:before="0" w:after="283"/>
              <w:jc w:val="right"/>
              <w:rPr/>
            </w:pPr>
            <w:r>
              <w:rPr/>
              <w:t>2,423,087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758" w:name="xdx_98A_ecustom--SecuritizationTrustDebt"/>
            <w:bookmarkEnd w:id="758"/>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r>
              <w:rPr/>
              <w:t>6,042,022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5"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759" w:name="xdx_980_eus-gaap--PrincipalAmountOutstan"/>
            <w:bookmarkEnd w:id="759"/>
          </w:p>
        </w:tc>
        <w:tc>
          <w:tcPr>
            <w:tcW w:w="1160" w:type="dxa"/>
            <w:tcBorders>
              <w:bottom w:val="double" w:sz="6" w:space="0" w:color="000000"/>
            </w:tcBorders>
            <w:shd w:fill="EEEEEE" w:val="clear"/>
            <w:tcMar>
              <w:bottom w:w="28" w:type="dxa"/>
            </w:tcMar>
            <w:vAlign w:val="center"/>
          </w:tcPr>
          <w:p>
            <w:pPr>
              <w:pStyle w:val="TableContents"/>
              <w:bidi w:val="0"/>
              <w:spacing w:before="0" w:after="283"/>
              <w:jc w:val="right"/>
              <w:rPr/>
            </w:pPr>
            <w:r>
              <w:rPr/>
              <w:t>2,257,832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3"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760" w:name="xdx_986_eus-gaap--PrincipalAmountOutstan"/>
            <w:bookmarkEnd w:id="760"/>
          </w:p>
        </w:tc>
        <w:tc>
          <w:tcPr>
            <w:tcW w:w="1147" w:type="dxa"/>
            <w:tcBorders>
              <w:bottom w:val="double" w:sz="6" w:space="0" w:color="000000"/>
            </w:tcBorders>
            <w:shd w:fill="EEEEEE" w:val="clear"/>
            <w:tcMar>
              <w:bottom w:w="28" w:type="dxa"/>
            </w:tcMar>
            <w:vAlign w:val="center"/>
          </w:tcPr>
          <w:p>
            <w:pPr>
              <w:pStyle w:val="TableContents"/>
              <w:bidi w:val="0"/>
              <w:spacing w:before="0" w:after="283"/>
              <w:jc w:val="right"/>
              <w:rPr/>
            </w:pPr>
            <w:r>
              <w:rPr/>
              <w:t>2,122,918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4" w:type="dxa"/>
            <w:tcBorders/>
            <w:shd w:fill="EEEEEE" w:val="clear"/>
            <w:vAlign w:val="center"/>
          </w:tcPr>
          <w:p>
            <w:pPr>
              <w:pStyle w:val="TableContents"/>
              <w:bidi w:val="0"/>
              <w:spacing w:before="0" w:after="283"/>
              <w:jc w:val="left"/>
              <w:rPr/>
            </w:pPr>
            <w:r>
              <w:rPr/>
              <w:t> </w:t>
            </w:r>
          </w:p>
        </w:tc>
        <w:tc>
          <w:tcPr>
            <w:tcW w:w="1216" w:type="dxa"/>
            <w:tcBorders/>
            <w:shd w:fill="EEEEEE" w:val="clear"/>
            <w:vAlign w:val="center"/>
          </w:tcPr>
          <w:p>
            <w:pPr>
              <w:pStyle w:val="TableContents"/>
              <w:bidi w:val="0"/>
              <w:spacing w:before="0" w:after="283"/>
              <w:jc w:val="right"/>
              <w:rPr/>
            </w:pPr>
            <w:r>
              <w:rPr/>
              <w:t> </w:t>
            </w:r>
          </w:p>
        </w:tc>
        <w:tc>
          <w:tcPr>
            <w:tcW w:w="236"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sz w:val="20"/>
        </w:rPr>
      </w:pPr>
      <w:r>
        <w:rPr>
          <w:sz w:val="20"/>
        </w:rPr>
        <w:t>_________________</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i/>
              </w:rPr>
            </w:pPr>
            <w:bookmarkStart w:id="761" w:name="xdx_F0B_zGfdaqbsYo4a"/>
            <w:bookmarkEnd w:id="761"/>
            <w:r>
              <w:rPr>
                <w:i/>
              </w:rPr>
              <w:t>(1)</w:t>
            </w:r>
          </w:p>
        </w:tc>
        <w:tc>
          <w:tcPr>
            <w:tcW w:w="9903" w:type="dxa"/>
            <w:tcBorders/>
            <w:vAlign w:val="center"/>
          </w:tcPr>
          <w:p>
            <w:pPr>
              <w:pStyle w:val="TableContents"/>
              <w:bidi w:val="0"/>
              <w:spacing w:before="0" w:after="283"/>
              <w:jc w:val="both"/>
              <w:rPr>
                <w:i/>
              </w:rPr>
            </w:pPr>
            <w:bookmarkStart w:id="762" w:name="xdx_F1F_z7wSzgn4o1sg"/>
            <w:bookmarkEnd w:id="762"/>
            <w:r>
              <w:rPr>
                <w:i/>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w:t>
            </w:r>
            <w:bookmarkStart w:id="763" w:name="xdx_90C_eus-gaap--LongTermDebtMaturities"/>
            <w:bookmarkEnd w:id="763"/>
            <w:r>
              <w:rPr>
                <w:i/>
              </w:rPr>
              <w:t>201.0 million in 2023, $</w:t>
            </w:r>
            <w:bookmarkStart w:id="764" w:name="xdx_907_eus-gaap--LongTermDebtMaturities"/>
            <w:bookmarkEnd w:id="764"/>
            <w:r>
              <w:rPr>
                <w:i/>
              </w:rPr>
              <w:t>844.3 million in 2024, $</w:t>
            </w:r>
            <w:bookmarkStart w:id="765" w:name="xdx_903_eus-gaap--LongTermDebtMaturities"/>
            <w:bookmarkEnd w:id="765"/>
            <w:r>
              <w:rPr>
                <w:i/>
              </w:rPr>
              <w:t>529.7 million in 2025, $</w:t>
            </w:r>
            <w:bookmarkStart w:id="766" w:name="xdx_900_eus-gaap--LongTermDebtMaturities"/>
            <w:bookmarkEnd w:id="766"/>
            <w:r>
              <w:rPr>
                <w:i/>
              </w:rPr>
              <w:t>317.1 million in 2026, $</w:t>
            </w:r>
            <w:bookmarkStart w:id="767" w:name="xdx_90C_eus-gaap--LongTermDebtMaturities"/>
            <w:bookmarkEnd w:id="767"/>
            <w:r>
              <w:rPr>
                <w:i/>
              </w:rPr>
              <w:t>206.2 million in 2027, $</w:t>
            </w:r>
            <w:bookmarkStart w:id="768" w:name="xdx_90C_eus-gaap--LongTermDebtMaturities"/>
            <w:bookmarkEnd w:id="768"/>
            <w:r>
              <w:rPr>
                <w:i/>
              </w:rPr>
              <w:t>119.0 million in 2028, and $</w:t>
            </w:r>
            <w:bookmarkStart w:id="769" w:name="xdx_90E_eus-gaap--LongTermDebtMaturities"/>
            <w:bookmarkEnd w:id="769"/>
            <w:r>
              <w:rPr>
                <w:i/>
              </w:rPr>
              <w:t>26.0 million in 2029.</w:t>
            </w:r>
          </w:p>
        </w:tc>
      </w:tr>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990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i/>
              </w:rPr>
            </w:pPr>
            <w:bookmarkStart w:id="770" w:name="xdx_F01_z8ZOHfh6ye1"/>
            <w:bookmarkEnd w:id="770"/>
            <w:r>
              <w:rPr>
                <w:i/>
              </w:rPr>
              <w:t>(2)</w:t>
            </w:r>
          </w:p>
        </w:tc>
        <w:tc>
          <w:tcPr>
            <w:tcW w:w="9903" w:type="dxa"/>
            <w:tcBorders/>
            <w:vAlign w:val="center"/>
          </w:tcPr>
          <w:p>
            <w:pPr>
              <w:pStyle w:val="TableContents"/>
              <w:bidi w:val="0"/>
              <w:spacing w:before="0" w:after="283"/>
              <w:jc w:val="left"/>
              <w:rPr>
                <w:i/>
              </w:rPr>
            </w:pPr>
            <w:bookmarkStart w:id="771" w:name="xdx_F1F_zKuDOZHGskk5"/>
            <w:bookmarkEnd w:id="771"/>
            <w:r>
              <w:rPr>
                <w:i/>
              </w:rPr>
              <w:t>Includes repossessed assets that are included in Other assets on our Unaudited Condensed Consolidated Balance Sheet.</w:t>
            </w:r>
          </w:p>
        </w:tc>
      </w:tr>
    </w:tbl>
    <w:p>
      <w:pPr>
        <w:pStyle w:val="TextBody"/>
        <w:bidi w:val="0"/>
        <w:spacing w:before="0" w:after="0"/>
        <w:jc w:val="left"/>
        <w:rPr>
          <w:caps w:val="false"/>
          <w:smallCaps w:val="false"/>
        </w:rPr>
      </w:pPr>
      <w:bookmarkStart w:id="772" w:name="xdx_8A7_zFeZltpKPAl5"/>
      <w:bookmarkEnd w:id="772"/>
      <w:r>
        <w:rPr>
          <w:caps w:val="false"/>
          <w:smallCaps w:val="false"/>
        </w:rPr>
        <w:t> </w:t>
      </w:r>
    </w:p>
    <w:p>
      <w:pPr>
        <w:pStyle w:val="TextBody"/>
        <w:bidi w:val="0"/>
        <w:spacing w:before="0" w:after="0"/>
        <w:jc w:val="left"/>
        <w:rPr>
          <w:caps w:val="false"/>
          <w:smallCaps w:val="false"/>
        </w:rPr>
      </w:pPr>
      <w:bookmarkStart w:id="773" w:name="xdx_23D_zjWXTsFKxLSh"/>
      <w:bookmarkEnd w:id="773"/>
      <w:r>
        <w:rPr>
          <w:caps w:val="false"/>
          <w:smallCaps w:val="false"/>
        </w:rPr>
        <w:t> </w:t>
      </w:r>
    </w:p>
    <w:p>
      <w:pPr>
        <w:pStyle w:val="TextBody"/>
        <w:bidi w:val="0"/>
        <w:spacing w:before="0" w:after="0"/>
        <w:jc w:val="left"/>
        <w:rPr>
          <w:caps w:val="false"/>
          <w:smallCaps w:val="false"/>
        </w:rPr>
      </w:pPr>
      <w:bookmarkStart w:id="774" w:name="xdx_239_zDkrPcjDMwBd"/>
      <w:bookmarkEnd w:id="774"/>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bookmarkStart w:id="775" w:name="xdx_23F_zMH68SYDfGKk"/>
            <w:bookmarkEnd w:id="775"/>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caps w:val="false"/>
          <w:smallCaps w:val="false"/>
        </w:rPr>
      </w:pPr>
      <w:bookmarkStart w:id="776" w:name="xdx_239_zJvbSRglgoP9"/>
      <w:bookmarkEnd w:id="776"/>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77" w:name="xdx_234_zJ5QKNH9AO7j"/>
      <w:bookmarkStart w:id="778" w:name="xdx_239_z0FoEi4Ku4s5"/>
      <w:bookmarkStart w:id="779" w:name="xdx_230_ze6TOPne8Qm3"/>
      <w:bookmarkStart w:id="780" w:name="xdx_238_zAJTYUwx0Uic"/>
      <w:bookmarkStart w:id="781" w:name="xdx_239_zqzummA18thh"/>
      <w:bookmarkStart w:id="782" w:name="xdx_230_zMZn90XodOHg"/>
      <w:bookmarkStart w:id="783" w:name="xdx_235_zv7gVxksTY82"/>
      <w:bookmarkStart w:id="784" w:name="xdx_23C_zXnRxoidhxRi"/>
      <w:bookmarkStart w:id="785" w:name="xdx_238_zPlPofknaO8g"/>
      <w:bookmarkEnd w:id="777"/>
      <w:bookmarkEnd w:id="778"/>
      <w:bookmarkEnd w:id="779"/>
      <w:bookmarkEnd w:id="780"/>
      <w:bookmarkEnd w:id="781"/>
      <w:bookmarkEnd w:id="782"/>
      <w:bookmarkEnd w:id="783"/>
      <w:bookmarkEnd w:id="784"/>
      <w:bookmarkEnd w:id="785"/>
      <w:r>
        <w:rPr>
          <w:rFonts w:ascii="Times New Roman;Times;Serif" w:hAnsi="Times New Roman;Times;Serif"/>
          <w:b/>
          <w:i w:val="false"/>
          <w:caps w:val="false"/>
          <w:smallCaps w:val="false"/>
          <w:sz w:val="20"/>
        </w:rPr>
        <w:t>CONSUMER PORTFOLIO SERVICES,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86" w:name="xdx_234_zy5V05qaWl3c"/>
      <w:bookmarkStart w:id="787" w:name="xdx_239_z0xci7CmYNG8"/>
      <w:bookmarkEnd w:id="786"/>
      <w:bookmarkEnd w:id="787"/>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bookmarkStart w:id="788" w:name="xdx_235_zsUAh8e1LSZ7"/>
      <w:bookmarkEnd w:id="788"/>
      <w:r>
        <w:rPr>
          <w:caps w:val="false"/>
          <w:smallCaps w:val="false"/>
        </w:rPr>
        <w:t> </w:t>
      </w:r>
    </w:p>
    <w:p>
      <w:pPr>
        <w:pStyle w:val="TextBody"/>
        <w:bidi w:val="0"/>
        <w:spacing w:before="0" w:after="0"/>
        <w:jc w:val="left"/>
        <w:rPr>
          <w:caps w:val="false"/>
          <w:smallCaps w:val="false"/>
        </w:rPr>
      </w:pPr>
      <w:bookmarkStart w:id="789" w:name="xdx_239_z27IiEhepPT1"/>
      <w:bookmarkEnd w:id="789"/>
      <w:r>
        <w:rPr>
          <w:caps w:val="false"/>
          <w:smallCaps w:val="false"/>
        </w:rPr>
        <w:t> </w:t>
      </w:r>
    </w:p>
    <w:p>
      <w:pPr>
        <w:pStyle w:val="TextBody"/>
        <w:bidi w:val="0"/>
        <w:spacing w:before="0" w:after="0"/>
        <w:ind w:left="0" w:right="0" w:firstLine="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issuance costs of $</w:t>
      </w:r>
      <w:bookmarkStart w:id="790" w:name="xdx_90C_eus-gaap--DeferredFinanceCostsGr"/>
      <w:bookmarkEnd w:id="790"/>
      <w:r>
        <w:rPr>
          <w:rFonts w:ascii="Times New Roman;Times;Serif" w:hAnsi="Times New Roman;Times;Serif"/>
          <w:b w:val="false"/>
          <w:i w:val="false"/>
          <w:caps w:val="false"/>
          <w:smallCaps w:val="false"/>
          <w:sz w:val="20"/>
        </w:rPr>
        <w:t>14.5 million and $</w:t>
      </w:r>
      <w:bookmarkStart w:id="791" w:name="xdx_903_eus-gaap--DeferredFinanceCostsGr"/>
      <w:bookmarkEnd w:id="791"/>
      <w:r>
        <w:rPr>
          <w:rFonts w:ascii="Times New Roman;Times;Serif" w:hAnsi="Times New Roman;Times;Serif"/>
          <w:b w:val="false"/>
          <w:i w:val="false"/>
          <w:caps w:val="false"/>
          <w:smallCaps w:val="false"/>
          <w:sz w:val="20"/>
        </w:rPr>
        <w:t>14.2 million as of September 30, 2023 and December 31, 2022, respectively, have been excluded from the table above. These debt issuance costs are presented as a direct deduction to the carrying amount of the Securitization trust debt on our Consolidated Balance Sheets.</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securitization trust debt was sold in private placement transactions to qualified institutional buyers. The debt was issued through our wholly-owned bankruptcy remote subsidiaries and is secured by the assets of such subsidiaries, but not by our other assets.</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securitization agreements related to the issuance of the securitization trust debt and the warehouse credit facilities require that we meet certain delinquency and credit loss criteria with respect to the pool of receivables, and certain of the agreements require that we maintain minimum levels of liquidity and not exceed maximum leverage levels. As of September 30, 2023, we were in compliance with all such covenants.</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responsible for the administration and collection of the automobile contracts. The securitization agreements also require certain funds be held in restricted cash accounts to provide additional collateral for the borrowings, to be applied to make payments on the securitization trust debt or as pre-funding proceeds from a term securitization prior to the purchase of additional collateral. As of September 30, 2023, restricted cash under the various agreements totaled approximately $</w:t>
      </w:r>
      <w:bookmarkStart w:id="792" w:name="xdx_904_eus-gaap--RestrictedCash_iI_pn5n"/>
      <w:bookmarkEnd w:id="792"/>
      <w:r>
        <w:rPr>
          <w:rFonts w:ascii="Times New Roman;Times;Serif" w:hAnsi="Times New Roman;Times;Serif"/>
          <w:b w:val="false"/>
          <w:i w:val="false"/>
          <w:caps w:val="false"/>
          <w:smallCaps w:val="false"/>
          <w:sz w:val="20"/>
        </w:rPr>
        <w:t>142.1 million. Interest expense on the securitization trust debt consists of the stated rate of interest plus amortization of additional costs of borrowing. Additional costs of borrowing include facility fees, amortization of deferred financing costs and discounts on notes sold. Deferred financing costs and discounts on notes sold related to the securitization trust debt are amortized using a level yield method. Accordingly, the effective cost of the securitization trust debt is greater than the contractual rate of interest disclosed above.</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wholly-owned bankruptcy remote subsidiaries were formed to facilitate the above asset-backed financing transactions. Similar bankruptcy remote subsidiaries issue the debt outstanding under our credit facilities.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financings for accounting and tax purposes, are treated as sales for all other purposes, including legal and bankruptcy purposes. None of the assets of these subsidiaries are available to pay other creditors.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93" w:name="xdx_80C_eus-gaap--DebtDisclosureTextBloc"/>
      <w:bookmarkEnd w:id="793"/>
      <w:r>
        <w:rPr>
          <w:rFonts w:ascii="Times New Roman;Times;Serif" w:hAnsi="Times New Roman;Times;Serif"/>
          <w:b/>
          <w:i w:val="false"/>
          <w:caps w:val="false"/>
          <w:smallCaps w:val="false"/>
          <w:sz w:val="20"/>
        </w:rPr>
        <w:t xml:space="preserve">(4) </w:t>
      </w:r>
      <w:bookmarkStart w:id="794" w:name="xdx_824_zcNBK4ow3qWi"/>
      <w:bookmarkEnd w:id="794"/>
      <w:r>
        <w:rPr>
          <w:rFonts w:ascii="Times New Roman;Times;Serif" w:hAnsi="Times New Roman;Times;Serif"/>
          <w:b/>
          <w:i/>
          <w:caps w:val="false"/>
          <w:smallCaps w:val="false"/>
          <w:sz w:val="20"/>
        </w:rPr>
        <w:t>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amounts of our other debt outstanding at September 30, 2023 and December 31, 2022 are summarized below:</w:t>
      </w:r>
    </w:p>
    <w:p>
      <w:pPr>
        <w:pStyle w:val="Normal"/>
        <w:bidi w:val="0"/>
        <w:spacing w:before="0" w:after="0"/>
        <w:jc w:val="left"/>
        <w:rPr>
          <w:sz w:val="4"/>
          <w:szCs w:val="4"/>
        </w:rPr>
      </w:pPr>
      <w:r>
        <w:rPr>
          <w:sz w:val="4"/>
          <w:szCs w:val="4"/>
        </w:rPr>
      </w:r>
      <w:bookmarkStart w:id="795" w:name="xdx_88B_eus-gaap--ScheduleOfDebtTableTex"/>
      <w:bookmarkStart w:id="796" w:name="xdx_88B_eus-gaap--ScheduleOfDebtTableTex"/>
      <w:bookmarkEnd w:id="796"/>
    </w:p>
    <w:tbl>
      <w:tblPr>
        <w:tblW w:w="10205" w:type="dxa"/>
        <w:jc w:val="left"/>
        <w:tblInd w:w="0" w:type="dxa"/>
        <w:tblLayout w:type="fixed"/>
        <w:tblCellMar>
          <w:top w:w="0" w:type="dxa"/>
          <w:left w:w="0" w:type="dxa"/>
          <w:bottom w:w="0" w:type="dxa"/>
          <w:right w:w="0" w:type="dxa"/>
        </w:tblCellMar>
      </w:tblPr>
      <w:tblGrid>
        <w:gridCol w:w="1602"/>
        <w:gridCol w:w="60"/>
        <w:gridCol w:w="3341"/>
        <w:gridCol w:w="60"/>
        <w:gridCol w:w="60"/>
        <w:gridCol w:w="2976"/>
        <w:gridCol w:w="60"/>
        <w:gridCol w:w="60"/>
        <w:gridCol w:w="178"/>
        <w:gridCol w:w="743"/>
        <w:gridCol w:w="63"/>
        <w:gridCol w:w="63"/>
        <w:gridCol w:w="138"/>
        <w:gridCol w:w="723"/>
        <w:gridCol w:w="78"/>
      </w:tblGrid>
      <w:tr>
        <w:trPr/>
        <w:tc>
          <w:tcPr>
            <w:tcW w:w="1602" w:type="dxa"/>
            <w:tcBorders/>
            <w:vAlign w:val="center"/>
          </w:tcPr>
          <w:p>
            <w:pPr>
              <w:pStyle w:val="TableContents"/>
              <w:bidi w:val="0"/>
              <w:spacing w:before="0" w:after="283"/>
              <w:jc w:val="left"/>
              <w:rPr/>
            </w:pPr>
            <w:bookmarkStart w:id="797" w:name="xdx_8BF_zaKKBJtbuicb"/>
            <w:bookmarkEnd w:id="797"/>
            <w:r>
              <w:rPr/>
              <w:t>Schedule of debt outstanding</w:t>
            </w:r>
          </w:p>
        </w:tc>
        <w:tc>
          <w:tcPr>
            <w:tcW w:w="60" w:type="dxa"/>
            <w:tcBorders/>
            <w:vAlign w:val="center"/>
          </w:tcPr>
          <w:p>
            <w:pPr>
              <w:pStyle w:val="TableContents"/>
              <w:bidi w:val="0"/>
              <w:spacing w:before="0" w:after="283"/>
              <w:jc w:val="left"/>
              <w:rPr/>
            </w:pPr>
            <w:r>
              <w:rPr/>
              <w:t> </w:t>
            </w:r>
          </w:p>
        </w:tc>
        <w:tc>
          <w:tcPr>
            <w:tcW w:w="33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6"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8" w:type="dxa"/>
            <w:gridSpan w:val="6"/>
            <w:tcBorders/>
            <w:vAlign w:val="center"/>
          </w:tcPr>
          <w:p>
            <w:pPr>
              <w:pStyle w:val="TableContents"/>
              <w:bidi w:val="0"/>
              <w:spacing w:before="0" w:after="283"/>
              <w:jc w:val="center"/>
              <w:rPr/>
            </w:pPr>
            <w:r>
              <w:rPr/>
              <w:t> </w:t>
            </w:r>
          </w:p>
        </w:tc>
        <w:tc>
          <w:tcPr>
            <w:tcW w:w="78" w:type="dxa"/>
            <w:tcBorders/>
            <w:vAlign w:val="center"/>
          </w:tcPr>
          <w:p>
            <w:pPr>
              <w:pStyle w:val="TableContents"/>
              <w:bidi w:val="0"/>
              <w:spacing w:before="0" w:after="283"/>
              <w:jc w:val="left"/>
              <w:rPr/>
            </w:pPr>
            <w:r>
              <w:rPr/>
              <w:t> </w:t>
            </w:r>
          </w:p>
        </w:tc>
      </w:tr>
      <w:tr>
        <w:trPr/>
        <w:tc>
          <w:tcPr>
            <w:tcW w:w="16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6"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8" w:type="dxa"/>
            <w:gridSpan w:val="6"/>
            <w:tcBorders/>
            <w:vAlign w:val="center"/>
          </w:tcPr>
          <w:p>
            <w:pPr>
              <w:pStyle w:val="TableContents"/>
              <w:bidi w:val="0"/>
              <w:spacing w:before="0" w:after="283"/>
              <w:jc w:val="center"/>
              <w:rPr>
                <w:b/>
                <w:sz w:val="18"/>
              </w:rPr>
            </w:pPr>
            <w:r>
              <w:rPr>
                <w:b/>
                <w:sz w:val="18"/>
              </w:rPr>
              <w:t>Amount Outstanding at</w:t>
            </w:r>
          </w:p>
        </w:tc>
        <w:tc>
          <w:tcPr>
            <w:tcW w:w="78" w:type="dxa"/>
            <w:tcBorders/>
            <w:vAlign w:val="center"/>
          </w:tcPr>
          <w:p>
            <w:pPr>
              <w:pStyle w:val="TableContents"/>
              <w:bidi w:val="0"/>
              <w:spacing w:before="0" w:after="283"/>
              <w:jc w:val="left"/>
              <w:rPr/>
            </w:pPr>
            <w:r>
              <w:rPr/>
              <w:t> </w:t>
            </w:r>
          </w:p>
        </w:tc>
      </w:tr>
      <w:tr>
        <w:trPr/>
        <w:tc>
          <w:tcPr>
            <w:tcW w:w="16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6"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1" w:type="dxa"/>
            <w:gridSpan w:val="2"/>
            <w:tcBorders>
              <w:bottom w:val="single" w:sz="8" w:space="0" w:color="000000"/>
            </w:tcBorders>
            <w:tcMar>
              <w:bottom w:w="28" w:type="dxa"/>
            </w:tcMar>
            <w:vAlign w:val="center"/>
          </w:tcPr>
          <w:p>
            <w:pPr>
              <w:pStyle w:val="TableContents"/>
              <w:bidi w:val="0"/>
              <w:spacing w:before="0" w:after="283"/>
              <w:jc w:val="center"/>
              <w:rPr>
                <w:b/>
                <w:sz w:val="18"/>
              </w:rPr>
            </w:pPr>
            <w:r>
              <w:rPr>
                <w:b/>
                <w:sz w:val="18"/>
              </w:rPr>
              <w:t>September 30,</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61" w:type="dxa"/>
            <w:gridSpan w:val="2"/>
            <w:tcBorders>
              <w:bottom w:val="single" w:sz="8" w:space="0" w:color="000000"/>
            </w:tcBorders>
            <w:tcMar>
              <w:bottom w:w="28" w:type="dxa"/>
            </w:tcMar>
            <w:vAlign w:val="center"/>
          </w:tcPr>
          <w:p>
            <w:pPr>
              <w:pStyle w:val="TableContents"/>
              <w:bidi w:val="0"/>
              <w:spacing w:before="0" w:after="283"/>
              <w:jc w:val="center"/>
              <w:rPr>
                <w:b/>
                <w:sz w:val="18"/>
              </w:rPr>
            </w:pPr>
            <w:r>
              <w:rPr>
                <w:b/>
                <w:sz w:val="18"/>
              </w:rPr>
              <w:t>December 31,</w:t>
            </w:r>
          </w:p>
        </w:tc>
        <w:tc>
          <w:tcPr>
            <w:tcW w:w="78" w:type="dxa"/>
            <w:tcBorders/>
            <w:vAlign w:val="center"/>
          </w:tcPr>
          <w:p>
            <w:pPr>
              <w:pStyle w:val="TableContents"/>
              <w:bidi w:val="0"/>
              <w:spacing w:before="0" w:after="283"/>
              <w:jc w:val="left"/>
              <w:rPr/>
            </w:pPr>
            <w:r>
              <w:rPr/>
              <w:t> </w:t>
            </w:r>
          </w:p>
        </w:tc>
      </w:tr>
      <w:tr>
        <w:trPr/>
        <w:tc>
          <w:tcPr>
            <w:tcW w:w="16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6"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1" w:type="dxa"/>
            <w:gridSpan w:val="2"/>
            <w:tcBorders>
              <w:bottom w:val="single" w:sz="8" w:space="0" w:color="000000"/>
            </w:tcBorders>
            <w:tcMar>
              <w:bottom w:w="28" w:type="dxa"/>
            </w:tcMar>
            <w:vAlign w:val="center"/>
          </w:tcPr>
          <w:p>
            <w:pPr>
              <w:pStyle w:val="TableContents"/>
              <w:bidi w:val="0"/>
              <w:spacing w:before="0" w:after="283"/>
              <w:jc w:val="center"/>
              <w:rPr>
                <w:b/>
                <w:sz w:val="18"/>
              </w:rPr>
            </w:pPr>
            <w:r>
              <w:rPr>
                <w:b/>
                <w:sz w:val="18"/>
              </w:rPr>
              <w:t>2023</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61" w:type="dxa"/>
            <w:gridSpan w:val="2"/>
            <w:tcBorders>
              <w:bottom w:val="single" w:sz="8" w:space="0" w:color="000000"/>
            </w:tcBorders>
            <w:tcMar>
              <w:bottom w:w="28" w:type="dxa"/>
            </w:tcMar>
            <w:vAlign w:val="center"/>
          </w:tcPr>
          <w:p>
            <w:pPr>
              <w:pStyle w:val="TableContents"/>
              <w:bidi w:val="0"/>
              <w:spacing w:before="0" w:after="283"/>
              <w:jc w:val="center"/>
              <w:rPr>
                <w:b/>
                <w:sz w:val="18"/>
              </w:rPr>
            </w:pPr>
            <w:r>
              <w:rPr>
                <w:b/>
                <w:sz w:val="18"/>
              </w:rPr>
              <w:t>2022</w:t>
            </w:r>
          </w:p>
        </w:tc>
        <w:tc>
          <w:tcPr>
            <w:tcW w:w="78" w:type="dxa"/>
            <w:tcBorders/>
            <w:vAlign w:val="center"/>
          </w:tcPr>
          <w:p>
            <w:pPr>
              <w:pStyle w:val="TableContents"/>
              <w:bidi w:val="0"/>
              <w:spacing w:before="0" w:after="283"/>
              <w:jc w:val="left"/>
              <w:rPr/>
            </w:pPr>
            <w:r>
              <w:rPr/>
              <w:t> </w:t>
            </w:r>
          </w:p>
        </w:tc>
      </w:tr>
      <w:tr>
        <w:trPr/>
        <w:tc>
          <w:tcPr>
            <w:tcW w:w="16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6"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8" w:type="dxa"/>
            <w:gridSpan w:val="6"/>
            <w:tcBorders/>
            <w:vAlign w:val="center"/>
          </w:tcPr>
          <w:p>
            <w:pPr>
              <w:pStyle w:val="TableContents"/>
              <w:bidi w:val="0"/>
              <w:spacing w:before="0" w:after="283"/>
              <w:jc w:val="center"/>
              <w:rPr>
                <w:b/>
                <w:sz w:val="18"/>
              </w:rPr>
            </w:pPr>
            <w:r>
              <w:rPr>
                <w:b/>
                <w:sz w:val="18"/>
              </w:rPr>
              <w:t>(In thousands)</w:t>
            </w:r>
          </w:p>
        </w:tc>
        <w:tc>
          <w:tcPr>
            <w:tcW w:w="78" w:type="dxa"/>
            <w:tcBorders/>
            <w:vAlign w:val="center"/>
          </w:tcPr>
          <w:p>
            <w:pPr>
              <w:pStyle w:val="TableContents"/>
              <w:bidi w:val="0"/>
              <w:spacing w:before="0" w:after="283"/>
              <w:jc w:val="left"/>
              <w:rPr/>
            </w:pPr>
            <w:r>
              <w:rPr/>
              <w:t> </w:t>
            </w:r>
          </w:p>
        </w:tc>
      </w:tr>
      <w:tr>
        <w:trPr/>
        <w:tc>
          <w:tcPr>
            <w:tcW w:w="1602" w:type="dxa"/>
            <w:tcBorders>
              <w:bottom w:val="single" w:sz="8" w:space="0" w:color="000000"/>
            </w:tcBorders>
            <w:tcMar>
              <w:bottom w:w="28" w:type="dxa"/>
            </w:tcMar>
            <w:vAlign w:val="center"/>
          </w:tcPr>
          <w:p>
            <w:pPr>
              <w:pStyle w:val="TableContents"/>
              <w:bidi w:val="0"/>
              <w:spacing w:before="0" w:after="283"/>
              <w:jc w:val="center"/>
              <w:rPr>
                <w:sz w:val="18"/>
              </w:rPr>
            </w:pPr>
            <w:r>
              <w:rPr>
                <w:sz w:val="18"/>
              </w:rPr>
              <w:t>Description</w:t>
            </w:r>
          </w:p>
        </w:tc>
        <w:tc>
          <w:tcPr>
            <w:tcW w:w="60" w:type="dxa"/>
            <w:tcBorders/>
            <w:vAlign w:val="center"/>
          </w:tcPr>
          <w:p>
            <w:pPr>
              <w:pStyle w:val="TableContents"/>
              <w:bidi w:val="0"/>
              <w:spacing w:before="0" w:after="283"/>
              <w:jc w:val="left"/>
              <w:rPr/>
            </w:pPr>
            <w:r>
              <w:rPr/>
              <w:t> </w:t>
            </w:r>
          </w:p>
        </w:tc>
        <w:tc>
          <w:tcPr>
            <w:tcW w:w="3341" w:type="dxa"/>
            <w:tcBorders>
              <w:bottom w:val="single" w:sz="8" w:space="0" w:color="000000"/>
            </w:tcBorders>
            <w:tcMar>
              <w:bottom w:w="28" w:type="dxa"/>
            </w:tcMar>
            <w:vAlign w:val="center"/>
          </w:tcPr>
          <w:p>
            <w:pPr>
              <w:pStyle w:val="TableContents"/>
              <w:bidi w:val="0"/>
              <w:spacing w:before="0" w:after="283"/>
              <w:jc w:val="center"/>
              <w:rPr>
                <w:sz w:val="18"/>
              </w:rPr>
            </w:pPr>
            <w:r>
              <w:rPr>
                <w:sz w:val="18"/>
              </w:rPr>
              <w:t>Interest Rate</w:t>
            </w:r>
          </w:p>
        </w:tc>
        <w:tc>
          <w:tcPr>
            <w:tcW w:w="60" w:type="dxa"/>
            <w:tcBorders/>
            <w:vAlign w:val="center"/>
          </w:tcPr>
          <w:p>
            <w:pPr>
              <w:pStyle w:val="TableContents"/>
              <w:bidi w:val="0"/>
              <w:spacing w:before="0" w:after="283"/>
              <w:jc w:val="left"/>
              <w:rPr/>
            </w:pPr>
            <w:r>
              <w:rPr/>
              <w:t> </w:t>
            </w:r>
          </w:p>
        </w:tc>
        <w:tc>
          <w:tcPr>
            <w:tcW w:w="3036" w:type="dxa"/>
            <w:gridSpan w:val="2"/>
            <w:tcBorders>
              <w:bottom w:val="single" w:sz="8" w:space="0" w:color="000000"/>
            </w:tcBorders>
            <w:tcMar>
              <w:bottom w:w="28" w:type="dxa"/>
            </w:tcMar>
            <w:vAlign w:val="center"/>
          </w:tcPr>
          <w:p>
            <w:pPr>
              <w:pStyle w:val="TableContents"/>
              <w:bidi w:val="0"/>
              <w:spacing w:before="0" w:after="283"/>
              <w:jc w:val="center"/>
              <w:rPr>
                <w:sz w:val="18"/>
              </w:rPr>
            </w:pPr>
            <w:r>
              <w:rPr>
                <w:sz w:val="18"/>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1" w:type="dxa"/>
            <w:gridSpan w:val="2"/>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61" w:type="dxa"/>
            <w:gridSpan w:val="2"/>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r>
      <w:tr>
        <w:trPr/>
        <w:tc>
          <w:tcPr>
            <w:tcW w:w="16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6"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1" w:type="dxa"/>
            <w:gridSpan w:val="2"/>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61" w:type="dxa"/>
            <w:gridSpan w:val="2"/>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r>
      <w:tr>
        <w:trPr/>
        <w:tc>
          <w:tcPr>
            <w:tcW w:w="1602" w:type="dxa"/>
            <w:tcBorders/>
            <w:shd w:fill="EEEEEE" w:val="clear"/>
            <w:vAlign w:val="center"/>
          </w:tcPr>
          <w:p>
            <w:pPr>
              <w:pStyle w:val="TableContents"/>
              <w:bidi w:val="0"/>
              <w:spacing w:before="0" w:after="283"/>
              <w:jc w:val="left"/>
              <w:rPr>
                <w:sz w:val="18"/>
              </w:rPr>
            </w:pPr>
            <w:r>
              <w:rPr>
                <w:sz w:val="18"/>
              </w:rPr>
              <w:t>Warehouse lines of credit</w:t>
            </w:r>
          </w:p>
        </w:tc>
        <w:tc>
          <w:tcPr>
            <w:tcW w:w="60" w:type="dxa"/>
            <w:tcBorders/>
            <w:shd w:fill="EEEEEE" w:val="clear"/>
            <w:vAlign w:val="center"/>
          </w:tcPr>
          <w:p>
            <w:pPr>
              <w:pStyle w:val="TableContents"/>
              <w:bidi w:val="0"/>
              <w:spacing w:before="0" w:after="283"/>
              <w:jc w:val="left"/>
              <w:rPr/>
            </w:pPr>
            <w:r>
              <w:rPr/>
              <w:t> </w:t>
            </w:r>
          </w:p>
        </w:tc>
        <w:tc>
          <w:tcPr>
            <w:tcW w:w="3341" w:type="dxa"/>
            <w:tcBorders/>
            <w:shd w:fill="EEEEEE" w:val="clear"/>
            <w:vAlign w:val="center"/>
          </w:tcPr>
          <w:p>
            <w:pPr>
              <w:pStyle w:val="TableContents"/>
              <w:bidi w:val="0"/>
              <w:spacing w:before="0" w:after="283"/>
              <w:jc w:val="center"/>
              <w:rPr>
                <w:sz w:val="18"/>
              </w:rPr>
            </w:pPr>
            <w:bookmarkStart w:id="798" w:name="xdx_905_eus-gaap--DebtInstrumentInterest"/>
            <w:bookmarkEnd w:id="798"/>
            <w:r>
              <w:rPr>
                <w:sz w:val="18"/>
              </w:rPr>
              <w:t>3.00% over one month Libor (Minimum 3.75%) 8.59% and 7.48% at September 30, 2023 and December 31, 2022, respectively</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976" w:type="dxa"/>
            <w:tcBorders/>
            <w:shd w:fill="EEEEEE" w:val="clear"/>
            <w:vAlign w:val="center"/>
          </w:tcPr>
          <w:p>
            <w:pPr>
              <w:pStyle w:val="TableContents"/>
              <w:bidi w:val="0"/>
              <w:spacing w:before="0" w:after="283"/>
              <w:jc w:val="center"/>
              <w:rPr>
                <w:sz w:val="18"/>
              </w:rPr>
            </w:pPr>
            <w:bookmarkStart w:id="799" w:name="xdx_90D_eus-gaap--DebtInstrumentMaturity"/>
            <w:bookmarkEnd w:id="799"/>
            <w:r>
              <w:rPr>
                <w:sz w:val="18"/>
              </w:rPr>
              <w:t>July 2024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8" w:type="dxa"/>
            <w:tcBorders/>
            <w:shd w:fill="EEEEEE" w:val="clear"/>
            <w:vAlign w:val="center"/>
          </w:tcPr>
          <w:p>
            <w:pPr>
              <w:pStyle w:val="TableContents"/>
              <w:bidi w:val="0"/>
              <w:spacing w:before="0" w:after="283"/>
              <w:jc w:val="left"/>
              <w:rPr/>
            </w:pPr>
            <w:r>
              <w:rPr/>
              <w:t>$</w:t>
            </w:r>
            <w:bookmarkStart w:id="800" w:name="xdx_987_eus-gaap--WarehouseAgreementBorr"/>
            <w:bookmarkEnd w:id="800"/>
          </w:p>
        </w:tc>
        <w:tc>
          <w:tcPr>
            <w:tcW w:w="743" w:type="dxa"/>
            <w:tcBorders/>
            <w:shd w:fill="EEEEEE" w:val="clear"/>
            <w:vAlign w:val="center"/>
          </w:tcPr>
          <w:p>
            <w:pPr>
              <w:pStyle w:val="TableContents"/>
              <w:bidi w:val="0"/>
              <w:spacing w:before="0" w:after="283"/>
              <w:jc w:val="right"/>
              <w:rPr>
                <w:sz w:val="18"/>
              </w:rPr>
            </w:pPr>
            <w:r>
              <w:rPr>
                <w:sz w:val="18"/>
              </w:rPr>
              <w:t>163,462</w:t>
            </w:r>
          </w:p>
        </w:tc>
        <w:tc>
          <w:tcPr>
            <w:tcW w:w="63" w:type="dxa"/>
            <w:tcBorders/>
            <w:shd w:fill="EEEEEE" w:val="clear"/>
            <w:vAlign w:val="center"/>
          </w:tcPr>
          <w:p>
            <w:pPr>
              <w:pStyle w:val="TableContents"/>
              <w:bidi w:val="0"/>
              <w:spacing w:before="0" w:after="283"/>
              <w:jc w:val="left"/>
              <w:rPr/>
            </w:pPr>
            <w:r>
              <w:rPr/>
              <w:t> </w:t>
            </w:r>
          </w:p>
        </w:tc>
        <w:tc>
          <w:tcPr>
            <w:tcW w:w="63"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sz w:val="18"/>
              </w:rPr>
            </w:pPr>
            <w:r>
              <w:rPr>
                <w:sz w:val="18"/>
              </w:rPr>
              <w:t>$</w:t>
            </w:r>
            <w:bookmarkStart w:id="801" w:name="xdx_981_eus-gaap--WarehouseAgreementBorr"/>
            <w:bookmarkEnd w:id="801"/>
          </w:p>
        </w:tc>
        <w:tc>
          <w:tcPr>
            <w:tcW w:w="723" w:type="dxa"/>
            <w:tcBorders/>
            <w:shd w:fill="EEEEEE" w:val="clear"/>
            <w:vAlign w:val="center"/>
          </w:tcPr>
          <w:p>
            <w:pPr>
              <w:pStyle w:val="TableContents"/>
              <w:bidi w:val="0"/>
              <w:spacing w:before="0" w:after="283"/>
              <w:jc w:val="right"/>
              <w:rPr>
                <w:sz w:val="18"/>
              </w:rPr>
            </w:pPr>
            <w:r>
              <w:rPr>
                <w:sz w:val="18"/>
              </w:rPr>
              <w:t>150,293</w:t>
            </w:r>
          </w:p>
        </w:tc>
        <w:tc>
          <w:tcPr>
            <w:tcW w:w="78" w:type="dxa"/>
            <w:tcBorders/>
            <w:shd w:fill="EEEEEE" w:val="clear"/>
            <w:vAlign w:val="center"/>
          </w:tcPr>
          <w:p>
            <w:pPr>
              <w:pStyle w:val="TableContents"/>
              <w:bidi w:val="0"/>
              <w:spacing w:before="0" w:after="283"/>
              <w:jc w:val="left"/>
              <w:rPr/>
            </w:pPr>
            <w:r>
              <w:rPr/>
              <w:t> </w:t>
            </w:r>
          </w:p>
        </w:tc>
      </w:tr>
      <w:tr>
        <w:trPr/>
        <w:tc>
          <w:tcPr>
            <w:tcW w:w="16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7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1602"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3341" w:type="dxa"/>
            <w:tcBorders/>
            <w:shd w:fill="EEEEEE" w:val="clear"/>
            <w:vAlign w:val="center"/>
          </w:tcPr>
          <w:p>
            <w:pPr>
              <w:pStyle w:val="TableContents"/>
              <w:bidi w:val="0"/>
              <w:spacing w:before="0" w:after="283"/>
              <w:jc w:val="center"/>
              <w:rPr>
                <w:sz w:val="18"/>
              </w:rPr>
            </w:pPr>
            <w:bookmarkStart w:id="802" w:name="xdx_90C_eus-gaap--DebtInstrumentInterest"/>
            <w:bookmarkEnd w:id="802"/>
            <w:r>
              <w:rPr>
                <w:sz w:val="18"/>
              </w:rPr>
              <w:t>4.15% over a commercial paper rate (Minimum 5.15%) 9.60% and 8.60% at September 30, 2023, and December 31, 2022, respectively</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976" w:type="dxa"/>
            <w:tcBorders/>
            <w:shd w:fill="EEEEEE" w:val="clear"/>
            <w:vAlign w:val="center"/>
          </w:tcPr>
          <w:p>
            <w:pPr>
              <w:pStyle w:val="TableContents"/>
              <w:bidi w:val="0"/>
              <w:spacing w:before="0" w:after="283"/>
              <w:jc w:val="center"/>
              <w:rPr>
                <w:sz w:val="18"/>
              </w:rPr>
            </w:pPr>
            <w:bookmarkStart w:id="803" w:name="xdx_90C_eus-gaap--DebtInstrumentMaturity"/>
            <w:bookmarkEnd w:id="803"/>
            <w:r>
              <w:rPr>
                <w:sz w:val="18"/>
              </w:rPr>
              <w:t>January 2024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8" w:type="dxa"/>
            <w:tcBorders/>
            <w:shd w:fill="EEEEEE" w:val="clear"/>
            <w:vAlign w:val="center"/>
          </w:tcPr>
          <w:p>
            <w:pPr>
              <w:pStyle w:val="TableContents"/>
              <w:bidi w:val="0"/>
              <w:spacing w:before="0" w:after="283"/>
              <w:jc w:val="left"/>
              <w:rPr/>
            </w:pPr>
            <w:r>
              <w:rPr/>
              <w:t> </w:t>
            </w:r>
            <w:bookmarkStart w:id="804" w:name="xdx_985_eus-gaap--WarehouseAgreementBorr"/>
            <w:bookmarkEnd w:id="804"/>
          </w:p>
        </w:tc>
        <w:tc>
          <w:tcPr>
            <w:tcW w:w="743" w:type="dxa"/>
            <w:tcBorders/>
            <w:shd w:fill="EEEEEE" w:val="clear"/>
            <w:vAlign w:val="center"/>
          </w:tcPr>
          <w:p>
            <w:pPr>
              <w:pStyle w:val="TableContents"/>
              <w:bidi w:val="0"/>
              <w:spacing w:before="0" w:after="283"/>
              <w:jc w:val="right"/>
              <w:rPr>
                <w:sz w:val="18"/>
              </w:rPr>
            </w:pPr>
            <w:r>
              <w:rPr>
                <w:sz w:val="18"/>
              </w:rPr>
              <w:t>78,009</w:t>
            </w:r>
          </w:p>
        </w:tc>
        <w:tc>
          <w:tcPr>
            <w:tcW w:w="63" w:type="dxa"/>
            <w:tcBorders/>
            <w:shd w:fill="EEEEEE" w:val="clear"/>
            <w:vAlign w:val="center"/>
          </w:tcPr>
          <w:p>
            <w:pPr>
              <w:pStyle w:val="TableContents"/>
              <w:bidi w:val="0"/>
              <w:spacing w:before="0" w:after="283"/>
              <w:jc w:val="left"/>
              <w:rPr/>
            </w:pPr>
            <w:r>
              <w:rPr/>
              <w:t> </w:t>
            </w:r>
          </w:p>
        </w:tc>
        <w:tc>
          <w:tcPr>
            <w:tcW w:w="63"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bookmarkStart w:id="805" w:name="xdx_985_eus-gaap--WarehouseAgreementBorr"/>
            <w:bookmarkEnd w:id="805"/>
          </w:p>
        </w:tc>
        <w:tc>
          <w:tcPr>
            <w:tcW w:w="723" w:type="dxa"/>
            <w:tcBorders/>
            <w:shd w:fill="EEEEEE" w:val="clear"/>
            <w:vAlign w:val="center"/>
          </w:tcPr>
          <w:p>
            <w:pPr>
              <w:pStyle w:val="TableContents"/>
              <w:bidi w:val="0"/>
              <w:spacing w:before="0" w:after="283"/>
              <w:jc w:val="right"/>
              <w:rPr>
                <w:sz w:val="18"/>
              </w:rPr>
            </w:pPr>
            <w:r>
              <w:rPr>
                <w:sz w:val="18"/>
              </w:rPr>
              <w:t>137,585</w:t>
            </w:r>
          </w:p>
        </w:tc>
        <w:tc>
          <w:tcPr>
            <w:tcW w:w="78" w:type="dxa"/>
            <w:tcBorders/>
            <w:shd w:fill="EEEEEE" w:val="clear"/>
            <w:vAlign w:val="center"/>
          </w:tcPr>
          <w:p>
            <w:pPr>
              <w:pStyle w:val="TableContents"/>
              <w:bidi w:val="0"/>
              <w:spacing w:before="0" w:after="283"/>
              <w:jc w:val="left"/>
              <w:rPr/>
            </w:pPr>
            <w:r>
              <w:rPr/>
              <w:t> </w:t>
            </w:r>
          </w:p>
        </w:tc>
      </w:tr>
      <w:tr>
        <w:trPr/>
        <w:tc>
          <w:tcPr>
            <w:tcW w:w="16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7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1602" w:type="dxa"/>
            <w:tcBorders/>
            <w:shd w:fill="EEEEEE" w:val="clear"/>
            <w:vAlign w:val="center"/>
          </w:tcPr>
          <w:p>
            <w:pPr>
              <w:pStyle w:val="TableContents"/>
              <w:bidi w:val="0"/>
              <w:spacing w:before="0" w:after="283"/>
              <w:jc w:val="left"/>
              <w:rPr>
                <w:sz w:val="18"/>
              </w:rPr>
            </w:pPr>
            <w:r>
              <w:rPr>
                <w:sz w:val="18"/>
              </w:rPr>
              <w:t>Residual interest financing</w:t>
            </w:r>
          </w:p>
        </w:tc>
        <w:tc>
          <w:tcPr>
            <w:tcW w:w="60" w:type="dxa"/>
            <w:tcBorders/>
            <w:shd w:fill="EEEEEE" w:val="clear"/>
            <w:vAlign w:val="center"/>
          </w:tcPr>
          <w:p>
            <w:pPr>
              <w:pStyle w:val="TableContents"/>
              <w:bidi w:val="0"/>
              <w:spacing w:before="0" w:after="283"/>
              <w:jc w:val="left"/>
              <w:rPr/>
            </w:pPr>
            <w:r>
              <w:rPr/>
              <w:t> </w:t>
            </w:r>
          </w:p>
        </w:tc>
        <w:tc>
          <w:tcPr>
            <w:tcW w:w="3341" w:type="dxa"/>
            <w:tcBorders/>
            <w:shd w:fill="EEEEEE" w:val="clear"/>
            <w:vAlign w:val="center"/>
          </w:tcPr>
          <w:p>
            <w:pPr>
              <w:pStyle w:val="TableContents"/>
              <w:bidi w:val="0"/>
              <w:spacing w:before="0" w:after="283"/>
              <w:jc w:val="center"/>
              <w:rPr>
                <w:sz w:val="18"/>
              </w:rPr>
            </w:pPr>
            <w:bookmarkStart w:id="806" w:name="xdx_909_eus-gaap--DebtInstrumentInterest"/>
            <w:bookmarkEnd w:id="806"/>
            <w:r>
              <w:rPr>
                <w:sz w:val="18"/>
              </w:rPr>
              <w:t>7.86%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976" w:type="dxa"/>
            <w:tcBorders/>
            <w:shd w:fill="EEEEEE" w:val="clear"/>
            <w:vAlign w:val="center"/>
          </w:tcPr>
          <w:p>
            <w:pPr>
              <w:pStyle w:val="TableContents"/>
              <w:bidi w:val="0"/>
              <w:spacing w:before="0" w:after="283"/>
              <w:jc w:val="center"/>
              <w:rPr>
                <w:sz w:val="18"/>
              </w:rPr>
            </w:pPr>
            <w:bookmarkStart w:id="807" w:name="xdx_905_eus-gaap--DebtInstrumentMaturity"/>
            <w:bookmarkEnd w:id="807"/>
            <w:r>
              <w:rPr>
                <w:sz w:val="18"/>
              </w:rPr>
              <w:t>June 2026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8" w:type="dxa"/>
            <w:tcBorders/>
            <w:shd w:fill="EEEEEE" w:val="clear"/>
            <w:vAlign w:val="center"/>
          </w:tcPr>
          <w:p>
            <w:pPr>
              <w:pStyle w:val="TableContents"/>
              <w:bidi w:val="0"/>
              <w:spacing w:before="0" w:after="283"/>
              <w:jc w:val="left"/>
              <w:rPr/>
            </w:pPr>
            <w:r>
              <w:rPr/>
              <w:t> </w:t>
            </w:r>
            <w:bookmarkStart w:id="808" w:name="xdx_981_ecustom--ResidualInterestFinanci"/>
            <w:bookmarkEnd w:id="808"/>
          </w:p>
        </w:tc>
        <w:tc>
          <w:tcPr>
            <w:tcW w:w="743" w:type="dxa"/>
            <w:tcBorders/>
            <w:shd w:fill="EEEEEE" w:val="clear"/>
            <w:vAlign w:val="center"/>
          </w:tcPr>
          <w:p>
            <w:pPr>
              <w:pStyle w:val="TableContents"/>
              <w:bidi w:val="0"/>
              <w:spacing w:before="0" w:after="283"/>
              <w:jc w:val="right"/>
              <w:rPr>
                <w:sz w:val="18"/>
              </w:rPr>
            </w:pPr>
            <w:r>
              <w:rPr>
                <w:sz w:val="18"/>
              </w:rPr>
              <w:t>50,000</w:t>
            </w:r>
          </w:p>
        </w:tc>
        <w:tc>
          <w:tcPr>
            <w:tcW w:w="63" w:type="dxa"/>
            <w:tcBorders/>
            <w:shd w:fill="EEEEEE" w:val="clear"/>
            <w:vAlign w:val="center"/>
          </w:tcPr>
          <w:p>
            <w:pPr>
              <w:pStyle w:val="TableContents"/>
              <w:bidi w:val="0"/>
              <w:spacing w:before="0" w:after="283"/>
              <w:jc w:val="left"/>
              <w:rPr/>
            </w:pPr>
            <w:r>
              <w:rPr/>
              <w:t> </w:t>
            </w:r>
          </w:p>
        </w:tc>
        <w:tc>
          <w:tcPr>
            <w:tcW w:w="63"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bookmarkStart w:id="809" w:name="xdx_986_ecustom--ResidualInterestFinanci"/>
            <w:bookmarkEnd w:id="809"/>
          </w:p>
        </w:tc>
        <w:tc>
          <w:tcPr>
            <w:tcW w:w="723" w:type="dxa"/>
            <w:tcBorders/>
            <w:shd w:fill="EEEEEE" w:val="clear"/>
            <w:vAlign w:val="center"/>
          </w:tcPr>
          <w:p>
            <w:pPr>
              <w:pStyle w:val="TableContents"/>
              <w:bidi w:val="0"/>
              <w:spacing w:before="0" w:after="283"/>
              <w:jc w:val="right"/>
              <w:rPr>
                <w:sz w:val="18"/>
              </w:rPr>
            </w:pPr>
            <w:r>
              <w:rPr>
                <w:sz w:val="18"/>
              </w:rPr>
              <w:t>50,000</w:t>
            </w:r>
          </w:p>
        </w:tc>
        <w:tc>
          <w:tcPr>
            <w:tcW w:w="78" w:type="dxa"/>
            <w:tcBorders/>
            <w:shd w:fill="EEEEEE" w:val="clear"/>
            <w:vAlign w:val="center"/>
          </w:tcPr>
          <w:p>
            <w:pPr>
              <w:pStyle w:val="TableContents"/>
              <w:bidi w:val="0"/>
              <w:spacing w:before="0" w:after="283"/>
              <w:jc w:val="left"/>
              <w:rPr/>
            </w:pPr>
            <w:r>
              <w:rPr/>
              <w:t> </w:t>
            </w:r>
          </w:p>
        </w:tc>
      </w:tr>
      <w:tr>
        <w:trPr/>
        <w:tc>
          <w:tcPr>
            <w:tcW w:w="16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7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1602" w:type="dxa"/>
            <w:tcBorders/>
            <w:shd w:fill="EEEEEE" w:val="clear"/>
            <w:vAlign w:val="center"/>
          </w:tcPr>
          <w:p>
            <w:pPr>
              <w:pStyle w:val="TableContents"/>
              <w:bidi w:val="0"/>
              <w:spacing w:before="0" w:after="283"/>
              <w:jc w:val="left"/>
              <w:rPr>
                <w:sz w:val="18"/>
              </w:rPr>
            </w:pPr>
            <w:r>
              <w:rPr>
                <w:sz w:val="18"/>
              </w:rPr>
              <w:t>Subordinated renewable notes</w:t>
            </w:r>
          </w:p>
        </w:tc>
        <w:tc>
          <w:tcPr>
            <w:tcW w:w="60" w:type="dxa"/>
            <w:tcBorders/>
            <w:shd w:fill="EEEEEE" w:val="clear"/>
            <w:vAlign w:val="center"/>
          </w:tcPr>
          <w:p>
            <w:pPr>
              <w:pStyle w:val="TableContents"/>
              <w:bidi w:val="0"/>
              <w:spacing w:before="0" w:after="283"/>
              <w:jc w:val="left"/>
              <w:rPr/>
            </w:pPr>
            <w:r>
              <w:rPr/>
              <w:t> </w:t>
            </w:r>
          </w:p>
        </w:tc>
        <w:tc>
          <w:tcPr>
            <w:tcW w:w="3341" w:type="dxa"/>
            <w:tcBorders/>
            <w:shd w:fill="EEEEEE" w:val="clear"/>
            <w:vAlign w:val="center"/>
          </w:tcPr>
          <w:p>
            <w:pPr>
              <w:pStyle w:val="TableContents"/>
              <w:bidi w:val="0"/>
              <w:spacing w:before="0" w:after="283"/>
              <w:jc w:val="center"/>
              <w:rPr>
                <w:sz w:val="18"/>
              </w:rPr>
            </w:pPr>
            <w:bookmarkStart w:id="810" w:name="xdx_90D_eus-gaap--DebtInstrumentInterest"/>
            <w:bookmarkEnd w:id="810"/>
            <w:r>
              <w:rPr>
                <w:sz w:val="18"/>
              </w:rPr>
              <w:t>Weighted average rate of 8.16% and 7.82% at September 30, 2023 and December 31, 2022, respectively</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976" w:type="dxa"/>
            <w:tcBorders/>
            <w:shd w:fill="EEEEEE" w:val="clear"/>
            <w:vAlign w:val="center"/>
          </w:tcPr>
          <w:p>
            <w:pPr>
              <w:pStyle w:val="TableContents"/>
              <w:bidi w:val="0"/>
              <w:spacing w:before="0" w:after="283"/>
              <w:jc w:val="center"/>
              <w:rPr>
                <w:sz w:val="18"/>
              </w:rPr>
            </w:pPr>
            <w:bookmarkStart w:id="811" w:name="xdx_909_eus-gaap--DebtInstrumentMaturity"/>
            <w:bookmarkEnd w:id="811"/>
            <w:r>
              <w:rPr>
                <w:sz w:val="18"/>
              </w:rPr>
              <w:t>Weighted average maturity of July 2025 and October 2024 at September 30, 2023 and December 31, 2022, respectively</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8"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812" w:name="xdx_98B_eus-gaap--SubordinatedDebt_iI_pn"/>
            <w:bookmarkEnd w:id="812"/>
          </w:p>
        </w:tc>
        <w:tc>
          <w:tcPr>
            <w:tcW w:w="743"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19,163</w:t>
            </w:r>
          </w:p>
        </w:tc>
        <w:tc>
          <w:tcPr>
            <w:tcW w:w="63" w:type="dxa"/>
            <w:tcBorders/>
            <w:shd w:fill="EEEEEE" w:val="clear"/>
            <w:vAlign w:val="center"/>
          </w:tcPr>
          <w:p>
            <w:pPr>
              <w:pStyle w:val="TableContents"/>
              <w:bidi w:val="0"/>
              <w:spacing w:before="0" w:after="283"/>
              <w:jc w:val="left"/>
              <w:rPr/>
            </w:pPr>
            <w:r>
              <w:rPr/>
              <w:t> </w:t>
            </w:r>
          </w:p>
        </w:tc>
        <w:tc>
          <w:tcPr>
            <w:tcW w:w="63" w:type="dxa"/>
            <w:tcBorders/>
            <w:shd w:fill="EEEEEE" w:val="clear"/>
            <w:vAlign w:val="center"/>
          </w:tcPr>
          <w:p>
            <w:pPr>
              <w:pStyle w:val="TableContents"/>
              <w:bidi w:val="0"/>
              <w:spacing w:before="0" w:after="283"/>
              <w:jc w:val="left"/>
              <w:rPr/>
            </w:pPr>
            <w:r>
              <w:rPr/>
              <w:t> </w:t>
            </w:r>
          </w:p>
        </w:tc>
        <w:tc>
          <w:tcPr>
            <w:tcW w:w="138"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813" w:name="xdx_980_eus-gaap--SubordinatedDebt_iI_pn"/>
            <w:bookmarkEnd w:id="813"/>
          </w:p>
        </w:tc>
        <w:tc>
          <w:tcPr>
            <w:tcW w:w="723" w:type="dxa"/>
            <w:tcBorders>
              <w:bottom w:val="single" w:sz="8" w:space="0" w:color="000000"/>
            </w:tcBorders>
            <w:shd w:fill="EEEEEE" w:val="clear"/>
            <w:tcMar>
              <w:bottom w:w="28" w:type="dxa"/>
            </w:tcMar>
            <w:vAlign w:val="center"/>
          </w:tcPr>
          <w:p>
            <w:pPr>
              <w:pStyle w:val="TableContents"/>
              <w:bidi w:val="0"/>
              <w:spacing w:before="0" w:after="283"/>
              <w:jc w:val="right"/>
              <w:rPr>
                <w:sz w:val="18"/>
              </w:rPr>
            </w:pPr>
            <w:r>
              <w:rPr>
                <w:sz w:val="18"/>
              </w:rPr>
              <w:t>25,263</w:t>
            </w:r>
          </w:p>
        </w:tc>
        <w:tc>
          <w:tcPr>
            <w:tcW w:w="78" w:type="dxa"/>
            <w:tcBorders/>
            <w:shd w:fill="EEEEEE" w:val="clear"/>
            <w:vAlign w:val="center"/>
          </w:tcPr>
          <w:p>
            <w:pPr>
              <w:pStyle w:val="TableContents"/>
              <w:bidi w:val="0"/>
              <w:spacing w:before="0" w:after="283"/>
              <w:jc w:val="left"/>
              <w:rPr/>
            </w:pPr>
            <w:r>
              <w:rPr/>
              <w:t> </w:t>
            </w:r>
          </w:p>
        </w:tc>
      </w:tr>
      <w:tr>
        <w:trPr/>
        <w:tc>
          <w:tcPr>
            <w:tcW w:w="16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7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1602"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3341"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976"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8" w:type="dxa"/>
            <w:tcBorders>
              <w:bottom w:val="double" w:sz="6" w:space="0" w:color="000000"/>
            </w:tcBorders>
            <w:shd w:fill="EEEEEE" w:val="clear"/>
            <w:tcMar>
              <w:bottom w:w="28" w:type="dxa"/>
            </w:tcMar>
            <w:vAlign w:val="center"/>
          </w:tcPr>
          <w:p>
            <w:pPr>
              <w:pStyle w:val="TableContents"/>
              <w:bidi w:val="0"/>
              <w:spacing w:before="0" w:after="283"/>
              <w:jc w:val="left"/>
              <w:rPr>
                <w:sz w:val="18"/>
              </w:rPr>
            </w:pPr>
            <w:r>
              <w:rPr>
                <w:sz w:val="18"/>
              </w:rPr>
              <w:t>$</w:t>
            </w:r>
            <w:bookmarkStart w:id="814" w:name="xdx_981_eus-gaap--DebtLongtermAndShortte"/>
            <w:bookmarkEnd w:id="814"/>
          </w:p>
        </w:tc>
        <w:tc>
          <w:tcPr>
            <w:tcW w:w="743" w:type="dxa"/>
            <w:tcBorders>
              <w:bottom w:val="double" w:sz="6" w:space="0" w:color="000000"/>
            </w:tcBorders>
            <w:shd w:fill="EEEEEE" w:val="clear"/>
            <w:tcMar>
              <w:bottom w:w="28" w:type="dxa"/>
            </w:tcMar>
            <w:vAlign w:val="center"/>
          </w:tcPr>
          <w:p>
            <w:pPr>
              <w:pStyle w:val="TableContents"/>
              <w:bidi w:val="0"/>
              <w:spacing w:before="0" w:after="283"/>
              <w:jc w:val="right"/>
              <w:rPr>
                <w:sz w:val="18"/>
              </w:rPr>
            </w:pPr>
            <w:r>
              <w:rPr>
                <w:sz w:val="18"/>
              </w:rPr>
              <w:t>310,634</w:t>
            </w:r>
          </w:p>
        </w:tc>
        <w:tc>
          <w:tcPr>
            <w:tcW w:w="63" w:type="dxa"/>
            <w:tcBorders/>
            <w:shd w:fill="EEEEEE" w:val="clear"/>
            <w:vAlign w:val="center"/>
          </w:tcPr>
          <w:p>
            <w:pPr>
              <w:pStyle w:val="TableContents"/>
              <w:bidi w:val="0"/>
              <w:spacing w:before="0" w:after="283"/>
              <w:jc w:val="left"/>
              <w:rPr/>
            </w:pPr>
            <w:r>
              <w:rPr/>
              <w:t> </w:t>
            </w:r>
          </w:p>
        </w:tc>
        <w:tc>
          <w:tcPr>
            <w:tcW w:w="63" w:type="dxa"/>
            <w:tcBorders/>
            <w:shd w:fill="EEEEEE" w:val="clear"/>
            <w:vAlign w:val="center"/>
          </w:tcPr>
          <w:p>
            <w:pPr>
              <w:pStyle w:val="TableContents"/>
              <w:bidi w:val="0"/>
              <w:spacing w:before="0" w:after="283"/>
              <w:jc w:val="left"/>
              <w:rPr/>
            </w:pPr>
            <w:r>
              <w:rPr/>
              <w:t> </w:t>
            </w:r>
          </w:p>
        </w:tc>
        <w:tc>
          <w:tcPr>
            <w:tcW w:w="138" w:type="dxa"/>
            <w:tcBorders>
              <w:bottom w:val="double" w:sz="6" w:space="0" w:color="000000"/>
            </w:tcBorders>
            <w:shd w:fill="EEEEEE" w:val="clear"/>
            <w:tcMar>
              <w:bottom w:w="28" w:type="dxa"/>
            </w:tcMar>
            <w:vAlign w:val="center"/>
          </w:tcPr>
          <w:p>
            <w:pPr>
              <w:pStyle w:val="TableContents"/>
              <w:bidi w:val="0"/>
              <w:spacing w:before="0" w:after="283"/>
              <w:jc w:val="left"/>
              <w:rPr>
                <w:sz w:val="18"/>
              </w:rPr>
            </w:pPr>
            <w:r>
              <w:rPr>
                <w:sz w:val="18"/>
              </w:rPr>
              <w:t>$</w:t>
            </w:r>
            <w:bookmarkStart w:id="815" w:name="xdx_985_eus-gaap--DebtLongtermAndShortte"/>
            <w:bookmarkEnd w:id="815"/>
          </w:p>
        </w:tc>
        <w:tc>
          <w:tcPr>
            <w:tcW w:w="723" w:type="dxa"/>
            <w:tcBorders>
              <w:bottom w:val="double" w:sz="6" w:space="0" w:color="000000"/>
            </w:tcBorders>
            <w:shd w:fill="EEEEEE" w:val="clear"/>
            <w:tcMar>
              <w:bottom w:w="28" w:type="dxa"/>
            </w:tcMar>
            <w:vAlign w:val="center"/>
          </w:tcPr>
          <w:p>
            <w:pPr>
              <w:pStyle w:val="TableContents"/>
              <w:bidi w:val="0"/>
              <w:spacing w:before="0" w:after="283"/>
              <w:jc w:val="right"/>
              <w:rPr>
                <w:sz w:val="18"/>
              </w:rPr>
            </w:pPr>
            <w:r>
              <w:rPr>
                <w:sz w:val="18"/>
              </w:rPr>
              <w:t>363,141</w:t>
            </w:r>
          </w:p>
        </w:tc>
        <w:tc>
          <w:tcPr>
            <w:tcW w:w="78"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80"/>
        <w:jc w:val="both"/>
        <w:rPr>
          <w:caps w:val="false"/>
          <w:smallCaps w:val="false"/>
        </w:rPr>
      </w:pPr>
      <w:bookmarkStart w:id="816" w:name="xdx_232_zkGBDfX3E3G5"/>
      <w:bookmarkEnd w:id="816"/>
      <w:r>
        <w:rPr>
          <w:caps w:val="false"/>
          <w:smallCaps w:val="false"/>
        </w:rPr>
        <w:t> </w:t>
      </w:r>
    </w:p>
    <w:p>
      <w:pPr>
        <w:pStyle w:val="TextBody"/>
        <w:bidi w:val="0"/>
        <w:spacing w:before="0" w:after="0"/>
        <w:ind w:left="0" w:right="0" w:firstLine="180"/>
        <w:jc w:val="both"/>
        <w:rPr>
          <w:caps w:val="false"/>
          <w:smallCaps w:val="false"/>
        </w:rPr>
      </w:pPr>
      <w:bookmarkStart w:id="817" w:name="xdx_237_zLxWKd614Ime"/>
      <w:bookmarkEnd w:id="817"/>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bookmarkStart w:id="818" w:name="xdx_23D_zyPkqbFF8DC3"/>
            <w:bookmarkEnd w:id="818"/>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180"/>
        <w:jc w:val="both"/>
        <w:rPr>
          <w:caps w:val="false"/>
          <w:smallCaps w:val="false"/>
        </w:rPr>
      </w:pPr>
      <w:bookmarkStart w:id="819" w:name="xdx_23E_zA2e0Dc1BABk"/>
      <w:bookmarkEnd w:id="819"/>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20" w:name="xdx_23F_zTpYURy1BRGa"/>
      <w:bookmarkStart w:id="821" w:name="xdx_23A_zKFIeaxwYPP8"/>
      <w:bookmarkStart w:id="822" w:name="xdx_236_zVnRmxWEW8Oa"/>
      <w:bookmarkStart w:id="823" w:name="xdx_23A_zu1k9InbQNx3"/>
      <w:bookmarkStart w:id="824" w:name="xdx_236_zRycMDc7OSc4"/>
      <w:bookmarkStart w:id="825" w:name="xdx_23A_zNdhtjawKO9h"/>
      <w:bookmarkStart w:id="826" w:name="xdx_23D_zkMa7guMIlfi"/>
      <w:bookmarkStart w:id="827" w:name="xdx_235_zaUW9OOmbsPa"/>
      <w:bookmarkStart w:id="828" w:name="xdx_233_z4oscLNPyqOh"/>
      <w:bookmarkEnd w:id="820"/>
      <w:bookmarkEnd w:id="821"/>
      <w:bookmarkEnd w:id="822"/>
      <w:bookmarkEnd w:id="823"/>
      <w:bookmarkEnd w:id="824"/>
      <w:bookmarkEnd w:id="825"/>
      <w:bookmarkEnd w:id="826"/>
      <w:bookmarkEnd w:id="827"/>
      <w:bookmarkEnd w:id="828"/>
      <w:r>
        <w:rPr>
          <w:rFonts w:ascii="Times New Roman;Times;Serif" w:hAnsi="Times New Roman;Times;Serif"/>
          <w:b/>
          <w:i w:val="false"/>
          <w:caps w:val="false"/>
          <w:smallCaps w:val="false"/>
          <w:sz w:val="20"/>
        </w:rPr>
        <w:t>CONSUMER PORTFOLIO SERVICES,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29" w:name="xdx_238_zoLD8lQTdsak"/>
      <w:bookmarkStart w:id="830" w:name="xdx_23F_zsZPCaPQUB48"/>
      <w:bookmarkEnd w:id="829"/>
      <w:bookmarkEnd w:id="830"/>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bookmarkStart w:id="831" w:name="xdx_232_zzWAR4DVi1g7"/>
      <w:bookmarkEnd w:id="831"/>
      <w:r>
        <w:rPr>
          <w:caps w:val="false"/>
          <w:smallCaps w:val="false"/>
        </w:rPr>
        <w:t> </w:t>
      </w:r>
    </w:p>
    <w:p>
      <w:pPr>
        <w:pStyle w:val="TextBody"/>
        <w:bidi w:val="0"/>
        <w:spacing w:before="0" w:after="0"/>
        <w:ind w:left="0" w:right="0" w:hanging="0"/>
        <w:jc w:val="both"/>
        <w:rPr>
          <w:caps w:val="false"/>
          <w:smallCaps w:val="false"/>
        </w:rPr>
      </w:pPr>
      <w:bookmarkStart w:id="832" w:name="xdx_231_zsz7w0eF87ul"/>
      <w:bookmarkEnd w:id="832"/>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 2022, we renewed our two-year revolving credit agreement with Ares Agent Services, L.P. There was $</w:t>
      </w:r>
      <w:bookmarkStart w:id="833" w:name="xdx_909_eus-gaap--LineOfCreditFacilityAv"/>
      <w:bookmarkEnd w:id="833"/>
      <w:r>
        <w:rPr>
          <w:rFonts w:ascii="Times New Roman;Times;Serif" w:hAnsi="Times New Roman;Times;Serif"/>
          <w:b w:val="false"/>
          <w:i w:val="false"/>
          <w:caps w:val="false"/>
          <w:smallCaps w:val="false"/>
          <w:sz w:val="20"/>
        </w:rPr>
        <w:t>163.5 million outstanding under this facility at September 30, 2023. On June 28, 2022, we increased the capacity of its credit agreement with Ares Agent Services, L.P. from $</w:t>
      </w:r>
      <w:bookmarkStart w:id="834" w:name="xdx_90A_eus-gaap--LineOfCreditFacilityMa"/>
      <w:bookmarkEnd w:id="834"/>
      <w:r>
        <w:rPr>
          <w:rFonts w:ascii="Times New Roman;Times;Serif" w:hAnsi="Times New Roman;Times;Serif"/>
          <w:b w:val="false"/>
          <w:i w:val="false"/>
          <w:caps w:val="false"/>
          <w:smallCaps w:val="false"/>
          <w:sz w:val="20"/>
        </w:rPr>
        <w:t>100 million to $</w:t>
      </w:r>
      <w:bookmarkStart w:id="835" w:name="xdx_907_eus-gaap--LineOfCreditFacilityMa"/>
      <w:bookmarkEnd w:id="835"/>
      <w:r>
        <w:rPr>
          <w:rFonts w:ascii="Times New Roman;Times;Serif" w:hAnsi="Times New Roman;Times;Serif"/>
          <w:b w:val="false"/>
          <w:i w:val="false"/>
          <w:caps w:val="false"/>
          <w:smallCaps w:val="false"/>
          <w:sz w:val="20"/>
        </w:rPr>
        <w:t>200 million. The revolving period for this facility was extended to January 2024 followed by an amortization period through January 2028 for any receivables pledged at the end of the revolving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2022, we renewed our two-year revolving credit agreement with Citibank, N.A., and doubled the capacity from $</w:t>
      </w:r>
      <w:bookmarkStart w:id="836" w:name="xdx_906_eus-gaap--LineOfCreditFacilityMa"/>
      <w:bookmarkEnd w:id="836"/>
      <w:r>
        <w:rPr>
          <w:rFonts w:ascii="Times New Roman;Times;Serif" w:hAnsi="Times New Roman;Times;Serif"/>
          <w:b w:val="false"/>
          <w:i w:val="false"/>
          <w:caps w:val="false"/>
          <w:smallCaps w:val="false"/>
          <w:sz w:val="20"/>
        </w:rPr>
        <w:t>100 million to $</w:t>
      </w:r>
      <w:bookmarkStart w:id="837" w:name="xdx_90D_eus-gaap--LineOfCreditFacilityMa"/>
      <w:bookmarkEnd w:id="837"/>
      <w:r>
        <w:rPr>
          <w:rFonts w:ascii="Times New Roman;Times;Serif" w:hAnsi="Times New Roman;Times;Serif"/>
          <w:b w:val="false"/>
          <w:i w:val="false"/>
          <w:caps w:val="false"/>
          <w:smallCaps w:val="false"/>
          <w:sz w:val="20"/>
        </w:rPr>
        <w:t>200 million. There was $</w:t>
      </w:r>
      <w:bookmarkStart w:id="838" w:name="xdx_900_eus-gaap--LineOfCreditFacilityAv"/>
      <w:bookmarkEnd w:id="838"/>
      <w:r>
        <w:rPr>
          <w:rFonts w:ascii="Times New Roman;Times;Serif" w:hAnsi="Times New Roman;Times;Serif"/>
          <w:b w:val="false"/>
          <w:i w:val="false"/>
          <w:caps w:val="false"/>
          <w:smallCaps w:val="false"/>
          <w:sz w:val="20"/>
        </w:rPr>
        <w:t>78.0 million outstanding under this facility at September 30, 2023. The revolving period for this facility was extended to July 2024 followed by an amortization period through July 2025 for any receivables pledged at the end of the revolving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Unamortized debt issuance costs of $</w:t>
      </w:r>
      <w:bookmarkStart w:id="839" w:name="xdx_904_eus-gaap--DebtInstrumentUnamorti"/>
      <w:bookmarkEnd w:id="839"/>
      <w:r>
        <w:rPr>
          <w:rFonts w:ascii="Times New Roman;Times;Serif" w:hAnsi="Times New Roman;Times;Serif"/>
          <w:b w:val="false"/>
          <w:i w:val="false"/>
          <w:caps w:val="false"/>
          <w:smallCaps w:val="false"/>
          <w:sz w:val="20"/>
        </w:rPr>
        <w:t>188,000 and $</w:t>
      </w:r>
      <w:bookmarkStart w:id="840" w:name="xdx_907_eus-gaap--DebtInstrumentUnamorti"/>
      <w:bookmarkEnd w:id="840"/>
      <w:r>
        <w:rPr>
          <w:rFonts w:ascii="Times New Roman;Times;Serif" w:hAnsi="Times New Roman;Times;Serif"/>
          <w:b w:val="false"/>
          <w:i w:val="false"/>
          <w:caps w:val="false"/>
          <w:smallCaps w:val="false"/>
          <w:sz w:val="20"/>
        </w:rPr>
        <w:t>377,000 as of September 30, 2023 and December 31, 2022, respectively, have been excluded from the amount reported above for residual interest financing. Similarly, unamortized debt issuance costs of $</w:t>
      </w:r>
      <w:bookmarkStart w:id="841" w:name="xdx_90A_eus-gaap--DebtInstrumentUnamorti"/>
      <w:bookmarkEnd w:id="841"/>
      <w:r>
        <w:rPr>
          <w:rFonts w:ascii="Times New Roman;Times;Serif" w:hAnsi="Times New Roman;Times;Serif"/>
          <w:b w:val="false"/>
          <w:i w:val="false"/>
          <w:caps w:val="false"/>
          <w:smallCaps w:val="false"/>
          <w:sz w:val="20"/>
        </w:rPr>
        <w:t>1.1 million and $</w:t>
      </w:r>
      <w:bookmarkStart w:id="842" w:name="xdx_900_eus-gaap--DebtInstrumentUnamorti"/>
      <w:bookmarkEnd w:id="842"/>
      <w:r>
        <w:rPr>
          <w:rFonts w:ascii="Times New Roman;Times;Serif" w:hAnsi="Times New Roman;Times;Serif"/>
          <w:b w:val="false"/>
          <w:i w:val="false"/>
          <w:caps w:val="false"/>
          <w:smallCaps w:val="false"/>
          <w:sz w:val="20"/>
        </w:rPr>
        <w:t>2.6 million as of September 30, 2023 and December 31, 2022, respectively, have been excluded from the Warehouse lines of credit amounts in the table above. These debt issuance costs are presented as a direct deduction to the carrying amount of the debt on our Unaudited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43" w:name="xdx_80D_ecustom--InterestIncomeAndIntere"/>
      <w:bookmarkEnd w:id="843"/>
      <w:r>
        <w:rPr>
          <w:rFonts w:ascii="Times New Roman;Times;Serif" w:hAnsi="Times New Roman;Times;Serif"/>
          <w:b/>
          <w:i w:val="false"/>
          <w:caps w:val="false"/>
          <w:smallCaps w:val="false"/>
          <w:sz w:val="20"/>
        </w:rPr>
        <w:t xml:space="preserve">(5) </w:t>
      </w:r>
      <w:bookmarkStart w:id="844" w:name="xdx_821_zdQUAt6LH8Hl"/>
      <w:bookmarkEnd w:id="844"/>
      <w:r>
        <w:rPr>
          <w:rFonts w:ascii="Times New Roman;Times;Serif" w:hAnsi="Times New Roman;Times;Serif"/>
          <w:b/>
          <w:i/>
          <w:caps w:val="false"/>
          <w:smallCaps w:val="false"/>
          <w:sz w:val="20"/>
        </w:rPr>
        <w:t>Interest Income and 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components of interest income:</w:t>
      </w:r>
    </w:p>
    <w:p>
      <w:pPr>
        <w:pStyle w:val="Normal"/>
        <w:bidi w:val="0"/>
        <w:spacing w:before="0" w:after="0"/>
        <w:ind w:left="0" w:right="0" w:hanging="0"/>
        <w:jc w:val="left"/>
        <w:rPr>
          <w:sz w:val="4"/>
          <w:szCs w:val="4"/>
        </w:rPr>
      </w:pPr>
      <w:r>
        <w:rPr>
          <w:sz w:val="4"/>
          <w:szCs w:val="4"/>
        </w:rPr>
      </w:r>
      <w:bookmarkStart w:id="845" w:name="xdx_880_eus-gaap--InterestAndOtherIncome"/>
      <w:bookmarkStart w:id="846" w:name="xdx_880_eus-gaap--InterestAndOtherIncome"/>
      <w:bookmarkEnd w:id="846"/>
    </w:p>
    <w:tbl>
      <w:tblPr>
        <w:tblW w:w="8590" w:type="dxa"/>
        <w:jc w:val="left"/>
        <w:tblInd w:w="0" w:type="dxa"/>
        <w:tblLayout w:type="fixed"/>
        <w:tblCellMar>
          <w:top w:w="0" w:type="dxa"/>
          <w:left w:w="0" w:type="dxa"/>
          <w:bottom w:w="0" w:type="dxa"/>
          <w:right w:w="0" w:type="dxa"/>
        </w:tblCellMar>
      </w:tblPr>
      <w:tblGrid>
        <w:gridCol w:w="4055"/>
        <w:gridCol w:w="60"/>
        <w:gridCol w:w="175"/>
        <w:gridCol w:w="853"/>
        <w:gridCol w:w="75"/>
        <w:gridCol w:w="75"/>
        <w:gridCol w:w="175"/>
        <w:gridCol w:w="853"/>
        <w:gridCol w:w="60"/>
        <w:gridCol w:w="60"/>
        <w:gridCol w:w="145"/>
        <w:gridCol w:w="830"/>
        <w:gridCol w:w="62"/>
        <w:gridCol w:w="62"/>
        <w:gridCol w:w="145"/>
        <w:gridCol w:w="830"/>
        <w:gridCol w:w="75"/>
      </w:tblGrid>
      <w:tr>
        <w:trPr/>
        <w:tc>
          <w:tcPr>
            <w:tcW w:w="4055" w:type="dxa"/>
            <w:tcBorders/>
            <w:vAlign w:val="center"/>
          </w:tcPr>
          <w:p>
            <w:pPr>
              <w:pStyle w:val="TableContents"/>
              <w:bidi w:val="0"/>
              <w:spacing w:before="0" w:after="283"/>
              <w:jc w:val="left"/>
              <w:rPr/>
            </w:pPr>
            <w:bookmarkStart w:id="847" w:name="xdx_8B2_ziPbkD9PQfc6"/>
            <w:bookmarkEnd w:id="847"/>
            <w:r>
              <w:rPr/>
              <w:t>Schedule of interest income</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bookmarkStart w:id="848" w:name="xdx_49F_20230701__20230930_z8F09j4swJE6"/>
            <w:bookmarkEnd w:id="848"/>
          </w:p>
        </w:tc>
        <w:tc>
          <w:tcPr>
            <w:tcW w:w="853"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bookmarkStart w:id="849" w:name="xdx_490_20220701__20220930_zurqQ5wFJodc"/>
            <w:bookmarkEnd w:id="849"/>
          </w:p>
        </w:tc>
        <w:tc>
          <w:tcPr>
            <w:tcW w:w="85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bookmarkStart w:id="850" w:name="xdx_494_20230101__20230930_zY5TTaVW7il"/>
            <w:bookmarkEnd w:id="850"/>
          </w:p>
        </w:tc>
        <w:tc>
          <w:tcPr>
            <w:tcW w:w="830"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bookmarkStart w:id="851" w:name="xdx_49E_20220101__20220930_zWp1b0EIFkBa"/>
            <w:bookmarkEnd w:id="851"/>
          </w:p>
        </w:tc>
        <w:tc>
          <w:tcPr>
            <w:tcW w:w="83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6" w:type="dxa"/>
            <w:gridSpan w:val="6"/>
            <w:tcBorders/>
            <w:vAlign w:val="center"/>
          </w:tcPr>
          <w:p>
            <w:pPr>
              <w:pStyle w:val="TableContents"/>
              <w:bidi w:val="0"/>
              <w:spacing w:before="0" w:after="283"/>
              <w:jc w:val="center"/>
              <w:rPr>
                <w:b/>
              </w:rPr>
            </w:pPr>
            <w:r>
              <w:rPr>
                <w:b/>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4" w:type="dxa"/>
            <w:gridSpan w:val="6"/>
            <w:tcBorders/>
            <w:vAlign w:val="center"/>
          </w:tcPr>
          <w:p>
            <w:pPr>
              <w:pStyle w:val="TableContents"/>
              <w:bidi w:val="0"/>
              <w:spacing w:before="0" w:after="283"/>
              <w:jc w:val="center"/>
              <w:rPr>
                <w:b/>
              </w:rPr>
            </w:pPr>
            <w:r>
              <w:rPr>
                <w:b/>
              </w:rPr>
              <w:t>Nine Months Ended</w:t>
            </w:r>
          </w:p>
        </w:tc>
        <w:tc>
          <w:tcPr>
            <w:tcW w:w="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0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9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6" w:type="dxa"/>
            <w:gridSpan w:val="6"/>
            <w:tcBorders/>
            <w:vAlign w:val="center"/>
          </w:tcPr>
          <w:p>
            <w:pPr>
              <w:pStyle w:val="TableContents"/>
              <w:bidi w:val="0"/>
              <w:spacing w:before="0" w:after="283"/>
              <w:jc w:val="center"/>
              <w:rPr>
                <w:b/>
              </w:rPr>
            </w:pPr>
            <w:r>
              <w:rPr>
                <w:b/>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4" w:type="dxa"/>
            <w:gridSpan w:val="6"/>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bookmarkStart w:id="852" w:name="xdx_402_eus-gaap--InvestmentIncomeNet_pn"/>
            <w:bookmarkEnd w:id="852"/>
          </w:p>
        </w:tc>
      </w:tr>
      <w:tr>
        <w:trPr/>
        <w:tc>
          <w:tcPr>
            <w:tcW w:w="4055" w:type="dxa"/>
            <w:tcBorders/>
            <w:shd w:fill="EEEEEE" w:val="clear"/>
            <w:vAlign w:val="center"/>
          </w:tcPr>
          <w:p>
            <w:pPr>
              <w:pStyle w:val="TableContents"/>
              <w:bidi w:val="0"/>
              <w:spacing w:before="0" w:after="283"/>
              <w:jc w:val="left"/>
              <w:rPr/>
            </w:pPr>
            <w:r>
              <w:rPr/>
              <w:t>Interest on finance receivables</w:t>
            </w:r>
          </w:p>
        </w:tc>
        <w:tc>
          <w:tcPr>
            <w:tcW w:w="60"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w:t>
            </w:r>
          </w:p>
        </w:tc>
        <w:tc>
          <w:tcPr>
            <w:tcW w:w="853" w:type="dxa"/>
            <w:tcBorders/>
            <w:shd w:fill="EEEEEE" w:val="clear"/>
            <w:vAlign w:val="center"/>
          </w:tcPr>
          <w:p>
            <w:pPr>
              <w:pStyle w:val="TableContents"/>
              <w:bidi w:val="0"/>
              <w:spacing w:before="0" w:after="283"/>
              <w:jc w:val="right"/>
              <w:rPr/>
            </w:pPr>
            <w:r>
              <w:rPr/>
              <w:t>3,769</w:t>
            </w:r>
          </w:p>
        </w:tc>
        <w:tc>
          <w:tcPr>
            <w:tcW w:w="75"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w:t>
            </w:r>
          </w:p>
        </w:tc>
        <w:tc>
          <w:tcPr>
            <w:tcW w:w="853" w:type="dxa"/>
            <w:tcBorders/>
            <w:shd w:fill="EEEEEE" w:val="clear"/>
            <w:vAlign w:val="center"/>
          </w:tcPr>
          <w:p>
            <w:pPr>
              <w:pStyle w:val="TableContents"/>
              <w:bidi w:val="0"/>
              <w:spacing w:before="0" w:after="283"/>
              <w:jc w:val="right"/>
              <w:rPr/>
            </w:pPr>
            <w:r>
              <w:rPr/>
              <w:t>7,620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5" w:type="dxa"/>
            <w:tcBorders/>
            <w:shd w:fill="EEEEEE" w:val="clear"/>
            <w:vAlign w:val="center"/>
          </w:tcPr>
          <w:p>
            <w:pPr>
              <w:pStyle w:val="TableContents"/>
              <w:bidi w:val="0"/>
              <w:spacing w:before="0" w:after="283"/>
              <w:jc w:val="left"/>
              <w:rPr/>
            </w:pPr>
            <w:r>
              <w:rPr/>
              <w:t>$</w:t>
            </w:r>
          </w:p>
        </w:tc>
        <w:tc>
          <w:tcPr>
            <w:tcW w:w="830" w:type="dxa"/>
            <w:tcBorders/>
            <w:shd w:fill="EEEEEE" w:val="clear"/>
            <w:vAlign w:val="center"/>
          </w:tcPr>
          <w:p>
            <w:pPr>
              <w:pStyle w:val="TableContents"/>
              <w:bidi w:val="0"/>
              <w:spacing w:before="0" w:after="283"/>
              <w:jc w:val="right"/>
              <w:rPr/>
            </w:pPr>
            <w:r>
              <w:rPr/>
              <w:t>12,809</w:t>
            </w:r>
          </w:p>
        </w:tc>
        <w:tc>
          <w:tcPr>
            <w:tcW w:w="62" w:type="dxa"/>
            <w:tcBorders/>
            <w:shd w:fill="EEEEEE" w:val="clear"/>
            <w:vAlign w:val="center"/>
          </w:tcPr>
          <w:p>
            <w:pPr>
              <w:pStyle w:val="TableContents"/>
              <w:bidi w:val="0"/>
              <w:spacing w:before="0" w:after="283"/>
              <w:jc w:val="left"/>
              <w:rPr/>
            </w:pPr>
            <w:r>
              <w:rPr/>
              <w:t> </w:t>
            </w:r>
          </w:p>
        </w:tc>
        <w:tc>
          <w:tcPr>
            <w:tcW w:w="62" w:type="dxa"/>
            <w:tcBorders/>
            <w:shd w:fill="EEEEEE" w:val="clear"/>
            <w:vAlign w:val="center"/>
          </w:tcPr>
          <w:p>
            <w:pPr>
              <w:pStyle w:val="TableContents"/>
              <w:bidi w:val="0"/>
              <w:spacing w:before="0" w:after="283"/>
              <w:jc w:val="left"/>
              <w:rPr/>
            </w:pPr>
            <w:r>
              <w:rPr/>
              <w:t> </w:t>
            </w:r>
          </w:p>
        </w:tc>
        <w:tc>
          <w:tcPr>
            <w:tcW w:w="145" w:type="dxa"/>
            <w:tcBorders/>
            <w:shd w:fill="EEEEEE" w:val="clear"/>
            <w:vAlign w:val="center"/>
          </w:tcPr>
          <w:p>
            <w:pPr>
              <w:pStyle w:val="TableContents"/>
              <w:bidi w:val="0"/>
              <w:spacing w:before="0" w:after="283"/>
              <w:jc w:val="left"/>
              <w:rPr/>
            </w:pPr>
            <w:r>
              <w:rPr/>
              <w:t>$</w:t>
            </w:r>
          </w:p>
        </w:tc>
        <w:tc>
          <w:tcPr>
            <w:tcW w:w="830" w:type="dxa"/>
            <w:tcBorders/>
            <w:shd w:fill="EEEEEE" w:val="clear"/>
            <w:vAlign w:val="center"/>
          </w:tcPr>
          <w:p>
            <w:pPr>
              <w:pStyle w:val="TableContents"/>
              <w:bidi w:val="0"/>
              <w:spacing w:before="0" w:after="283"/>
              <w:jc w:val="right"/>
              <w:rPr/>
            </w:pPr>
            <w:r>
              <w:rPr/>
              <w:t>28,766</w:t>
            </w:r>
          </w:p>
        </w:tc>
        <w:tc>
          <w:tcPr>
            <w:tcW w:w="75" w:type="dxa"/>
            <w:tcBorders/>
            <w:shd w:fill="EEEEEE" w:val="clear"/>
            <w:vAlign w:val="center"/>
          </w:tcPr>
          <w:p>
            <w:pPr>
              <w:pStyle w:val="TableContents"/>
              <w:bidi w:val="0"/>
              <w:spacing w:before="0" w:after="283"/>
              <w:jc w:val="left"/>
              <w:rPr/>
            </w:pPr>
            <w:r>
              <w:rPr/>
              <w:t> </w:t>
            </w:r>
            <w:bookmarkStart w:id="853" w:name="xdx_408_eus-gaap--InterestIncomePurchase"/>
            <w:bookmarkEnd w:id="853"/>
          </w:p>
        </w:tc>
      </w:tr>
      <w:tr>
        <w:trPr/>
        <w:tc>
          <w:tcPr>
            <w:tcW w:w="4055" w:type="dxa"/>
            <w:tcBorders/>
            <w:shd w:fill="FFFFFF" w:val="clear"/>
            <w:vAlign w:val="center"/>
          </w:tcPr>
          <w:p>
            <w:pPr>
              <w:pStyle w:val="TableContents"/>
              <w:bidi w:val="0"/>
              <w:spacing w:before="0" w:after="283"/>
              <w:jc w:val="left"/>
              <w:rPr/>
            </w:pPr>
            <w:r>
              <w:rPr/>
              <w:t>Interest on finance receivables at fair value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77,848</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71,734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228,641</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196,204</w:t>
            </w:r>
          </w:p>
        </w:tc>
        <w:tc>
          <w:tcPr>
            <w:tcW w:w="75" w:type="dxa"/>
            <w:tcBorders/>
            <w:shd w:fill="FFFFFF" w:val="clear"/>
            <w:vAlign w:val="center"/>
          </w:tcPr>
          <w:p>
            <w:pPr>
              <w:pStyle w:val="TableContents"/>
              <w:bidi w:val="0"/>
              <w:spacing w:before="0" w:after="283"/>
              <w:jc w:val="left"/>
              <w:rPr/>
            </w:pPr>
            <w:r>
              <w:rPr/>
              <w:t> </w:t>
            </w:r>
            <w:bookmarkStart w:id="854" w:name="xdx_40D_eus-gaap--InterestAndOtherIncome"/>
            <w:bookmarkEnd w:id="854"/>
          </w:p>
        </w:tc>
      </w:tr>
      <w:tr>
        <w:trPr/>
        <w:tc>
          <w:tcPr>
            <w:tcW w:w="4055" w:type="dxa"/>
            <w:tcBorders/>
            <w:shd w:fill="EEEEEE" w:val="clear"/>
            <w:vAlign w:val="center"/>
          </w:tcPr>
          <w:p>
            <w:pPr>
              <w:pStyle w:val="TableContents"/>
              <w:bidi w:val="0"/>
              <w:spacing w:before="0" w:after="283"/>
              <w:jc w:val="left"/>
              <w:rPr/>
            </w:pPr>
            <w:r>
              <w:rPr/>
              <w:t>Other interest income</w:t>
            </w:r>
          </w:p>
        </w:tc>
        <w:tc>
          <w:tcPr>
            <w:tcW w:w="60" w:type="dxa"/>
            <w:tcBorders/>
            <w:shd w:fill="EEEEEE" w:val="clear"/>
            <w:vAlign w:val="center"/>
          </w:tcPr>
          <w:p>
            <w:pPr>
              <w:pStyle w:val="TableContents"/>
              <w:bidi w:val="0"/>
              <w:spacing w:before="0" w:after="283"/>
              <w:jc w:val="left"/>
              <w:rPr/>
            </w:pPr>
            <w:r>
              <w:rPr/>
              <w:t> </w:t>
            </w:r>
          </w:p>
        </w:tc>
        <w:tc>
          <w:tcPr>
            <w:tcW w:w="17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53" w:type="dxa"/>
            <w:tcBorders>
              <w:bottom w:val="single" w:sz="8" w:space="0" w:color="000000"/>
            </w:tcBorders>
            <w:shd w:fill="EEEEEE" w:val="clear"/>
            <w:tcMar>
              <w:bottom w:w="28" w:type="dxa"/>
            </w:tcMar>
            <w:vAlign w:val="center"/>
          </w:tcPr>
          <w:p>
            <w:pPr>
              <w:pStyle w:val="TableContents"/>
              <w:bidi w:val="0"/>
              <w:spacing w:before="0" w:after="283"/>
              <w:jc w:val="right"/>
              <w:rPr/>
            </w:pPr>
            <w:r>
              <w:rPr/>
              <w:t>1,644</w:t>
            </w:r>
          </w:p>
        </w:tc>
        <w:tc>
          <w:tcPr>
            <w:tcW w:w="75"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7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53" w:type="dxa"/>
            <w:tcBorders>
              <w:bottom w:val="single" w:sz="8" w:space="0" w:color="000000"/>
            </w:tcBorders>
            <w:shd w:fill="EEEEEE" w:val="clear"/>
            <w:tcMar>
              <w:bottom w:w="28" w:type="dxa"/>
            </w:tcMar>
            <w:vAlign w:val="center"/>
          </w:tcPr>
          <w:p>
            <w:pPr>
              <w:pStyle w:val="TableContents"/>
              <w:bidi w:val="0"/>
              <w:spacing w:before="0" w:after="283"/>
              <w:jc w:val="right"/>
              <w:rPr/>
            </w:pPr>
            <w:r>
              <w:rPr/>
              <w:t>463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EEEEEE" w:val="clear"/>
            <w:tcMar>
              <w:bottom w:w="28" w:type="dxa"/>
            </w:tcMar>
            <w:vAlign w:val="center"/>
          </w:tcPr>
          <w:p>
            <w:pPr>
              <w:pStyle w:val="TableContents"/>
              <w:bidi w:val="0"/>
              <w:spacing w:before="0" w:after="283"/>
              <w:jc w:val="right"/>
              <w:rPr/>
            </w:pPr>
            <w:r>
              <w:rPr/>
              <w:t>4,510</w:t>
            </w:r>
          </w:p>
        </w:tc>
        <w:tc>
          <w:tcPr>
            <w:tcW w:w="62" w:type="dxa"/>
            <w:tcBorders/>
            <w:shd w:fill="EEEEEE" w:val="clear"/>
            <w:vAlign w:val="center"/>
          </w:tcPr>
          <w:p>
            <w:pPr>
              <w:pStyle w:val="TableContents"/>
              <w:bidi w:val="0"/>
              <w:spacing w:before="0" w:after="283"/>
              <w:jc w:val="left"/>
              <w:rPr/>
            </w:pPr>
            <w:r>
              <w:rPr/>
              <w:t> </w:t>
            </w:r>
          </w:p>
        </w:tc>
        <w:tc>
          <w:tcPr>
            <w:tcW w:w="62" w:type="dxa"/>
            <w:tcBorders/>
            <w:shd w:fill="EEEEEE" w:val="clear"/>
            <w:vAlign w:val="center"/>
          </w:tcPr>
          <w:p>
            <w:pPr>
              <w:pStyle w:val="TableContents"/>
              <w:bidi w:val="0"/>
              <w:spacing w:before="0" w:after="283"/>
              <w:jc w:val="left"/>
              <w:rPr/>
            </w:pPr>
            <w:r>
              <w:rPr/>
              <w:t> </w:t>
            </w:r>
          </w:p>
        </w:tc>
        <w:tc>
          <w:tcPr>
            <w:tcW w:w="14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EEEEEE" w:val="clear"/>
            <w:tcMar>
              <w:bottom w:w="28" w:type="dxa"/>
            </w:tcMar>
            <w:vAlign w:val="center"/>
          </w:tcPr>
          <w:p>
            <w:pPr>
              <w:pStyle w:val="TableContents"/>
              <w:bidi w:val="0"/>
              <w:spacing w:before="0" w:after="283"/>
              <w:jc w:val="right"/>
              <w:rPr/>
            </w:pPr>
            <w:r>
              <w:rPr/>
              <w:t>577</w:t>
            </w:r>
          </w:p>
        </w:tc>
        <w:tc>
          <w:tcPr>
            <w:tcW w:w="75" w:type="dxa"/>
            <w:tcBorders/>
            <w:shd w:fill="EEEEEE"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855" w:name="xdx_400_eus-gaap--InterestAndDividendInc"/>
            <w:bookmarkEnd w:id="855"/>
          </w:p>
        </w:tc>
      </w:tr>
      <w:tr>
        <w:trPr/>
        <w:tc>
          <w:tcPr>
            <w:tcW w:w="4055" w:type="dxa"/>
            <w:tcBorders/>
            <w:shd w:fill="EEEEEE" w:val="clear"/>
            <w:vAlign w:val="center"/>
          </w:tcPr>
          <w:p>
            <w:pPr>
              <w:pStyle w:val="TableContents"/>
              <w:bidi w:val="0"/>
              <w:spacing w:before="0" w:after="283"/>
              <w:jc w:val="left"/>
              <w:rPr/>
            </w:pPr>
            <w:r>
              <w:rPr/>
              <w:t>Interest income</w:t>
            </w:r>
          </w:p>
        </w:tc>
        <w:tc>
          <w:tcPr>
            <w:tcW w:w="60" w:type="dxa"/>
            <w:tcBorders/>
            <w:shd w:fill="EEEEEE" w:val="clear"/>
            <w:vAlign w:val="center"/>
          </w:tcPr>
          <w:p>
            <w:pPr>
              <w:pStyle w:val="TableContents"/>
              <w:bidi w:val="0"/>
              <w:spacing w:before="0" w:after="283"/>
              <w:jc w:val="left"/>
              <w:rPr/>
            </w:pPr>
            <w:r>
              <w:rPr/>
              <w:t> </w:t>
            </w:r>
          </w:p>
        </w:tc>
        <w:tc>
          <w:tcPr>
            <w:tcW w:w="175"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853" w:type="dxa"/>
            <w:tcBorders>
              <w:bottom w:val="double" w:sz="6" w:space="0" w:color="000000"/>
            </w:tcBorders>
            <w:shd w:fill="EEEEEE" w:val="clear"/>
            <w:tcMar>
              <w:bottom w:w="28" w:type="dxa"/>
            </w:tcMar>
            <w:vAlign w:val="center"/>
          </w:tcPr>
          <w:p>
            <w:pPr>
              <w:pStyle w:val="TableContents"/>
              <w:bidi w:val="0"/>
              <w:spacing w:before="0" w:after="283"/>
              <w:jc w:val="right"/>
              <w:rPr/>
            </w:pPr>
            <w:r>
              <w:rPr/>
              <w:t>83,261</w:t>
            </w:r>
          </w:p>
        </w:tc>
        <w:tc>
          <w:tcPr>
            <w:tcW w:w="75"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75"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853" w:type="dxa"/>
            <w:tcBorders>
              <w:bottom w:val="double" w:sz="6" w:space="0" w:color="000000"/>
            </w:tcBorders>
            <w:shd w:fill="EEEEEE" w:val="clear"/>
            <w:tcMar>
              <w:bottom w:w="28" w:type="dxa"/>
            </w:tcMar>
            <w:vAlign w:val="center"/>
          </w:tcPr>
          <w:p>
            <w:pPr>
              <w:pStyle w:val="TableContents"/>
              <w:bidi w:val="0"/>
              <w:spacing w:before="0" w:after="283"/>
              <w:jc w:val="right"/>
              <w:rPr/>
            </w:pPr>
            <w:r>
              <w:rPr/>
              <w:t>79,817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5"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EEEEEE" w:val="clear"/>
            <w:tcMar>
              <w:bottom w:w="28" w:type="dxa"/>
            </w:tcMar>
            <w:vAlign w:val="center"/>
          </w:tcPr>
          <w:p>
            <w:pPr>
              <w:pStyle w:val="TableContents"/>
              <w:bidi w:val="0"/>
              <w:spacing w:before="0" w:after="283"/>
              <w:jc w:val="right"/>
              <w:rPr/>
            </w:pPr>
            <w:r>
              <w:rPr/>
              <w:t>245,960</w:t>
            </w:r>
          </w:p>
        </w:tc>
        <w:tc>
          <w:tcPr>
            <w:tcW w:w="62" w:type="dxa"/>
            <w:tcBorders/>
            <w:shd w:fill="EEEEEE" w:val="clear"/>
            <w:vAlign w:val="center"/>
          </w:tcPr>
          <w:p>
            <w:pPr>
              <w:pStyle w:val="TableContents"/>
              <w:bidi w:val="0"/>
              <w:spacing w:before="0" w:after="283"/>
              <w:jc w:val="left"/>
              <w:rPr/>
            </w:pPr>
            <w:r>
              <w:rPr/>
              <w:t> </w:t>
            </w:r>
          </w:p>
        </w:tc>
        <w:tc>
          <w:tcPr>
            <w:tcW w:w="62" w:type="dxa"/>
            <w:tcBorders/>
            <w:shd w:fill="EEEEEE" w:val="clear"/>
            <w:vAlign w:val="center"/>
          </w:tcPr>
          <w:p>
            <w:pPr>
              <w:pStyle w:val="TableContents"/>
              <w:bidi w:val="0"/>
              <w:spacing w:before="0" w:after="283"/>
              <w:jc w:val="left"/>
              <w:rPr/>
            </w:pPr>
            <w:r>
              <w:rPr/>
              <w:t> </w:t>
            </w:r>
          </w:p>
        </w:tc>
        <w:tc>
          <w:tcPr>
            <w:tcW w:w="145"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EEEEEE" w:val="clear"/>
            <w:tcMar>
              <w:bottom w:w="28" w:type="dxa"/>
            </w:tcMar>
            <w:vAlign w:val="center"/>
          </w:tcPr>
          <w:p>
            <w:pPr>
              <w:pStyle w:val="TableContents"/>
              <w:bidi w:val="0"/>
              <w:spacing w:before="0" w:after="283"/>
              <w:jc w:val="right"/>
              <w:rPr/>
            </w:pPr>
            <w:r>
              <w:rPr/>
              <w:t>225,547</w:t>
            </w:r>
          </w:p>
        </w:tc>
        <w:tc>
          <w:tcPr>
            <w:tcW w:w="75"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components of interest expense:</w:t>
      </w:r>
    </w:p>
    <w:p>
      <w:pPr>
        <w:pStyle w:val="Normal"/>
        <w:bidi w:val="0"/>
        <w:spacing w:before="0" w:after="0"/>
        <w:jc w:val="left"/>
        <w:rPr>
          <w:sz w:val="4"/>
          <w:szCs w:val="4"/>
        </w:rPr>
      </w:pPr>
      <w:r>
        <w:rPr>
          <w:sz w:val="4"/>
          <w:szCs w:val="4"/>
        </w:rPr>
      </w:r>
      <w:bookmarkStart w:id="856" w:name="xdx_883_eus-gaap--InterestIncomeAndInter"/>
      <w:bookmarkStart w:id="857" w:name="xdx_883_eus-gaap--InterestIncomeAndInter"/>
      <w:bookmarkEnd w:id="857"/>
    </w:p>
    <w:tbl>
      <w:tblPr>
        <w:tblW w:w="7418" w:type="dxa"/>
        <w:jc w:val="left"/>
        <w:tblInd w:w="0" w:type="dxa"/>
        <w:tblLayout w:type="fixed"/>
        <w:tblCellMar>
          <w:top w:w="0" w:type="dxa"/>
          <w:left w:w="0" w:type="dxa"/>
          <w:bottom w:w="0" w:type="dxa"/>
          <w:right w:w="0" w:type="dxa"/>
        </w:tblCellMar>
      </w:tblPr>
      <w:tblGrid>
        <w:gridCol w:w="2885"/>
        <w:gridCol w:w="60"/>
        <w:gridCol w:w="175"/>
        <w:gridCol w:w="853"/>
        <w:gridCol w:w="75"/>
        <w:gridCol w:w="75"/>
        <w:gridCol w:w="175"/>
        <w:gridCol w:w="853"/>
        <w:gridCol w:w="60"/>
        <w:gridCol w:w="60"/>
        <w:gridCol w:w="154"/>
        <w:gridCol w:w="882"/>
        <w:gridCol w:w="66"/>
        <w:gridCol w:w="66"/>
        <w:gridCol w:w="154"/>
        <w:gridCol w:w="750"/>
        <w:gridCol w:w="75"/>
      </w:tblGrid>
      <w:tr>
        <w:trPr/>
        <w:tc>
          <w:tcPr>
            <w:tcW w:w="2885" w:type="dxa"/>
            <w:tcBorders/>
            <w:vAlign w:val="center"/>
          </w:tcPr>
          <w:p>
            <w:pPr>
              <w:pStyle w:val="TableContents"/>
              <w:bidi w:val="0"/>
              <w:spacing w:before="0" w:after="283"/>
              <w:jc w:val="left"/>
              <w:rPr/>
            </w:pPr>
            <w:bookmarkStart w:id="858" w:name="xdx_8B2_z9UyaHR4mxca"/>
            <w:bookmarkEnd w:id="858"/>
            <w:r>
              <w:rPr/>
              <w:t>Schedule of interest expense</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righ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6" w:type="dxa"/>
            <w:gridSpan w:val="6"/>
            <w:tcBorders/>
            <w:vAlign w:val="center"/>
          </w:tcPr>
          <w:p>
            <w:pPr>
              <w:pStyle w:val="TableContents"/>
              <w:bidi w:val="0"/>
              <w:spacing w:before="0" w:after="283"/>
              <w:jc w:val="center"/>
              <w:rPr>
                <w:b/>
              </w:rPr>
            </w:pPr>
            <w:r>
              <w:rPr>
                <w:b/>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2" w:type="dxa"/>
            <w:gridSpan w:val="6"/>
            <w:tcBorders/>
            <w:vAlign w:val="center"/>
          </w:tcPr>
          <w:p>
            <w:pPr>
              <w:pStyle w:val="TableContents"/>
              <w:bidi w:val="0"/>
              <w:spacing w:before="0" w:after="283"/>
              <w:jc w:val="center"/>
              <w:rPr>
                <w:b/>
              </w:rPr>
            </w:pPr>
            <w:r>
              <w:rPr>
                <w:b/>
              </w:rPr>
              <w:t>Nine Months Ended</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0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9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6" w:type="dxa"/>
            <w:gridSpan w:val="6"/>
            <w:tcBorders/>
            <w:vAlign w:val="center"/>
          </w:tcPr>
          <w:p>
            <w:pPr>
              <w:pStyle w:val="TableContents"/>
              <w:bidi w:val="0"/>
              <w:spacing w:before="0" w:after="283"/>
              <w:jc w:val="center"/>
              <w:rPr>
                <w:b/>
              </w:rPr>
            </w:pPr>
            <w:r>
              <w:rPr>
                <w:b/>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2" w:type="dxa"/>
            <w:gridSpan w:val="6"/>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2885" w:type="dxa"/>
            <w:tcBorders/>
            <w:shd w:fill="EEEEEE" w:val="clear"/>
            <w:vAlign w:val="center"/>
          </w:tcPr>
          <w:p>
            <w:pPr>
              <w:pStyle w:val="TableContents"/>
              <w:bidi w:val="0"/>
              <w:spacing w:before="0" w:after="283"/>
              <w:jc w:val="left"/>
              <w:rPr/>
            </w:pPr>
            <w:r>
              <w:rPr/>
              <w:t>Securitization trust debt</w:t>
            </w:r>
          </w:p>
        </w:tc>
        <w:tc>
          <w:tcPr>
            <w:tcW w:w="60"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w:t>
            </w:r>
            <w:bookmarkStart w:id="859" w:name="xdx_980_eus-gaap--InterestExpense_pn3n3_"/>
            <w:bookmarkEnd w:id="859"/>
          </w:p>
        </w:tc>
        <w:tc>
          <w:tcPr>
            <w:tcW w:w="853" w:type="dxa"/>
            <w:tcBorders/>
            <w:shd w:fill="EEEEEE" w:val="clear"/>
            <w:vAlign w:val="center"/>
          </w:tcPr>
          <w:p>
            <w:pPr>
              <w:pStyle w:val="TableContents"/>
              <w:bidi w:val="0"/>
              <w:spacing w:before="0" w:after="283"/>
              <w:jc w:val="right"/>
              <w:rPr/>
            </w:pPr>
            <w:r>
              <w:rPr/>
              <w:t>31,734</w:t>
            </w:r>
          </w:p>
        </w:tc>
        <w:tc>
          <w:tcPr>
            <w:tcW w:w="75"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w:t>
            </w:r>
            <w:bookmarkStart w:id="860" w:name="xdx_98B_eus-gaap--InterestExpense_pn3n3_"/>
            <w:bookmarkEnd w:id="860"/>
          </w:p>
        </w:tc>
        <w:tc>
          <w:tcPr>
            <w:tcW w:w="853" w:type="dxa"/>
            <w:tcBorders/>
            <w:shd w:fill="EEEEEE" w:val="clear"/>
            <w:vAlign w:val="center"/>
          </w:tcPr>
          <w:p>
            <w:pPr>
              <w:pStyle w:val="TableContents"/>
              <w:bidi w:val="0"/>
              <w:spacing w:before="0" w:after="283"/>
              <w:jc w:val="right"/>
              <w:rPr/>
            </w:pPr>
            <w:r>
              <w:rPr/>
              <w:t>18,519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4" w:type="dxa"/>
            <w:tcBorders/>
            <w:shd w:fill="EEEEEE" w:val="clear"/>
            <w:vAlign w:val="center"/>
          </w:tcPr>
          <w:p>
            <w:pPr>
              <w:pStyle w:val="TableContents"/>
              <w:bidi w:val="0"/>
              <w:spacing w:before="0" w:after="283"/>
              <w:jc w:val="left"/>
              <w:rPr/>
            </w:pPr>
            <w:r>
              <w:rPr/>
              <w:t>$</w:t>
            </w:r>
            <w:bookmarkStart w:id="861" w:name="xdx_989_eus-gaap--InterestExpense_pn3n3_"/>
            <w:bookmarkEnd w:id="861"/>
          </w:p>
        </w:tc>
        <w:tc>
          <w:tcPr>
            <w:tcW w:w="882" w:type="dxa"/>
            <w:tcBorders/>
            <w:shd w:fill="EEEEEE" w:val="clear"/>
            <w:vAlign w:val="center"/>
          </w:tcPr>
          <w:p>
            <w:pPr>
              <w:pStyle w:val="TableContents"/>
              <w:bidi w:val="0"/>
              <w:spacing w:before="0" w:after="283"/>
              <w:jc w:val="right"/>
              <w:rPr/>
            </w:pPr>
            <w:r>
              <w:rPr/>
              <w:t>87,258</w:t>
            </w:r>
          </w:p>
        </w:tc>
        <w:tc>
          <w:tcPr>
            <w:tcW w:w="66" w:type="dxa"/>
            <w:tcBorders/>
            <w:shd w:fill="EEEEEE" w:val="clear"/>
            <w:vAlign w:val="center"/>
          </w:tcPr>
          <w:p>
            <w:pPr>
              <w:pStyle w:val="TableContents"/>
              <w:bidi w:val="0"/>
              <w:spacing w:before="0" w:after="283"/>
              <w:jc w:val="left"/>
              <w:rPr/>
            </w:pPr>
            <w:r>
              <w:rPr/>
              <w:t> </w:t>
            </w:r>
          </w:p>
        </w:tc>
        <w:tc>
          <w:tcPr>
            <w:tcW w:w="66" w:type="dxa"/>
            <w:tcBorders/>
            <w:shd w:fill="EEEEEE" w:val="clear"/>
            <w:vAlign w:val="center"/>
          </w:tcPr>
          <w:p>
            <w:pPr>
              <w:pStyle w:val="TableContents"/>
              <w:bidi w:val="0"/>
              <w:spacing w:before="0" w:after="283"/>
              <w:jc w:val="left"/>
              <w:rPr/>
            </w:pPr>
            <w:r>
              <w:rPr/>
              <w:t> </w:t>
            </w:r>
          </w:p>
        </w:tc>
        <w:tc>
          <w:tcPr>
            <w:tcW w:w="154" w:type="dxa"/>
            <w:tcBorders/>
            <w:shd w:fill="EEEEEE" w:val="clear"/>
            <w:vAlign w:val="center"/>
          </w:tcPr>
          <w:p>
            <w:pPr>
              <w:pStyle w:val="TableContents"/>
              <w:bidi w:val="0"/>
              <w:spacing w:before="0" w:after="283"/>
              <w:jc w:val="left"/>
              <w:rPr/>
            </w:pPr>
            <w:r>
              <w:rPr/>
              <w:t>$</w:t>
            </w:r>
            <w:bookmarkStart w:id="862" w:name="xdx_983_eus-gaap--InterestExpense_pn3n3_"/>
            <w:bookmarkEnd w:id="862"/>
          </w:p>
        </w:tc>
        <w:tc>
          <w:tcPr>
            <w:tcW w:w="750" w:type="dxa"/>
            <w:tcBorders/>
            <w:shd w:fill="EEEEEE" w:val="clear"/>
            <w:vAlign w:val="center"/>
          </w:tcPr>
          <w:p>
            <w:pPr>
              <w:pStyle w:val="TableContents"/>
              <w:bidi w:val="0"/>
              <w:spacing w:before="0" w:after="283"/>
              <w:jc w:val="right"/>
              <w:rPr/>
            </w:pPr>
            <w:r>
              <w:rPr/>
              <w:t>47,792</w:t>
            </w:r>
          </w:p>
        </w:tc>
        <w:tc>
          <w:tcPr>
            <w:tcW w:w="75" w:type="dxa"/>
            <w:tcBorders/>
            <w:shd w:fill="EEEEEE"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Warehouse lines of credit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bookmarkStart w:id="863" w:name="xdx_982_eus-gaap--InterestExpense_pn3n3_"/>
            <w:bookmarkEnd w:id="863"/>
          </w:p>
        </w:tc>
        <w:tc>
          <w:tcPr>
            <w:tcW w:w="853" w:type="dxa"/>
            <w:tcBorders/>
            <w:shd w:fill="FFFFFF" w:val="clear"/>
            <w:vAlign w:val="center"/>
          </w:tcPr>
          <w:p>
            <w:pPr>
              <w:pStyle w:val="TableContents"/>
              <w:bidi w:val="0"/>
              <w:spacing w:before="0" w:after="283"/>
              <w:jc w:val="right"/>
              <w:rPr/>
            </w:pPr>
            <w:r>
              <w:rPr/>
              <w:t>4,665</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bookmarkStart w:id="864" w:name="xdx_989_eus-gaap--InterestExpense_pn3n3_"/>
            <w:bookmarkEnd w:id="864"/>
          </w:p>
        </w:tc>
        <w:tc>
          <w:tcPr>
            <w:tcW w:w="853" w:type="dxa"/>
            <w:tcBorders/>
            <w:shd w:fill="FFFFFF" w:val="clear"/>
            <w:vAlign w:val="center"/>
          </w:tcPr>
          <w:p>
            <w:pPr>
              <w:pStyle w:val="TableContents"/>
              <w:bidi w:val="0"/>
              <w:spacing w:before="0" w:after="283"/>
              <w:jc w:val="right"/>
              <w:rPr/>
            </w:pPr>
            <w:r>
              <w:rPr/>
              <w:t>3,342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bookmarkStart w:id="865" w:name="xdx_984_eus-gaap--InterestExpense_pn3n3_"/>
            <w:bookmarkEnd w:id="865"/>
          </w:p>
        </w:tc>
        <w:tc>
          <w:tcPr>
            <w:tcW w:w="882" w:type="dxa"/>
            <w:tcBorders/>
            <w:shd w:fill="FFFFFF" w:val="clear"/>
            <w:vAlign w:val="center"/>
          </w:tcPr>
          <w:p>
            <w:pPr>
              <w:pStyle w:val="TableContents"/>
              <w:bidi w:val="0"/>
              <w:spacing w:before="0" w:after="283"/>
              <w:jc w:val="right"/>
              <w:rPr/>
            </w:pPr>
            <w:r>
              <w:rPr/>
              <w:t>14,521</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bookmarkStart w:id="866" w:name="xdx_98C_eus-gaap--InterestExpense_pn3n3_"/>
            <w:bookmarkEnd w:id="866"/>
          </w:p>
        </w:tc>
        <w:tc>
          <w:tcPr>
            <w:tcW w:w="750" w:type="dxa"/>
            <w:tcBorders/>
            <w:shd w:fill="FFFFFF" w:val="clear"/>
            <w:vAlign w:val="center"/>
          </w:tcPr>
          <w:p>
            <w:pPr>
              <w:pStyle w:val="TableContents"/>
              <w:bidi w:val="0"/>
              <w:spacing w:before="0" w:after="283"/>
              <w:jc w:val="right"/>
              <w:rPr/>
            </w:pPr>
            <w:r>
              <w:rPr/>
              <w:t>5,887</w:t>
            </w:r>
          </w:p>
        </w:tc>
        <w:tc>
          <w:tcPr>
            <w:tcW w:w="75" w:type="dxa"/>
            <w:tcBorders/>
            <w:shd w:fill="FFFFFF" w:val="clear"/>
            <w:vAlign w:val="center"/>
          </w:tcPr>
          <w:p>
            <w:pPr>
              <w:pStyle w:val="TableContents"/>
              <w:bidi w:val="0"/>
              <w:spacing w:before="0" w:after="283"/>
              <w:jc w:val="left"/>
              <w:rPr/>
            </w:pPr>
            <w:r>
              <w:rPr/>
              <w:t> </w:t>
            </w:r>
          </w:p>
        </w:tc>
      </w:tr>
      <w:tr>
        <w:trPr/>
        <w:tc>
          <w:tcPr>
            <w:tcW w:w="2885" w:type="dxa"/>
            <w:tcBorders/>
            <w:shd w:fill="EEEEEE" w:val="clear"/>
            <w:vAlign w:val="center"/>
          </w:tcPr>
          <w:p>
            <w:pPr>
              <w:pStyle w:val="TableContents"/>
              <w:bidi w:val="0"/>
              <w:spacing w:before="0" w:after="283"/>
              <w:jc w:val="left"/>
              <w:rPr/>
            </w:pPr>
            <w:r>
              <w:rPr/>
              <w:t>Residual interest financing</w:t>
            </w:r>
          </w:p>
        </w:tc>
        <w:tc>
          <w:tcPr>
            <w:tcW w:w="60"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bookmarkStart w:id="867" w:name="xdx_981_eus-gaap--InterestExpense_pn3n3_"/>
            <w:bookmarkEnd w:id="867"/>
          </w:p>
        </w:tc>
        <w:tc>
          <w:tcPr>
            <w:tcW w:w="853" w:type="dxa"/>
            <w:tcBorders/>
            <w:shd w:fill="EEEEEE" w:val="clear"/>
            <w:vAlign w:val="center"/>
          </w:tcPr>
          <w:p>
            <w:pPr>
              <w:pStyle w:val="TableContents"/>
              <w:bidi w:val="0"/>
              <w:spacing w:before="0" w:after="283"/>
              <w:jc w:val="right"/>
              <w:rPr/>
            </w:pPr>
            <w:r>
              <w:rPr/>
              <w:t>1,050</w:t>
            </w:r>
          </w:p>
        </w:tc>
        <w:tc>
          <w:tcPr>
            <w:tcW w:w="75"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bookmarkStart w:id="868" w:name="xdx_980_eus-gaap--InterestExpense_pn3n3_"/>
            <w:bookmarkEnd w:id="868"/>
          </w:p>
        </w:tc>
        <w:tc>
          <w:tcPr>
            <w:tcW w:w="853" w:type="dxa"/>
            <w:tcBorders/>
            <w:shd w:fill="EEEEEE" w:val="clear"/>
            <w:vAlign w:val="center"/>
          </w:tcPr>
          <w:p>
            <w:pPr>
              <w:pStyle w:val="TableContents"/>
              <w:bidi w:val="0"/>
              <w:spacing w:before="0" w:after="283"/>
              <w:jc w:val="right"/>
              <w:rPr/>
            </w:pPr>
            <w:r>
              <w:rPr/>
              <w:t>1,050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4" w:type="dxa"/>
            <w:tcBorders/>
            <w:shd w:fill="EEEEEE" w:val="clear"/>
            <w:vAlign w:val="center"/>
          </w:tcPr>
          <w:p>
            <w:pPr>
              <w:pStyle w:val="TableContents"/>
              <w:bidi w:val="0"/>
              <w:spacing w:before="0" w:after="283"/>
              <w:jc w:val="left"/>
              <w:rPr/>
            </w:pPr>
            <w:r>
              <w:rPr/>
              <w:t> </w:t>
            </w:r>
            <w:bookmarkStart w:id="869" w:name="xdx_980_eus-gaap--InterestExpense_pn3n3_"/>
            <w:bookmarkEnd w:id="869"/>
          </w:p>
        </w:tc>
        <w:tc>
          <w:tcPr>
            <w:tcW w:w="882" w:type="dxa"/>
            <w:tcBorders/>
            <w:shd w:fill="EEEEEE" w:val="clear"/>
            <w:vAlign w:val="center"/>
          </w:tcPr>
          <w:p>
            <w:pPr>
              <w:pStyle w:val="TableContents"/>
              <w:bidi w:val="0"/>
              <w:spacing w:before="0" w:after="283"/>
              <w:jc w:val="right"/>
              <w:rPr/>
            </w:pPr>
            <w:r>
              <w:rPr/>
              <w:t>3,149</w:t>
            </w:r>
          </w:p>
        </w:tc>
        <w:tc>
          <w:tcPr>
            <w:tcW w:w="66" w:type="dxa"/>
            <w:tcBorders/>
            <w:shd w:fill="EEEEEE" w:val="clear"/>
            <w:vAlign w:val="center"/>
          </w:tcPr>
          <w:p>
            <w:pPr>
              <w:pStyle w:val="TableContents"/>
              <w:bidi w:val="0"/>
              <w:spacing w:before="0" w:after="283"/>
              <w:jc w:val="left"/>
              <w:rPr/>
            </w:pPr>
            <w:r>
              <w:rPr/>
              <w:t> </w:t>
            </w:r>
          </w:p>
        </w:tc>
        <w:tc>
          <w:tcPr>
            <w:tcW w:w="66" w:type="dxa"/>
            <w:tcBorders/>
            <w:shd w:fill="EEEEEE" w:val="clear"/>
            <w:vAlign w:val="center"/>
          </w:tcPr>
          <w:p>
            <w:pPr>
              <w:pStyle w:val="TableContents"/>
              <w:bidi w:val="0"/>
              <w:spacing w:before="0" w:after="283"/>
              <w:jc w:val="left"/>
              <w:rPr/>
            </w:pPr>
            <w:r>
              <w:rPr/>
              <w:t> </w:t>
            </w:r>
          </w:p>
        </w:tc>
        <w:tc>
          <w:tcPr>
            <w:tcW w:w="154" w:type="dxa"/>
            <w:tcBorders/>
            <w:shd w:fill="EEEEEE" w:val="clear"/>
            <w:vAlign w:val="center"/>
          </w:tcPr>
          <w:p>
            <w:pPr>
              <w:pStyle w:val="TableContents"/>
              <w:bidi w:val="0"/>
              <w:spacing w:before="0" w:after="283"/>
              <w:jc w:val="left"/>
              <w:rPr/>
            </w:pPr>
            <w:r>
              <w:rPr/>
              <w:t> </w:t>
            </w:r>
            <w:bookmarkStart w:id="870" w:name="xdx_980_eus-gaap--InterestExpense_pn3n3_"/>
            <w:bookmarkEnd w:id="870"/>
          </w:p>
        </w:tc>
        <w:tc>
          <w:tcPr>
            <w:tcW w:w="750" w:type="dxa"/>
            <w:tcBorders/>
            <w:shd w:fill="EEEEEE" w:val="clear"/>
            <w:vAlign w:val="center"/>
          </w:tcPr>
          <w:p>
            <w:pPr>
              <w:pStyle w:val="TableContents"/>
              <w:bidi w:val="0"/>
              <w:spacing w:before="0" w:after="283"/>
              <w:jc w:val="right"/>
              <w:rPr/>
            </w:pPr>
            <w:r>
              <w:rPr/>
              <w:t>3,193</w:t>
            </w:r>
          </w:p>
        </w:tc>
        <w:tc>
          <w:tcPr>
            <w:tcW w:w="75" w:type="dxa"/>
            <w:tcBorders/>
            <w:shd w:fill="EEEEEE"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Subordinated renewable notes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71" w:name="xdx_980_eus-gaap--InterestExpense_pn3n3_"/>
            <w:bookmarkEnd w:id="871"/>
          </w:p>
        </w:tc>
        <w:tc>
          <w:tcPr>
            <w:tcW w:w="853" w:type="dxa"/>
            <w:tcBorders>
              <w:bottom w:val="single" w:sz="8" w:space="0" w:color="000000"/>
            </w:tcBorders>
            <w:shd w:fill="FFFFFF" w:val="clear"/>
            <w:tcMar>
              <w:bottom w:w="28" w:type="dxa"/>
            </w:tcMar>
            <w:vAlign w:val="center"/>
          </w:tcPr>
          <w:p>
            <w:pPr>
              <w:pStyle w:val="TableContents"/>
              <w:bidi w:val="0"/>
              <w:spacing w:before="0" w:after="283"/>
              <w:jc w:val="right"/>
              <w:rPr/>
            </w:pPr>
            <w:r>
              <w:rPr/>
              <w:t>440</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72" w:name="xdx_98D_eus-gaap--InterestExpense_pn3n3_"/>
            <w:bookmarkEnd w:id="872"/>
          </w:p>
        </w:tc>
        <w:tc>
          <w:tcPr>
            <w:tcW w:w="853" w:type="dxa"/>
            <w:tcBorders>
              <w:bottom w:val="single" w:sz="8" w:space="0" w:color="000000"/>
            </w:tcBorders>
            <w:shd w:fill="FFFFFF" w:val="clear"/>
            <w:tcMar>
              <w:bottom w:w="28" w:type="dxa"/>
            </w:tcMar>
            <w:vAlign w:val="center"/>
          </w:tcPr>
          <w:p>
            <w:pPr>
              <w:pStyle w:val="TableContents"/>
              <w:bidi w:val="0"/>
              <w:spacing w:before="0" w:after="283"/>
              <w:jc w:val="right"/>
              <w:rPr/>
            </w:pPr>
            <w:r>
              <w:rPr/>
              <w:t>572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73" w:name="xdx_988_eus-gaap--InterestExpense_pn3n3_"/>
            <w:bookmarkEnd w:id="873"/>
          </w:p>
        </w:tc>
        <w:tc>
          <w:tcPr>
            <w:tcW w:w="882" w:type="dxa"/>
            <w:tcBorders>
              <w:bottom w:val="single" w:sz="8" w:space="0" w:color="000000"/>
            </w:tcBorders>
            <w:shd w:fill="FFFFFF" w:val="clear"/>
            <w:tcMar>
              <w:bottom w:w="28" w:type="dxa"/>
            </w:tcMar>
            <w:vAlign w:val="center"/>
          </w:tcPr>
          <w:p>
            <w:pPr>
              <w:pStyle w:val="TableContents"/>
              <w:bidi w:val="0"/>
              <w:spacing w:before="0" w:after="283"/>
              <w:jc w:val="right"/>
              <w:rPr/>
            </w:pPr>
            <w:r>
              <w:rPr/>
              <w:t>1,426</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74" w:name="xdx_98A_eus-gaap--InterestExpense_pn3n3_"/>
            <w:bookmarkEnd w:id="874"/>
          </w:p>
        </w:tc>
        <w:tc>
          <w:tcPr>
            <w:tcW w:w="750" w:type="dxa"/>
            <w:tcBorders>
              <w:bottom w:val="single" w:sz="8" w:space="0" w:color="000000"/>
            </w:tcBorders>
            <w:shd w:fill="FFFFFF" w:val="clear"/>
            <w:tcMar>
              <w:bottom w:w="28" w:type="dxa"/>
            </w:tcMar>
            <w:vAlign w:val="center"/>
          </w:tcPr>
          <w:p>
            <w:pPr>
              <w:pStyle w:val="TableContents"/>
              <w:bidi w:val="0"/>
              <w:spacing w:before="0" w:after="283"/>
              <w:jc w:val="right"/>
              <w:rPr/>
            </w:pPr>
            <w:r>
              <w:rPr/>
              <w:t>1,782</w:t>
            </w:r>
          </w:p>
        </w:tc>
        <w:tc>
          <w:tcPr>
            <w:tcW w:w="75" w:type="dxa"/>
            <w:tcBorders/>
            <w:shd w:fill="FFFFFF" w:val="clear"/>
            <w:vAlign w:val="center"/>
          </w:tcPr>
          <w:p>
            <w:pPr>
              <w:pStyle w:val="TableContents"/>
              <w:bidi w:val="0"/>
              <w:spacing w:before="0" w:after="283"/>
              <w:jc w:val="left"/>
              <w:rPr/>
            </w:pPr>
            <w:r>
              <w:rPr/>
              <w:t> </w:t>
            </w:r>
          </w:p>
        </w:tc>
      </w:tr>
      <w:tr>
        <w:trPr/>
        <w:tc>
          <w:tcPr>
            <w:tcW w:w="288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853" w:type="dxa"/>
            <w:tcBorders/>
            <w:shd w:fill="EEEEEE" w:val="clear"/>
            <w:vAlign w:val="center"/>
          </w:tcPr>
          <w:p>
            <w:pPr>
              <w:pStyle w:val="TableContents"/>
              <w:bidi w:val="0"/>
              <w:spacing w:before="0" w:after="283"/>
              <w:jc w:val="right"/>
              <w:rPr/>
            </w:pPr>
            <w:r>
              <w:rPr/>
              <w:t> </w:t>
            </w:r>
          </w:p>
        </w:tc>
        <w:tc>
          <w:tcPr>
            <w:tcW w:w="75"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853"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4" w:type="dxa"/>
            <w:tcBorders/>
            <w:shd w:fill="EEEEEE" w:val="clear"/>
            <w:vAlign w:val="center"/>
          </w:tcPr>
          <w:p>
            <w:pPr>
              <w:pStyle w:val="TableContents"/>
              <w:bidi w:val="0"/>
              <w:spacing w:before="0" w:after="283"/>
              <w:jc w:val="left"/>
              <w:rPr/>
            </w:pPr>
            <w:r>
              <w:rPr/>
              <w:t> </w:t>
            </w:r>
          </w:p>
        </w:tc>
        <w:tc>
          <w:tcPr>
            <w:tcW w:w="882" w:type="dxa"/>
            <w:tcBorders/>
            <w:shd w:fill="EEEEEE" w:val="clear"/>
            <w:vAlign w:val="center"/>
          </w:tcPr>
          <w:p>
            <w:pPr>
              <w:pStyle w:val="TableContents"/>
              <w:bidi w:val="0"/>
              <w:spacing w:before="0" w:after="283"/>
              <w:jc w:val="right"/>
              <w:rPr/>
            </w:pPr>
            <w:r>
              <w:rPr/>
              <w:t> </w:t>
            </w:r>
          </w:p>
        </w:tc>
        <w:tc>
          <w:tcPr>
            <w:tcW w:w="66" w:type="dxa"/>
            <w:tcBorders/>
            <w:shd w:fill="EEEEEE" w:val="clear"/>
            <w:vAlign w:val="center"/>
          </w:tcPr>
          <w:p>
            <w:pPr>
              <w:pStyle w:val="TableContents"/>
              <w:bidi w:val="0"/>
              <w:spacing w:before="0" w:after="283"/>
              <w:jc w:val="left"/>
              <w:rPr/>
            </w:pPr>
            <w:r>
              <w:rPr/>
              <w:t> </w:t>
            </w:r>
          </w:p>
        </w:tc>
        <w:tc>
          <w:tcPr>
            <w:tcW w:w="66" w:type="dxa"/>
            <w:tcBorders/>
            <w:shd w:fill="EEEEEE" w:val="clear"/>
            <w:vAlign w:val="center"/>
          </w:tcPr>
          <w:p>
            <w:pPr>
              <w:pStyle w:val="TableContents"/>
              <w:bidi w:val="0"/>
              <w:spacing w:before="0" w:after="283"/>
              <w:jc w:val="left"/>
              <w:rPr/>
            </w:pPr>
            <w:r>
              <w:rPr/>
              <w:t> </w:t>
            </w:r>
          </w:p>
        </w:tc>
        <w:tc>
          <w:tcPr>
            <w:tcW w:w="154" w:type="dxa"/>
            <w:tcBorders/>
            <w:shd w:fill="EEEEEE" w:val="clear"/>
            <w:vAlign w:val="center"/>
          </w:tcPr>
          <w:p>
            <w:pPr>
              <w:pStyle w:val="TableContents"/>
              <w:bidi w:val="0"/>
              <w:spacing w:before="0" w:after="283"/>
              <w:jc w:val="left"/>
              <w:rPr/>
            </w:pPr>
            <w:r>
              <w:rPr/>
              <w:t> </w:t>
            </w:r>
          </w:p>
        </w:tc>
        <w:tc>
          <w:tcPr>
            <w:tcW w:w="750" w:type="dxa"/>
            <w:tcBorders/>
            <w:shd w:fill="EEEEEE" w:val="clear"/>
            <w:vAlign w:val="center"/>
          </w:tcPr>
          <w:p>
            <w:pPr>
              <w:pStyle w:val="TableContents"/>
              <w:bidi w:val="0"/>
              <w:spacing w:before="0" w:after="283"/>
              <w:jc w:val="right"/>
              <w:rPr/>
            </w:pPr>
            <w:r>
              <w:rPr/>
              <w:t> </w:t>
            </w:r>
          </w:p>
        </w:tc>
        <w:tc>
          <w:tcPr>
            <w:tcW w:w="75" w:type="dxa"/>
            <w:tcBorders/>
            <w:shd w:fill="EEEEEE"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875" w:name="xdx_985_eus-gaap--InterestExpense_pn3n3_"/>
            <w:bookmarkEnd w:id="875"/>
          </w:p>
        </w:tc>
        <w:tc>
          <w:tcPr>
            <w:tcW w:w="853" w:type="dxa"/>
            <w:tcBorders>
              <w:bottom w:val="double" w:sz="6" w:space="0" w:color="000000"/>
            </w:tcBorders>
            <w:shd w:fill="FFFFFF" w:val="clear"/>
            <w:tcMar>
              <w:bottom w:w="28" w:type="dxa"/>
            </w:tcMar>
            <w:vAlign w:val="center"/>
          </w:tcPr>
          <w:p>
            <w:pPr>
              <w:pStyle w:val="TableContents"/>
              <w:bidi w:val="0"/>
              <w:spacing w:before="0" w:after="283"/>
              <w:jc w:val="right"/>
              <w:rPr/>
            </w:pPr>
            <w:r>
              <w:rPr/>
              <w:t>37,889</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876" w:name="xdx_984_eus-gaap--InterestExpense_pn3n3_"/>
            <w:bookmarkEnd w:id="876"/>
          </w:p>
        </w:tc>
        <w:tc>
          <w:tcPr>
            <w:tcW w:w="853" w:type="dxa"/>
            <w:tcBorders>
              <w:bottom w:val="double" w:sz="6" w:space="0" w:color="000000"/>
            </w:tcBorders>
            <w:shd w:fill="FFFFFF" w:val="clear"/>
            <w:tcMar>
              <w:bottom w:w="28" w:type="dxa"/>
            </w:tcMar>
            <w:vAlign w:val="center"/>
          </w:tcPr>
          <w:p>
            <w:pPr>
              <w:pStyle w:val="TableContents"/>
              <w:bidi w:val="0"/>
              <w:spacing w:before="0" w:after="283"/>
              <w:jc w:val="right"/>
              <w:rPr/>
            </w:pPr>
            <w:r>
              <w:rPr/>
              <w:t>23,483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877" w:name="xdx_98D_eus-gaap--InterestExpense_pn3n3_"/>
            <w:bookmarkEnd w:id="877"/>
          </w:p>
        </w:tc>
        <w:tc>
          <w:tcPr>
            <w:tcW w:w="882" w:type="dxa"/>
            <w:tcBorders>
              <w:bottom w:val="double" w:sz="6" w:space="0" w:color="000000"/>
            </w:tcBorders>
            <w:shd w:fill="FFFFFF" w:val="clear"/>
            <w:tcMar>
              <w:bottom w:w="28" w:type="dxa"/>
            </w:tcMar>
            <w:vAlign w:val="center"/>
          </w:tcPr>
          <w:p>
            <w:pPr>
              <w:pStyle w:val="TableContents"/>
              <w:bidi w:val="0"/>
              <w:spacing w:before="0" w:after="283"/>
              <w:jc w:val="right"/>
              <w:rPr/>
            </w:pPr>
            <w:r>
              <w:rPr/>
              <w:t>106,354</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878" w:name="xdx_985_eus-gaap--InterestExpense_pn3n3_"/>
            <w:bookmarkEnd w:id="878"/>
          </w:p>
        </w:tc>
        <w:tc>
          <w:tcPr>
            <w:tcW w:w="750" w:type="dxa"/>
            <w:tcBorders>
              <w:bottom w:val="double" w:sz="6" w:space="0" w:color="000000"/>
            </w:tcBorders>
            <w:shd w:fill="FFFFFF" w:val="clear"/>
            <w:tcMar>
              <w:bottom w:w="28" w:type="dxa"/>
            </w:tcMar>
            <w:vAlign w:val="center"/>
          </w:tcPr>
          <w:p>
            <w:pPr>
              <w:pStyle w:val="TableContents"/>
              <w:bidi w:val="0"/>
              <w:spacing w:before="0" w:after="283"/>
              <w:jc w:val="right"/>
              <w:rPr/>
            </w:pPr>
            <w:r>
              <w:rPr/>
              <w:t>58,654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879" w:name="xdx_230_ziYtm5WDvDT5"/>
      <w:bookmarkEnd w:id="879"/>
      <w:r>
        <w:rPr>
          <w:caps w:val="false"/>
          <w:smallCaps w:val="false"/>
        </w:rPr>
        <w:t> </w:t>
      </w:r>
    </w:p>
    <w:p>
      <w:pPr>
        <w:pStyle w:val="TextBody"/>
        <w:bidi w:val="0"/>
        <w:spacing w:before="0" w:after="0"/>
        <w:ind w:left="0" w:right="0" w:hanging="0"/>
        <w:jc w:val="left"/>
        <w:rPr>
          <w:caps w:val="false"/>
          <w:smallCaps w:val="false"/>
        </w:rPr>
      </w:pPr>
      <w:bookmarkStart w:id="880" w:name="xdx_235_zfviA4rUnbo5"/>
      <w:bookmarkEnd w:id="880"/>
      <w:r>
        <w:rPr>
          <w:caps w:val="false"/>
          <w:smallCaps w:val="false"/>
        </w:rPr>
        <w:t> </w:t>
      </w:r>
    </w:p>
    <w:p>
      <w:pPr>
        <w:pStyle w:val="TextBody"/>
        <w:bidi w:val="0"/>
        <w:spacing w:before="0" w:after="0"/>
        <w:ind w:left="0" w:right="0" w:hanging="0"/>
        <w:jc w:val="left"/>
        <w:rPr>
          <w:caps w:val="false"/>
          <w:smallCaps w:val="false"/>
        </w:rPr>
      </w:pPr>
      <w:bookmarkStart w:id="881" w:name="xdx_233_z352rSLh4Rr5"/>
      <w:bookmarkEnd w:id="881"/>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882" w:name="xdx_23C_zhgfsCAW3AZi"/>
      <w:bookmarkEnd w:id="882"/>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83" w:name="xdx_235_zAUBnBuFb4e1"/>
      <w:bookmarkStart w:id="884" w:name="xdx_23E_zPU5p9sUg3Rc"/>
      <w:bookmarkEnd w:id="883"/>
      <w:bookmarkEnd w:id="884"/>
      <w:r>
        <w:rPr>
          <w:rFonts w:ascii="Times New Roman;Times;Serif" w:hAnsi="Times New Roman;Times;Serif"/>
          <w:b/>
          <w:i w:val="false"/>
          <w:caps w:val="false"/>
          <w:smallCaps w:val="false"/>
          <w:sz w:val="20"/>
        </w:rPr>
        <w:t>CONSUMER PORTFOLIO SERVICES,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85" w:name="xdx_238_z9klqngRRtbf"/>
      <w:bookmarkStart w:id="886" w:name="xdx_233_zB7owTlOZ8nc"/>
      <w:bookmarkEnd w:id="885"/>
      <w:bookmarkEnd w:id="886"/>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bookmarkStart w:id="887" w:name="xdx_23B_zET5IlKvk1n5"/>
      <w:bookmarkEnd w:id="887"/>
      <w:r>
        <w:rPr>
          <w:caps w:val="false"/>
          <w:smallCaps w:val="false"/>
        </w:rPr>
        <w:t> </w:t>
      </w:r>
    </w:p>
    <w:p>
      <w:pPr>
        <w:pStyle w:val="TextBody"/>
        <w:bidi w:val="0"/>
        <w:spacing w:before="0" w:after="0"/>
        <w:ind w:left="0" w:right="0" w:hanging="0"/>
        <w:jc w:val="left"/>
        <w:rPr>
          <w:caps w:val="false"/>
          <w:smallCaps w:val="false"/>
        </w:rPr>
      </w:pPr>
      <w:bookmarkStart w:id="888" w:name="xdx_23F_zRyZzDwhI98a"/>
      <w:bookmarkEnd w:id="888"/>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89" w:name="xdx_806_eus-gaap--EarningsPerShareTextBl"/>
      <w:bookmarkEnd w:id="889"/>
      <w:r>
        <w:rPr>
          <w:rFonts w:ascii="Times New Roman;Times;Serif" w:hAnsi="Times New Roman;Times;Serif"/>
          <w:b/>
          <w:i w:val="false"/>
          <w:caps w:val="false"/>
          <w:smallCaps w:val="false"/>
          <w:sz w:val="20"/>
        </w:rPr>
        <w:t xml:space="preserve">(6) </w:t>
      </w:r>
      <w:bookmarkStart w:id="890" w:name="xdx_827_zY2wL7fOFVN5"/>
      <w:bookmarkEnd w:id="890"/>
      <w:r>
        <w:rPr>
          <w:rFonts w:ascii="Times New Roman;Times;Serif" w:hAnsi="Times New Roman;Times;Serif"/>
          <w:b/>
          <w:i/>
          <w:caps w:val="false"/>
          <w:smallCaps w:val="false"/>
          <w:sz w:val="20"/>
        </w:rPr>
        <w:t>Earnings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per share for the three-month and nine-month periods ended September 30, 2023 and 2022 were calculated using the weighted average number of shares outstanding for the related period. The following table reconciles the number of shares used in the computations of basic and diluted earnings per share for the three-month and nine-month periods ended September 30, 2023 and 2022:</w:t>
      </w:r>
    </w:p>
    <w:p>
      <w:pPr>
        <w:pStyle w:val="Normal"/>
        <w:bidi w:val="0"/>
        <w:spacing w:before="0" w:after="0"/>
        <w:ind w:left="0" w:right="0" w:firstLine="180"/>
        <w:jc w:val="left"/>
        <w:rPr>
          <w:sz w:val="4"/>
          <w:szCs w:val="4"/>
        </w:rPr>
      </w:pPr>
      <w:r>
        <w:rPr>
          <w:sz w:val="4"/>
          <w:szCs w:val="4"/>
        </w:rPr>
      </w:r>
      <w:bookmarkStart w:id="891" w:name="xdx_888_eus-gaap--ScheduleOfEarningsPerS"/>
      <w:bookmarkStart w:id="892" w:name="xdx_888_eus-gaap--ScheduleOfEarningsPerS"/>
      <w:bookmarkEnd w:id="892"/>
    </w:p>
    <w:tbl>
      <w:tblPr>
        <w:tblW w:w="10205" w:type="dxa"/>
        <w:jc w:val="left"/>
        <w:tblInd w:w="0" w:type="dxa"/>
        <w:tblLayout w:type="fixed"/>
        <w:tblCellMar>
          <w:top w:w="0" w:type="dxa"/>
          <w:left w:w="0" w:type="dxa"/>
          <w:bottom w:w="0" w:type="dxa"/>
          <w:right w:w="0" w:type="dxa"/>
        </w:tblCellMar>
      </w:tblPr>
      <w:tblGrid>
        <w:gridCol w:w="6201"/>
        <w:gridCol w:w="60"/>
        <w:gridCol w:w="71"/>
        <w:gridCol w:w="812"/>
        <w:gridCol w:w="71"/>
        <w:gridCol w:w="71"/>
        <w:gridCol w:w="71"/>
        <w:gridCol w:w="812"/>
        <w:gridCol w:w="60"/>
        <w:gridCol w:w="60"/>
        <w:gridCol w:w="68"/>
        <w:gridCol w:w="782"/>
        <w:gridCol w:w="68"/>
        <w:gridCol w:w="68"/>
        <w:gridCol w:w="68"/>
        <w:gridCol w:w="782"/>
        <w:gridCol w:w="80"/>
      </w:tblGrid>
      <w:tr>
        <w:trPr/>
        <w:tc>
          <w:tcPr>
            <w:tcW w:w="6201" w:type="dxa"/>
            <w:tcBorders/>
            <w:vAlign w:val="center"/>
          </w:tcPr>
          <w:p>
            <w:pPr>
              <w:pStyle w:val="TableContents"/>
              <w:bidi w:val="0"/>
              <w:spacing w:before="0" w:after="283"/>
              <w:jc w:val="left"/>
              <w:rPr/>
            </w:pPr>
            <w:bookmarkStart w:id="893" w:name="xdx_8B0_zscEdTTsiCCc"/>
            <w:bookmarkEnd w:id="893"/>
            <w:r>
              <w:rPr/>
              <w:t>Schedule of earnings per share</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bookmarkStart w:id="894" w:name="xdx_497_20230701__20230930_zO9Wvn75Cuw4"/>
            <w:bookmarkEnd w:id="894"/>
          </w:p>
        </w:tc>
        <w:tc>
          <w:tcPr>
            <w:tcW w:w="812" w:type="dxa"/>
            <w:tcBorders/>
            <w:vAlign w:val="center"/>
          </w:tcPr>
          <w:p>
            <w:pPr>
              <w:pStyle w:val="TableContents"/>
              <w:bidi w:val="0"/>
              <w:spacing w:before="0" w:after="283"/>
              <w:jc w:val="center"/>
              <w:rPr/>
            </w:pPr>
            <w:r>
              <w:rPr/>
              <w:t> </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bookmarkStart w:id="895" w:name="xdx_490_20220701__20220930_zrMxppgCtekc"/>
            <w:bookmarkEnd w:id="895"/>
          </w:p>
        </w:tc>
        <w:tc>
          <w:tcPr>
            <w:tcW w:w="8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bookmarkStart w:id="896" w:name="xdx_494_20230101__20230930_z445Q3tT7Pnf"/>
            <w:bookmarkEnd w:id="896"/>
          </w:p>
        </w:tc>
        <w:tc>
          <w:tcPr>
            <w:tcW w:w="782" w:type="dxa"/>
            <w:tcBorders/>
            <w:vAlign w:val="center"/>
          </w:tcPr>
          <w:p>
            <w:pPr>
              <w:pStyle w:val="TableContents"/>
              <w:bidi w:val="0"/>
              <w:spacing w:before="0" w:after="283"/>
              <w:jc w:val="center"/>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bookmarkStart w:id="897" w:name="xdx_495_20220101__20220930_z9wiI4sQWy1l"/>
            <w:bookmarkEnd w:id="897"/>
          </w:p>
        </w:tc>
        <w:tc>
          <w:tcPr>
            <w:tcW w:w="782"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62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8" w:type="dxa"/>
            <w:gridSpan w:val="6"/>
            <w:tcBorders/>
            <w:vAlign w:val="center"/>
          </w:tcPr>
          <w:p>
            <w:pPr>
              <w:pStyle w:val="TableContents"/>
              <w:bidi w:val="0"/>
              <w:spacing w:before="0" w:after="283"/>
              <w:jc w:val="center"/>
              <w:rPr>
                <w:b/>
              </w:rPr>
            </w:pPr>
            <w:r>
              <w:rPr>
                <w:b/>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6" w:type="dxa"/>
            <w:gridSpan w:val="6"/>
            <w:tcBorders/>
            <w:vAlign w:val="center"/>
          </w:tcPr>
          <w:p>
            <w:pPr>
              <w:pStyle w:val="TableContents"/>
              <w:bidi w:val="0"/>
              <w:spacing w:before="0" w:after="283"/>
              <w:jc w:val="center"/>
              <w:rPr>
                <w:b/>
              </w:rPr>
            </w:pPr>
            <w:r>
              <w:rPr>
                <w:b/>
              </w:rPr>
              <w:t>Nine Months Ended</w:t>
            </w:r>
          </w:p>
        </w:tc>
        <w:tc>
          <w:tcPr>
            <w:tcW w:w="80" w:type="dxa"/>
            <w:tcBorders/>
            <w:vAlign w:val="center"/>
          </w:tcPr>
          <w:p>
            <w:pPr>
              <w:pStyle w:val="TableContents"/>
              <w:bidi w:val="0"/>
              <w:spacing w:before="0" w:after="283"/>
              <w:jc w:val="left"/>
              <w:rPr/>
            </w:pPr>
            <w:r>
              <w:rPr/>
              <w:t> </w:t>
            </w:r>
          </w:p>
        </w:tc>
      </w:tr>
      <w:tr>
        <w:trPr/>
        <w:tc>
          <w:tcPr>
            <w:tcW w:w="62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80" w:type="dxa"/>
            <w:tcBorders/>
            <w:vAlign w:val="center"/>
          </w:tcPr>
          <w:p>
            <w:pPr>
              <w:pStyle w:val="TableContents"/>
              <w:bidi w:val="0"/>
              <w:spacing w:before="0" w:after="283"/>
              <w:jc w:val="left"/>
              <w:rPr/>
            </w:pPr>
            <w:r>
              <w:rPr/>
              <w:t> </w:t>
            </w:r>
          </w:p>
        </w:tc>
      </w:tr>
      <w:tr>
        <w:trPr/>
        <w:tc>
          <w:tcPr>
            <w:tcW w:w="62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8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8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80" w:type="dxa"/>
            <w:tcBorders/>
            <w:vAlign w:val="center"/>
          </w:tcPr>
          <w:p>
            <w:pPr>
              <w:pStyle w:val="TableContents"/>
              <w:bidi w:val="0"/>
              <w:spacing w:before="0" w:after="283"/>
              <w:jc w:val="left"/>
              <w:rPr/>
            </w:pPr>
            <w:r>
              <w:rPr/>
              <w:t> </w:t>
            </w:r>
          </w:p>
        </w:tc>
      </w:tr>
      <w:tr>
        <w:trPr/>
        <w:tc>
          <w:tcPr>
            <w:tcW w:w="62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8" w:type="dxa"/>
            <w:gridSpan w:val="6"/>
            <w:tcBorders/>
            <w:vAlign w:val="center"/>
          </w:tcPr>
          <w:p>
            <w:pPr>
              <w:pStyle w:val="TableContents"/>
              <w:bidi w:val="0"/>
              <w:spacing w:before="0" w:after="283"/>
              <w:jc w:val="center"/>
              <w:rPr>
                <w:b/>
              </w:rPr>
            </w:pPr>
            <w:r>
              <w:rPr>
                <w:b/>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6" w:type="dxa"/>
            <w:gridSpan w:val="6"/>
            <w:tcBorders/>
            <w:vAlign w:val="center"/>
          </w:tcPr>
          <w:p>
            <w:pPr>
              <w:pStyle w:val="TableContents"/>
              <w:bidi w:val="0"/>
              <w:spacing w:before="0" w:after="283"/>
              <w:jc w:val="center"/>
              <w:rPr>
                <w:b/>
              </w:rPr>
            </w:pPr>
            <w:r>
              <w:rPr>
                <w:b/>
              </w:rPr>
              <w:t>(In thousands)</w:t>
            </w:r>
          </w:p>
        </w:tc>
        <w:tc>
          <w:tcPr>
            <w:tcW w:w="80" w:type="dxa"/>
            <w:tcBorders/>
            <w:vAlign w:val="center"/>
          </w:tcPr>
          <w:p>
            <w:pPr>
              <w:pStyle w:val="TableContents"/>
              <w:bidi w:val="0"/>
              <w:spacing w:before="0" w:after="283"/>
              <w:ind w:left="0" w:right="0" w:hanging="200"/>
              <w:jc w:val="left"/>
              <w:rPr/>
            </w:pPr>
            <w:r>
              <w:rPr/>
              <w:t> </w:t>
            </w:r>
            <w:bookmarkStart w:id="898" w:name="xdx_40B_eus-gaap--WeightedAverageNumberO"/>
            <w:bookmarkEnd w:id="898"/>
          </w:p>
        </w:tc>
      </w:tr>
      <w:tr>
        <w:trPr/>
        <w:tc>
          <w:tcPr>
            <w:tcW w:w="6201" w:type="dxa"/>
            <w:tcBorders/>
            <w:shd w:fill="EEEEEE" w:val="clear"/>
            <w:vAlign w:val="center"/>
          </w:tcPr>
          <w:p>
            <w:pPr>
              <w:pStyle w:val="TableContents"/>
              <w:bidi w:val="0"/>
              <w:spacing w:before="0" w:after="283"/>
              <w:jc w:val="left"/>
              <w:rPr/>
            </w:pPr>
            <w:r>
              <w:rPr/>
              <w:t>Weighted average number of common shares outstanding during the period used to compute basic earnings per share</w:t>
            </w:r>
          </w:p>
        </w:tc>
        <w:tc>
          <w:tcPr>
            <w:tcW w:w="60" w:type="dxa"/>
            <w:tcBorders/>
            <w:shd w:fill="EEEEEE" w:val="clear"/>
            <w:vAlign w:val="center"/>
          </w:tcPr>
          <w:p>
            <w:pPr>
              <w:pStyle w:val="TableContents"/>
              <w:bidi w:val="0"/>
              <w:spacing w:before="0" w:after="283"/>
              <w:jc w:val="left"/>
              <w:rPr/>
            </w:pPr>
            <w:r>
              <w:rPr/>
              <w:t> </w:t>
            </w:r>
          </w:p>
        </w:tc>
        <w:tc>
          <w:tcPr>
            <w:tcW w:w="71" w:type="dxa"/>
            <w:tcBorders/>
            <w:shd w:fill="EEEEEE" w:val="clear"/>
            <w:vAlign w:val="center"/>
          </w:tcPr>
          <w:p>
            <w:pPr>
              <w:pStyle w:val="TableContents"/>
              <w:bidi w:val="0"/>
              <w:spacing w:before="0" w:after="283"/>
              <w:jc w:val="left"/>
              <w:rPr/>
            </w:pPr>
            <w:r>
              <w:rPr/>
              <w:t> </w:t>
            </w:r>
          </w:p>
        </w:tc>
        <w:tc>
          <w:tcPr>
            <w:tcW w:w="812" w:type="dxa"/>
            <w:tcBorders/>
            <w:shd w:fill="EEEEEE" w:val="clear"/>
            <w:vAlign w:val="center"/>
          </w:tcPr>
          <w:p>
            <w:pPr>
              <w:pStyle w:val="TableContents"/>
              <w:bidi w:val="0"/>
              <w:spacing w:before="0" w:after="283"/>
              <w:jc w:val="right"/>
              <w:rPr/>
            </w:pPr>
            <w:r>
              <w:rPr/>
              <w:t>21,154</w:t>
            </w:r>
          </w:p>
        </w:tc>
        <w:tc>
          <w:tcPr>
            <w:tcW w:w="71" w:type="dxa"/>
            <w:tcBorders/>
            <w:shd w:fill="EEEEEE" w:val="clear"/>
            <w:vAlign w:val="center"/>
          </w:tcPr>
          <w:p>
            <w:pPr>
              <w:pStyle w:val="TableContents"/>
              <w:bidi w:val="0"/>
              <w:spacing w:before="0" w:after="283"/>
              <w:jc w:val="left"/>
              <w:rPr/>
            </w:pPr>
            <w:r>
              <w:rPr/>
              <w:t> </w:t>
            </w:r>
          </w:p>
        </w:tc>
        <w:tc>
          <w:tcPr>
            <w:tcW w:w="71" w:type="dxa"/>
            <w:tcBorders/>
            <w:shd w:fill="EEEEEE" w:val="clear"/>
            <w:vAlign w:val="center"/>
          </w:tcPr>
          <w:p>
            <w:pPr>
              <w:pStyle w:val="TableContents"/>
              <w:bidi w:val="0"/>
              <w:spacing w:before="0" w:after="283"/>
              <w:jc w:val="left"/>
              <w:rPr/>
            </w:pPr>
            <w:r>
              <w:rPr/>
              <w:t> </w:t>
            </w:r>
          </w:p>
        </w:tc>
        <w:tc>
          <w:tcPr>
            <w:tcW w:w="71" w:type="dxa"/>
            <w:tcBorders/>
            <w:shd w:fill="EEEEEE" w:val="clear"/>
            <w:vAlign w:val="center"/>
          </w:tcPr>
          <w:p>
            <w:pPr>
              <w:pStyle w:val="TableContents"/>
              <w:bidi w:val="0"/>
              <w:spacing w:before="0" w:after="283"/>
              <w:jc w:val="left"/>
              <w:rPr/>
            </w:pPr>
            <w:r>
              <w:rPr/>
              <w:t> </w:t>
            </w:r>
          </w:p>
        </w:tc>
        <w:tc>
          <w:tcPr>
            <w:tcW w:w="812" w:type="dxa"/>
            <w:tcBorders/>
            <w:shd w:fill="EEEEEE" w:val="clear"/>
            <w:vAlign w:val="center"/>
          </w:tcPr>
          <w:p>
            <w:pPr>
              <w:pStyle w:val="TableContents"/>
              <w:bidi w:val="0"/>
              <w:spacing w:before="0" w:after="283"/>
              <w:jc w:val="right"/>
              <w:rPr/>
            </w:pPr>
            <w:r>
              <w:rPr/>
              <w:t>20,911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8" w:type="dxa"/>
            <w:tcBorders/>
            <w:shd w:fill="EEEEEE" w:val="clear"/>
            <w:vAlign w:val="center"/>
          </w:tcPr>
          <w:p>
            <w:pPr>
              <w:pStyle w:val="TableContents"/>
              <w:bidi w:val="0"/>
              <w:spacing w:before="0" w:after="283"/>
              <w:jc w:val="left"/>
              <w:rPr/>
            </w:pPr>
            <w:r>
              <w:rPr/>
              <w:t> </w:t>
            </w:r>
          </w:p>
        </w:tc>
        <w:tc>
          <w:tcPr>
            <w:tcW w:w="782" w:type="dxa"/>
            <w:tcBorders/>
            <w:shd w:fill="EEEEEE" w:val="clear"/>
            <w:vAlign w:val="center"/>
          </w:tcPr>
          <w:p>
            <w:pPr>
              <w:pStyle w:val="TableContents"/>
              <w:bidi w:val="0"/>
              <w:spacing w:before="0" w:after="283"/>
              <w:jc w:val="right"/>
              <w:rPr/>
            </w:pPr>
            <w:r>
              <w:rPr/>
              <w:t>20,815</w:t>
            </w:r>
          </w:p>
        </w:tc>
        <w:tc>
          <w:tcPr>
            <w:tcW w:w="68" w:type="dxa"/>
            <w:tcBorders/>
            <w:shd w:fill="EEEEEE" w:val="clear"/>
            <w:vAlign w:val="center"/>
          </w:tcPr>
          <w:p>
            <w:pPr>
              <w:pStyle w:val="TableContents"/>
              <w:bidi w:val="0"/>
              <w:spacing w:before="0" w:after="283"/>
              <w:jc w:val="left"/>
              <w:rPr/>
            </w:pPr>
            <w:r>
              <w:rPr/>
              <w:t> </w:t>
            </w:r>
          </w:p>
        </w:tc>
        <w:tc>
          <w:tcPr>
            <w:tcW w:w="68" w:type="dxa"/>
            <w:tcBorders/>
            <w:shd w:fill="EEEEEE" w:val="clear"/>
            <w:vAlign w:val="center"/>
          </w:tcPr>
          <w:p>
            <w:pPr>
              <w:pStyle w:val="TableContents"/>
              <w:bidi w:val="0"/>
              <w:spacing w:before="0" w:after="283"/>
              <w:jc w:val="left"/>
              <w:rPr/>
            </w:pPr>
            <w:r>
              <w:rPr/>
              <w:t> </w:t>
            </w:r>
          </w:p>
        </w:tc>
        <w:tc>
          <w:tcPr>
            <w:tcW w:w="68" w:type="dxa"/>
            <w:tcBorders/>
            <w:shd w:fill="EEEEEE" w:val="clear"/>
            <w:vAlign w:val="center"/>
          </w:tcPr>
          <w:p>
            <w:pPr>
              <w:pStyle w:val="TableContents"/>
              <w:bidi w:val="0"/>
              <w:spacing w:before="0" w:after="283"/>
              <w:jc w:val="left"/>
              <w:rPr/>
            </w:pPr>
            <w:r>
              <w:rPr/>
              <w:t> </w:t>
            </w:r>
          </w:p>
        </w:tc>
        <w:tc>
          <w:tcPr>
            <w:tcW w:w="782" w:type="dxa"/>
            <w:tcBorders/>
            <w:shd w:fill="EEEEEE" w:val="clear"/>
            <w:vAlign w:val="center"/>
          </w:tcPr>
          <w:p>
            <w:pPr>
              <w:pStyle w:val="TableContents"/>
              <w:bidi w:val="0"/>
              <w:spacing w:before="0" w:after="283"/>
              <w:jc w:val="right"/>
              <w:rPr/>
            </w:pPr>
            <w:r>
              <w:rPr/>
              <w:t>21,166</w:t>
            </w:r>
          </w:p>
        </w:tc>
        <w:tc>
          <w:tcPr>
            <w:tcW w:w="80" w:type="dxa"/>
            <w:tcBorders/>
            <w:shd w:fill="EEEEEE" w:val="clear"/>
            <w:vAlign w:val="center"/>
          </w:tcPr>
          <w:p>
            <w:pPr>
              <w:pStyle w:val="TableContents"/>
              <w:bidi w:val="0"/>
              <w:spacing w:before="0" w:after="283"/>
              <w:jc w:val="left"/>
              <w:rPr/>
            </w:pPr>
            <w:r>
              <w:rPr/>
              <w:t> </w:t>
            </w:r>
          </w:p>
        </w:tc>
      </w:tr>
      <w:tr>
        <w:trPr/>
        <w:tc>
          <w:tcPr>
            <w:tcW w:w="62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ind w:left="0" w:right="0" w:hanging="200"/>
              <w:jc w:val="left"/>
              <w:rPr/>
            </w:pPr>
            <w:r>
              <w:rPr/>
              <w:t> </w:t>
            </w:r>
            <w:bookmarkStart w:id="899" w:name="xdx_40C_eus-gaap--IncrementalCommonShare"/>
            <w:bookmarkEnd w:id="899"/>
          </w:p>
        </w:tc>
      </w:tr>
      <w:tr>
        <w:trPr/>
        <w:tc>
          <w:tcPr>
            <w:tcW w:w="6201" w:type="dxa"/>
            <w:tcBorders/>
            <w:shd w:fill="EEEEEE" w:val="clear"/>
            <w:vAlign w:val="center"/>
          </w:tcPr>
          <w:p>
            <w:pPr>
              <w:pStyle w:val="TableContents"/>
              <w:bidi w:val="0"/>
              <w:spacing w:before="0" w:after="283"/>
              <w:jc w:val="left"/>
              <w:rPr/>
            </w:pPr>
            <w:r>
              <w:rPr/>
              <w:t>Incremental common shares attributable to exercise of outstanding options and warrants</w:t>
            </w:r>
          </w:p>
        </w:tc>
        <w:tc>
          <w:tcPr>
            <w:tcW w:w="60" w:type="dxa"/>
            <w:tcBorders/>
            <w:shd w:fill="EEEEEE" w:val="clear"/>
            <w:vAlign w:val="center"/>
          </w:tcPr>
          <w:p>
            <w:pPr>
              <w:pStyle w:val="TableContents"/>
              <w:bidi w:val="0"/>
              <w:spacing w:before="0" w:after="283"/>
              <w:jc w:val="left"/>
              <w:rPr/>
            </w:pPr>
            <w:r>
              <w:rPr/>
              <w:t> </w:t>
            </w:r>
          </w:p>
        </w:tc>
        <w:tc>
          <w:tcPr>
            <w:tcW w:w="7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12" w:type="dxa"/>
            <w:tcBorders>
              <w:bottom w:val="single" w:sz="8" w:space="0" w:color="000000"/>
            </w:tcBorders>
            <w:shd w:fill="EEEEEE" w:val="clear"/>
            <w:tcMar>
              <w:bottom w:w="28" w:type="dxa"/>
            </w:tcMar>
            <w:vAlign w:val="center"/>
          </w:tcPr>
          <w:p>
            <w:pPr>
              <w:pStyle w:val="TableContents"/>
              <w:bidi w:val="0"/>
              <w:spacing w:before="0" w:after="283"/>
              <w:jc w:val="right"/>
              <w:rPr/>
            </w:pPr>
            <w:r>
              <w:rPr/>
              <w:t>4,064</w:t>
            </w:r>
          </w:p>
        </w:tc>
        <w:tc>
          <w:tcPr>
            <w:tcW w:w="71" w:type="dxa"/>
            <w:tcBorders/>
            <w:shd w:fill="EEEEEE" w:val="clear"/>
            <w:vAlign w:val="center"/>
          </w:tcPr>
          <w:p>
            <w:pPr>
              <w:pStyle w:val="TableContents"/>
              <w:bidi w:val="0"/>
              <w:spacing w:before="0" w:after="283"/>
              <w:jc w:val="left"/>
              <w:rPr/>
            </w:pPr>
            <w:r>
              <w:rPr/>
              <w:t> </w:t>
            </w:r>
          </w:p>
        </w:tc>
        <w:tc>
          <w:tcPr>
            <w:tcW w:w="71" w:type="dxa"/>
            <w:tcBorders/>
            <w:shd w:fill="EEEEEE" w:val="clear"/>
            <w:vAlign w:val="center"/>
          </w:tcPr>
          <w:p>
            <w:pPr>
              <w:pStyle w:val="TableContents"/>
              <w:bidi w:val="0"/>
              <w:spacing w:before="0" w:after="283"/>
              <w:jc w:val="left"/>
              <w:rPr/>
            </w:pPr>
            <w:r>
              <w:rPr/>
              <w:t> </w:t>
            </w:r>
          </w:p>
        </w:tc>
        <w:tc>
          <w:tcPr>
            <w:tcW w:w="7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12" w:type="dxa"/>
            <w:tcBorders>
              <w:bottom w:val="single" w:sz="8" w:space="0" w:color="000000"/>
            </w:tcBorders>
            <w:shd w:fill="EEEEEE" w:val="clear"/>
            <w:tcMar>
              <w:bottom w:w="28" w:type="dxa"/>
            </w:tcMar>
            <w:vAlign w:val="center"/>
          </w:tcPr>
          <w:p>
            <w:pPr>
              <w:pStyle w:val="TableContents"/>
              <w:bidi w:val="0"/>
              <w:spacing w:before="0" w:after="283"/>
              <w:jc w:val="right"/>
              <w:rPr/>
            </w:pPr>
            <w:r>
              <w:rPr/>
              <w:t>5,743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8"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782" w:type="dxa"/>
            <w:tcBorders>
              <w:bottom w:val="single" w:sz="8" w:space="0" w:color="000000"/>
            </w:tcBorders>
            <w:shd w:fill="EEEEEE" w:val="clear"/>
            <w:tcMar>
              <w:bottom w:w="28" w:type="dxa"/>
            </w:tcMar>
            <w:vAlign w:val="center"/>
          </w:tcPr>
          <w:p>
            <w:pPr>
              <w:pStyle w:val="TableContents"/>
              <w:bidi w:val="0"/>
              <w:spacing w:before="0" w:after="283"/>
              <w:jc w:val="right"/>
              <w:rPr/>
            </w:pPr>
            <w:r>
              <w:rPr/>
              <w:t>4,516</w:t>
            </w:r>
          </w:p>
        </w:tc>
        <w:tc>
          <w:tcPr>
            <w:tcW w:w="68" w:type="dxa"/>
            <w:tcBorders/>
            <w:shd w:fill="EEEEEE" w:val="clear"/>
            <w:vAlign w:val="center"/>
          </w:tcPr>
          <w:p>
            <w:pPr>
              <w:pStyle w:val="TableContents"/>
              <w:bidi w:val="0"/>
              <w:spacing w:before="0" w:after="283"/>
              <w:jc w:val="left"/>
              <w:rPr/>
            </w:pPr>
            <w:r>
              <w:rPr/>
              <w:t> </w:t>
            </w:r>
          </w:p>
        </w:tc>
        <w:tc>
          <w:tcPr>
            <w:tcW w:w="68" w:type="dxa"/>
            <w:tcBorders/>
            <w:shd w:fill="EEEEEE" w:val="clear"/>
            <w:vAlign w:val="center"/>
          </w:tcPr>
          <w:p>
            <w:pPr>
              <w:pStyle w:val="TableContents"/>
              <w:bidi w:val="0"/>
              <w:spacing w:before="0" w:after="283"/>
              <w:jc w:val="left"/>
              <w:rPr/>
            </w:pPr>
            <w:r>
              <w:rPr/>
              <w:t> </w:t>
            </w:r>
          </w:p>
        </w:tc>
        <w:tc>
          <w:tcPr>
            <w:tcW w:w="68"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782" w:type="dxa"/>
            <w:tcBorders>
              <w:bottom w:val="single" w:sz="8" w:space="0" w:color="000000"/>
            </w:tcBorders>
            <w:shd w:fill="EEEEEE" w:val="clear"/>
            <w:tcMar>
              <w:bottom w:w="28" w:type="dxa"/>
            </w:tcMar>
            <w:vAlign w:val="center"/>
          </w:tcPr>
          <w:p>
            <w:pPr>
              <w:pStyle w:val="TableContents"/>
              <w:bidi w:val="0"/>
              <w:spacing w:before="0" w:after="283"/>
              <w:jc w:val="right"/>
              <w:rPr/>
            </w:pPr>
            <w:r>
              <w:rPr/>
              <w:t>6,346</w:t>
            </w:r>
          </w:p>
        </w:tc>
        <w:tc>
          <w:tcPr>
            <w:tcW w:w="80" w:type="dxa"/>
            <w:tcBorders/>
            <w:shd w:fill="EEEEEE" w:val="clear"/>
            <w:vAlign w:val="center"/>
          </w:tcPr>
          <w:p>
            <w:pPr>
              <w:pStyle w:val="TableContents"/>
              <w:bidi w:val="0"/>
              <w:spacing w:before="0" w:after="283"/>
              <w:jc w:val="left"/>
              <w:rPr/>
            </w:pPr>
            <w:r>
              <w:rPr/>
              <w:t> </w:t>
            </w:r>
          </w:p>
        </w:tc>
      </w:tr>
      <w:tr>
        <w:trPr/>
        <w:tc>
          <w:tcPr>
            <w:tcW w:w="62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ind w:left="0" w:right="0" w:hanging="200"/>
              <w:jc w:val="left"/>
              <w:rPr/>
            </w:pPr>
            <w:r>
              <w:rPr/>
              <w:t> </w:t>
            </w:r>
            <w:bookmarkStart w:id="900" w:name="xdx_403_eus-gaap--WeightedAverageNumberO"/>
            <w:bookmarkEnd w:id="900"/>
          </w:p>
        </w:tc>
      </w:tr>
      <w:tr>
        <w:trPr/>
        <w:tc>
          <w:tcPr>
            <w:tcW w:w="6201" w:type="dxa"/>
            <w:tcBorders/>
            <w:shd w:fill="EEEEEE" w:val="clear"/>
            <w:vAlign w:val="center"/>
          </w:tcPr>
          <w:p>
            <w:pPr>
              <w:pStyle w:val="TableContents"/>
              <w:bidi w:val="0"/>
              <w:spacing w:before="0" w:after="283"/>
              <w:jc w:val="left"/>
              <w:rPr/>
            </w:pPr>
            <w:r>
              <w:rPr/>
              <w:t>Weighted average number of common shares used to compute diluted earnings per share</w:t>
            </w:r>
          </w:p>
        </w:tc>
        <w:tc>
          <w:tcPr>
            <w:tcW w:w="60" w:type="dxa"/>
            <w:tcBorders/>
            <w:shd w:fill="EEEEEE" w:val="clear"/>
            <w:vAlign w:val="center"/>
          </w:tcPr>
          <w:p>
            <w:pPr>
              <w:pStyle w:val="TableContents"/>
              <w:bidi w:val="0"/>
              <w:spacing w:before="0" w:after="283"/>
              <w:jc w:val="left"/>
              <w:rPr/>
            </w:pPr>
            <w:r>
              <w:rPr/>
              <w:t> </w:t>
            </w:r>
          </w:p>
        </w:tc>
        <w:tc>
          <w:tcPr>
            <w:tcW w:w="71"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812" w:type="dxa"/>
            <w:tcBorders>
              <w:bottom w:val="double" w:sz="6" w:space="0" w:color="000000"/>
            </w:tcBorders>
            <w:shd w:fill="EEEEEE" w:val="clear"/>
            <w:tcMar>
              <w:bottom w:w="28" w:type="dxa"/>
            </w:tcMar>
            <w:vAlign w:val="center"/>
          </w:tcPr>
          <w:p>
            <w:pPr>
              <w:pStyle w:val="TableContents"/>
              <w:bidi w:val="0"/>
              <w:spacing w:before="0" w:after="283"/>
              <w:jc w:val="right"/>
              <w:rPr/>
            </w:pPr>
            <w:r>
              <w:rPr/>
              <w:t>25,218</w:t>
            </w:r>
          </w:p>
        </w:tc>
        <w:tc>
          <w:tcPr>
            <w:tcW w:w="71" w:type="dxa"/>
            <w:tcBorders/>
            <w:shd w:fill="EEEEEE" w:val="clear"/>
            <w:vAlign w:val="center"/>
          </w:tcPr>
          <w:p>
            <w:pPr>
              <w:pStyle w:val="TableContents"/>
              <w:bidi w:val="0"/>
              <w:spacing w:before="0" w:after="283"/>
              <w:jc w:val="left"/>
              <w:rPr/>
            </w:pPr>
            <w:r>
              <w:rPr/>
              <w:t> </w:t>
            </w:r>
          </w:p>
        </w:tc>
        <w:tc>
          <w:tcPr>
            <w:tcW w:w="71" w:type="dxa"/>
            <w:tcBorders/>
            <w:shd w:fill="EEEEEE" w:val="clear"/>
            <w:vAlign w:val="center"/>
          </w:tcPr>
          <w:p>
            <w:pPr>
              <w:pStyle w:val="TableContents"/>
              <w:bidi w:val="0"/>
              <w:spacing w:before="0" w:after="283"/>
              <w:jc w:val="left"/>
              <w:rPr/>
            </w:pPr>
            <w:r>
              <w:rPr/>
              <w:t> </w:t>
            </w:r>
          </w:p>
        </w:tc>
        <w:tc>
          <w:tcPr>
            <w:tcW w:w="71"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812" w:type="dxa"/>
            <w:tcBorders>
              <w:bottom w:val="double" w:sz="6" w:space="0" w:color="000000"/>
            </w:tcBorders>
            <w:shd w:fill="EEEEEE" w:val="clear"/>
            <w:tcMar>
              <w:bottom w:w="28" w:type="dxa"/>
            </w:tcMar>
            <w:vAlign w:val="center"/>
          </w:tcPr>
          <w:p>
            <w:pPr>
              <w:pStyle w:val="TableContents"/>
              <w:bidi w:val="0"/>
              <w:spacing w:before="0" w:after="283"/>
              <w:jc w:val="right"/>
              <w:rPr/>
            </w:pPr>
            <w:r>
              <w:rPr/>
              <w:t>26,654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8"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782" w:type="dxa"/>
            <w:tcBorders>
              <w:bottom w:val="double" w:sz="6" w:space="0" w:color="000000"/>
            </w:tcBorders>
            <w:shd w:fill="EEEEEE" w:val="clear"/>
            <w:tcMar>
              <w:bottom w:w="28" w:type="dxa"/>
            </w:tcMar>
            <w:vAlign w:val="center"/>
          </w:tcPr>
          <w:p>
            <w:pPr>
              <w:pStyle w:val="TableContents"/>
              <w:bidi w:val="0"/>
              <w:spacing w:before="0" w:after="283"/>
              <w:jc w:val="right"/>
              <w:rPr/>
            </w:pPr>
            <w:r>
              <w:rPr/>
              <w:t>25,331</w:t>
            </w:r>
          </w:p>
        </w:tc>
        <w:tc>
          <w:tcPr>
            <w:tcW w:w="68" w:type="dxa"/>
            <w:tcBorders/>
            <w:shd w:fill="EEEEEE" w:val="clear"/>
            <w:vAlign w:val="center"/>
          </w:tcPr>
          <w:p>
            <w:pPr>
              <w:pStyle w:val="TableContents"/>
              <w:bidi w:val="0"/>
              <w:spacing w:before="0" w:after="283"/>
              <w:jc w:val="left"/>
              <w:rPr/>
            </w:pPr>
            <w:r>
              <w:rPr/>
              <w:t> </w:t>
            </w:r>
          </w:p>
        </w:tc>
        <w:tc>
          <w:tcPr>
            <w:tcW w:w="68" w:type="dxa"/>
            <w:tcBorders/>
            <w:shd w:fill="EEEEEE" w:val="clear"/>
            <w:vAlign w:val="center"/>
          </w:tcPr>
          <w:p>
            <w:pPr>
              <w:pStyle w:val="TableContents"/>
              <w:bidi w:val="0"/>
              <w:spacing w:before="0" w:after="283"/>
              <w:jc w:val="left"/>
              <w:rPr/>
            </w:pPr>
            <w:r>
              <w:rPr/>
              <w:t> </w:t>
            </w:r>
          </w:p>
        </w:tc>
        <w:tc>
          <w:tcPr>
            <w:tcW w:w="68"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782" w:type="dxa"/>
            <w:tcBorders>
              <w:bottom w:val="double" w:sz="6" w:space="0" w:color="000000"/>
            </w:tcBorders>
            <w:shd w:fill="EEEEEE" w:val="clear"/>
            <w:tcMar>
              <w:bottom w:w="28" w:type="dxa"/>
            </w:tcMar>
            <w:vAlign w:val="center"/>
          </w:tcPr>
          <w:p>
            <w:pPr>
              <w:pStyle w:val="TableContents"/>
              <w:bidi w:val="0"/>
              <w:spacing w:before="0" w:after="283"/>
              <w:jc w:val="right"/>
              <w:rPr/>
            </w:pPr>
            <w:r>
              <w:rPr/>
              <w:t>27,512</w:t>
            </w:r>
          </w:p>
        </w:tc>
        <w:tc>
          <w:tcPr>
            <w:tcW w:w="80"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anti-dilutive effects of common stock equivalents were considered, shares included in the diluted earnings per share calculation for the three-month and nine-month periods ended September 30, 2023 would have included an additional </w:t>
      </w:r>
      <w:bookmarkStart w:id="901" w:name="xdx_900_eus-gaap--AntidilutiveSecurities"/>
      <w:bookmarkEnd w:id="901"/>
      <w:r>
        <w:rPr>
          <w:rFonts w:ascii="Times New Roman;Times;Serif" w:hAnsi="Times New Roman;Times;Serif"/>
          <w:b w:val="false"/>
          <w:i w:val="false"/>
          <w:caps w:val="false"/>
          <w:smallCaps w:val="false"/>
          <w:sz w:val="20"/>
        </w:rPr>
        <w:t xml:space="preserve">1.5 million and </w:t>
      </w:r>
      <w:bookmarkStart w:id="902" w:name="xdx_900_eus-gaap--AntidilutiveSecurities"/>
      <w:bookmarkEnd w:id="902"/>
      <w:r>
        <w:rPr>
          <w:rFonts w:ascii="Times New Roman;Times;Serif" w:hAnsi="Times New Roman;Times;Serif"/>
          <w:b w:val="false"/>
          <w:i w:val="false"/>
          <w:caps w:val="false"/>
          <w:smallCaps w:val="false"/>
          <w:sz w:val="20"/>
        </w:rPr>
        <w:t xml:space="preserve">1.5 million shares, respectively, attributable to the exercise of outstanding options and warrants. For the three-month and nine-month periods ended September 30, 2022, </w:t>
      </w:r>
      <w:bookmarkStart w:id="903" w:name="xdx_902_eus-gaap--AntidilutiveSecurities"/>
      <w:bookmarkEnd w:id="903"/>
      <w:r>
        <w:rPr>
          <w:rFonts w:ascii="Times New Roman;Times;Serif" w:hAnsi="Times New Roman;Times;Serif"/>
          <w:b w:val="false"/>
          <w:i w:val="false"/>
          <w:caps w:val="false"/>
          <w:smallCaps w:val="false"/>
          <w:sz w:val="20"/>
        </w:rPr>
        <w:t xml:space="preserve">1.7 million and </w:t>
      </w:r>
      <w:bookmarkStart w:id="904" w:name="xdx_901_eus-gaap--AntidilutiveSecurities"/>
      <w:bookmarkEnd w:id="904"/>
      <w:r>
        <w:rPr>
          <w:rFonts w:ascii="Times New Roman;Times;Serif" w:hAnsi="Times New Roman;Times;Serif"/>
          <w:b w:val="false"/>
          <w:i w:val="false"/>
          <w:caps w:val="false"/>
          <w:smallCaps w:val="false"/>
          <w:sz w:val="20"/>
        </w:rPr>
        <w:t>1.0 million shares, respectively, would be included in the diluted earnings per share calculation.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05" w:name="xdx_80F_eus-gaap--IncomeTaxDisclosureTex"/>
      <w:bookmarkEnd w:id="905"/>
      <w:r>
        <w:rPr>
          <w:rFonts w:ascii="Times New Roman;Times;Serif" w:hAnsi="Times New Roman;Times;Serif"/>
          <w:b/>
          <w:i w:val="false"/>
          <w:caps w:val="false"/>
          <w:smallCaps w:val="false"/>
          <w:sz w:val="20"/>
        </w:rPr>
        <w:t xml:space="preserve">(7) </w:t>
      </w:r>
      <w:bookmarkStart w:id="906" w:name="xdx_82D_zqLSF4GMbMR4"/>
      <w:bookmarkEnd w:id="906"/>
      <w:r>
        <w:rPr>
          <w:rFonts w:ascii="Times New Roman;Times;Serif" w:hAnsi="Times New Roman;Times;Serif"/>
          <w:b/>
          <w:i/>
          <w:caps w:val="false"/>
          <w:smallCaps w:val="false"/>
          <w:sz w:val="20"/>
        </w:rPr>
        <w:t xml:space="preserve">Income Taxes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numerous consolidated and separate income tax returns with the United States and with many states. With few exceptions, we are no longer subject to U.S. federal, state, or local examinations by tax authorities for years before 2015.</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2023, and December 31, 2022, we had no unrecognized tax benefits for uncertain tax positions. We do not anticipate that total unrecognized tax benefits will significantly change due to any settlements of audits or expirations of statutes of limitations over the next 12 months.</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44"/>
        <w:jc w:val="both"/>
        <w:rPr>
          <w:caps w:val="false"/>
          <w:smallCaps w:val="false"/>
        </w:rPr>
      </w:pPr>
      <w:bookmarkStart w:id="907" w:name="xdx_237_zb53yDxT3p0k"/>
      <w:bookmarkEnd w:id="907"/>
      <w:r>
        <w:rPr>
          <w:caps w:val="false"/>
          <w:smallCaps w:val="false"/>
        </w:rPr>
        <w:t> </w:t>
      </w:r>
    </w:p>
    <w:p>
      <w:pPr>
        <w:pStyle w:val="TextBody"/>
        <w:bidi w:val="0"/>
        <w:spacing w:before="0" w:after="0"/>
        <w:ind w:left="0" w:right="0" w:firstLine="144"/>
        <w:jc w:val="both"/>
        <w:rPr>
          <w:caps w:val="false"/>
          <w:smallCaps w:val="false"/>
        </w:rPr>
      </w:pPr>
      <w:bookmarkStart w:id="908" w:name="xdx_234_zVzLpCe4HtOe"/>
      <w:bookmarkEnd w:id="908"/>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144"/>
        <w:jc w:val="both"/>
        <w:rPr>
          <w:caps w:val="false"/>
          <w:smallCaps w:val="false"/>
        </w:rPr>
      </w:pPr>
      <w:bookmarkStart w:id="909" w:name="xdx_23A_zQv3ooFmLo43"/>
      <w:bookmarkEnd w:id="909"/>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910" w:name="xdx_238_zeE1FdeJ7PU6"/>
      <w:bookmarkEnd w:id="910"/>
      <w:r>
        <w:rPr>
          <w:rFonts w:ascii="Times New Roman;Times;Serif" w:hAnsi="Times New Roman;Times;Serif"/>
          <w:b/>
          <w:i w:val="false"/>
          <w:caps w:val="false"/>
          <w:smallCaps w:val="false"/>
          <w:sz w:val="20"/>
        </w:rPr>
        <w:t>CONSUMER PORTFOLIO SERVICES,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11" w:name="xdx_238_zBJBG2EeuaM2"/>
      <w:bookmarkStart w:id="912" w:name="xdx_237_zEIYS1K3AAf6"/>
      <w:bookmarkEnd w:id="911"/>
      <w:bookmarkEnd w:id="912"/>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bookmarkStart w:id="913" w:name="xdx_23B_zpkOyuN0cVUh"/>
      <w:bookmarkEnd w:id="913"/>
      <w:r>
        <w:rPr>
          <w:caps w:val="false"/>
          <w:smallCaps w:val="false"/>
        </w:rPr>
        <w:t> </w:t>
      </w:r>
    </w:p>
    <w:p>
      <w:pPr>
        <w:pStyle w:val="TextBody"/>
        <w:bidi w:val="0"/>
        <w:spacing w:before="0" w:after="0"/>
        <w:ind w:left="0" w:right="0" w:hanging="0"/>
        <w:jc w:val="center"/>
        <w:rPr>
          <w:caps w:val="false"/>
          <w:smallCaps w:val="false"/>
        </w:rPr>
      </w:pPr>
      <w:bookmarkStart w:id="914" w:name="xdx_236_zjbnQddal2qf"/>
      <w:bookmarkEnd w:id="914"/>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judgments, significant weight is given to evidence that can be objectively verified. Although realization is not assured, we believe that the realization of the recognized net deferred tax asset of $</w:t>
      </w:r>
      <w:bookmarkStart w:id="915" w:name="xdx_905_eus-gaap--DeferredTaxAssetsNet_i"/>
      <w:bookmarkEnd w:id="915"/>
      <w:r>
        <w:rPr>
          <w:rFonts w:ascii="Times New Roman;Times;Serif" w:hAnsi="Times New Roman;Times;Serif"/>
          <w:b w:val="false"/>
          <w:i w:val="false"/>
          <w:caps w:val="false"/>
          <w:smallCaps w:val="false"/>
          <w:sz w:val="20"/>
        </w:rPr>
        <w:t>5.8 million as of September 30, 2023 is more likely than not based on forecasted future net earnings. Our net deferred tax asset of $5.8 million consists of approximately $</w:t>
      </w:r>
      <w:bookmarkStart w:id="916" w:name="xdx_90F_eus-gaap--DeferredTaxAssetsNet_i"/>
      <w:bookmarkEnd w:id="916"/>
      <w:r>
        <w:rPr>
          <w:rFonts w:ascii="Times New Roman;Times;Serif" w:hAnsi="Times New Roman;Times;Serif"/>
          <w:b w:val="false"/>
          <w:i w:val="false"/>
          <w:caps w:val="false"/>
          <w:smallCaps w:val="false"/>
          <w:sz w:val="20"/>
        </w:rPr>
        <w:t>3.5 million of net U.S. federal deferred tax assets and $</w:t>
      </w:r>
      <w:bookmarkStart w:id="917" w:name="xdx_907_eus-gaap--DeferredTaxAssetsNet_i"/>
      <w:bookmarkEnd w:id="917"/>
      <w:r>
        <w:rPr>
          <w:rFonts w:ascii="Times New Roman;Times;Serif" w:hAnsi="Times New Roman;Times;Serif"/>
          <w:b w:val="false"/>
          <w:i w:val="false"/>
          <w:caps w:val="false"/>
          <w:smallCaps w:val="false"/>
          <w:sz w:val="20"/>
        </w:rPr>
        <w:t>2.3 million of net state deferred tax assets.</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was $</w:t>
      </w:r>
      <w:bookmarkStart w:id="918" w:name="xdx_900_eus-gaap--CurrentIncomeTaxExpens"/>
      <w:bookmarkEnd w:id="918"/>
      <w:r>
        <w:rPr>
          <w:rFonts w:ascii="Times New Roman;Times;Serif" w:hAnsi="Times New Roman;Times;Serif"/>
          <w:b w:val="false"/>
          <w:i w:val="false"/>
          <w:caps w:val="false"/>
          <w:smallCaps w:val="false"/>
          <w:sz w:val="20"/>
        </w:rPr>
        <w:t>3.8 million and $</w:t>
      </w:r>
      <w:bookmarkStart w:id="919" w:name="xdx_90D_eus-gaap--CurrentIncomeTaxExpens"/>
      <w:bookmarkEnd w:id="919"/>
      <w:r>
        <w:rPr>
          <w:rFonts w:ascii="Times New Roman;Times;Serif" w:hAnsi="Times New Roman;Times;Serif"/>
          <w:b w:val="false"/>
          <w:i w:val="false"/>
          <w:caps w:val="false"/>
          <w:smallCaps w:val="false"/>
          <w:sz w:val="20"/>
        </w:rPr>
        <w:t xml:space="preserve">13.1 million for the three months and nine months ended September 30, 2023, representing effective income tax rates of </w:t>
      </w:r>
      <w:bookmarkStart w:id="920" w:name="xdx_903_eus-gaap--EffectiveIncomeTaxRate"/>
      <w:bookmarkEnd w:id="920"/>
      <w:r>
        <w:rPr>
          <w:rFonts w:ascii="Times New Roman;Times;Serif" w:hAnsi="Times New Roman;Times;Serif"/>
          <w:b w:val="false"/>
          <w:i w:val="false"/>
          <w:caps w:val="false"/>
          <w:smallCaps w:val="false"/>
          <w:sz w:val="20"/>
        </w:rPr>
        <w:t xml:space="preserve">27% and </w:t>
      </w:r>
      <w:bookmarkStart w:id="921" w:name="xdx_909_eus-gaap--EffectiveIncomeTaxRate"/>
      <w:bookmarkEnd w:id="921"/>
      <w:r>
        <w:rPr>
          <w:rFonts w:ascii="Times New Roman;Times;Serif" w:hAnsi="Times New Roman;Times;Serif"/>
          <w:b w:val="false"/>
          <w:i w:val="false"/>
          <w:caps w:val="false"/>
          <w:smallCaps w:val="false"/>
          <w:sz w:val="20"/>
        </w:rPr>
        <w:t>26% respectively, compared to income tax expense of $</w:t>
      </w:r>
      <w:bookmarkStart w:id="922" w:name="xdx_90B_eus-gaap--CurrentIncomeTaxExpens"/>
      <w:bookmarkEnd w:id="922"/>
      <w:r>
        <w:rPr>
          <w:rFonts w:ascii="Times New Roman;Times;Serif" w:hAnsi="Times New Roman;Times;Serif"/>
          <w:b w:val="false"/>
          <w:i w:val="false"/>
          <w:caps w:val="false"/>
          <w:smallCaps w:val="false"/>
          <w:sz w:val="20"/>
        </w:rPr>
        <w:t>8.9 million and $</w:t>
      </w:r>
      <w:bookmarkStart w:id="923" w:name="xdx_90A_eus-gaap--CurrentIncomeTaxExpens"/>
      <w:bookmarkEnd w:id="923"/>
      <w:r>
        <w:rPr>
          <w:rFonts w:ascii="Times New Roman;Times;Serif" w:hAnsi="Times New Roman;Times;Serif"/>
          <w:b w:val="false"/>
          <w:i w:val="false"/>
          <w:caps w:val="false"/>
          <w:smallCaps w:val="false"/>
          <w:sz w:val="20"/>
        </w:rPr>
        <w:t xml:space="preserve">26.0 million for the three months and nine months ended September 30, 2022, and represents an effective income tax rates of </w:t>
      </w:r>
      <w:bookmarkStart w:id="924" w:name="xdx_907_eus-gaap--EffectiveIncomeTaxRate"/>
      <w:bookmarkEnd w:id="924"/>
      <w:r>
        <w:rPr>
          <w:rFonts w:ascii="Times New Roman;Times;Serif" w:hAnsi="Times New Roman;Times;Serif"/>
          <w:b w:val="false"/>
          <w:i w:val="false"/>
          <w:caps w:val="false"/>
          <w:smallCaps w:val="false"/>
          <w:sz w:val="20"/>
        </w:rPr>
        <w:t xml:space="preserve">26% and </w:t>
      </w:r>
      <w:bookmarkStart w:id="925" w:name="xdx_903_eus-gaap--EffectiveIncomeTaxRate"/>
      <w:bookmarkEnd w:id="925"/>
      <w:r>
        <w:rPr>
          <w:rFonts w:ascii="Times New Roman;Times;Serif" w:hAnsi="Times New Roman;Times;Serif"/>
          <w:b w:val="false"/>
          <w:i w:val="false"/>
          <w:caps w:val="false"/>
          <w:smallCaps w:val="false"/>
          <w:sz w:val="20"/>
        </w:rPr>
        <w:t>27% respectively.</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i w:val="false"/>
          <w:caps w:val="false"/>
          <w:smallCaps w:val="false"/>
          <w:sz w:val="20"/>
        </w:rPr>
      </w:pPr>
      <w:bookmarkStart w:id="926" w:name="xdx_80A_eus-gaap--LegalMattersAndConting"/>
      <w:bookmarkEnd w:id="926"/>
      <w:r>
        <w:rPr>
          <w:rFonts w:ascii="Times New Roman;Times;Serif" w:hAnsi="Times New Roman;Times;Serif"/>
          <w:b/>
          <w:i w:val="false"/>
          <w:caps w:val="false"/>
          <w:smallCaps w:val="false"/>
          <w:sz w:val="20"/>
        </w:rPr>
        <w:t xml:space="preserve">(8) </w:t>
      </w:r>
      <w:bookmarkStart w:id="927" w:name="xdx_826_z3AUB17jpzXl"/>
      <w:bookmarkEnd w:id="927"/>
      <w:r>
        <w:rPr>
          <w:rFonts w:ascii="Times New Roman;Times;Serif" w:hAnsi="Times New Roman;Times;Serif"/>
          <w:b/>
          <w:i/>
          <w:caps w:val="false"/>
          <w:smallCaps w:val="false"/>
          <w:sz w:val="20"/>
        </w:rPr>
        <w:t xml:space="preserve">Legal Proceedings </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Consumer Litigation.</w:t>
      </w:r>
      <w:r>
        <w:rPr>
          <w:rFonts w:ascii="Times New Roman;Times;Serif" w:hAnsi="Times New Roman;Times;Serif"/>
          <w:b w:val="false"/>
          <w:i w:val="false"/>
          <w:caps w:val="false"/>
          <w:smallCaps w:val="false"/>
          <w:sz w:val="20"/>
        </w:rPr>
        <w:t xml:space="preserve"> We are routinely involved in various legal proceedings resulting from our consumer finance activities and practices, both continuing and discontinued. Consumers can and do initiate lawsuits against us alleging violations of law applicable to collection of receivables, and such lawsuits sometimes allege that resolution as a class action is appropriate. For the most part, we have legal and factual defenses to consumer claims, which we routinely contest or settle (for immaterial amounts) depending on the particular circumstances of each case.</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our filing of a complaint for a deficiency judgment in the Superior Court at Waterbury, Connecticut, the defendant filed a cross-claim on October 16, 2019 alleging that our deficiency notices were not compliant with Connecticut law, and seeking relief on behalf of a class of Connecticut obligors whose vehicles we had repossessed. The complaint seeks primarily damages, injunctive relief, waiver of contract deficiencies, and attorney fees and interest. The defendant’s contract provided for resolution of disputes exclusively by arbitration, and exclusively on an individual basis, not a class basis. Nevertheless, in August 2021, the court denied our motion to compel arbitration, without opinion. In April 2022, a motion for certification of a class was filed but has not been ruled upon. It is reasonable to expect that resolution of these claims will be on a class basis.</w:t>
      </w:r>
    </w:p>
    <w:p>
      <w:pPr>
        <w:pStyle w:val="TextBody"/>
        <w:bidi w:val="0"/>
        <w:spacing w:before="0" w:after="0"/>
        <w:ind w:left="0" w:right="0" w:firstLine="144"/>
        <w:jc w:val="left"/>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Wage and Hour Claim.</w:t>
      </w:r>
      <w:r>
        <w:rPr>
          <w:rFonts w:ascii="Times New Roman;Times;Serif" w:hAnsi="Times New Roman;Times;Serif"/>
          <w:b w:val="false"/>
          <w:i w:val="false"/>
          <w:caps w:val="false"/>
          <w:smallCaps w:val="false"/>
          <w:sz w:val="20"/>
        </w:rPr>
        <w:t xml:space="preserve"> On September 24, 2018, a former employee filed a lawsuit against us in the Superior Court of Orange County, California, alleging that we incorrectly classified our sales representatives as outside salespersons exempt from overtime wages, mandatory break periods and certain other employee protective provisions of California and federal law. The complaint seeks injunctive relief, an award of unpaid wages, liquidated damages, and attorney fees and interest. The plaintiff purports to act on behalf of a class of similarly situated employees and ex-employees. We believe that our compensation practices with respect to our sales representatives are compliant with applicable law. In August 2023, the parties settled by agreement the claims of the plaintiff and a California settlement class and the settlement remains subject to final court approval.</w:t>
      </w:r>
    </w:p>
    <w:p>
      <w:pPr>
        <w:pStyle w:val="TextBody"/>
        <w:bidi w:val="0"/>
        <w:spacing w:before="0" w:after="0"/>
        <w:ind w:left="0" w:right="0" w:firstLine="144"/>
        <w:jc w:val="left"/>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Massachusetts Civil Investigative Demand</w:t>
      </w:r>
      <w:r>
        <w:rPr>
          <w:rFonts w:ascii="Times New Roman;Times;Serif" w:hAnsi="Times New Roman;Times;Serif"/>
          <w:b w:val="false"/>
          <w:i w:val="false"/>
          <w:caps w:val="false"/>
          <w:smallCaps w:val="false"/>
          <w:sz w:val="20"/>
        </w:rPr>
        <w:t>. In September 2021, we received a civil investigative demand from the Office of the Attorney General of the Commonwealth of Massachusetts relating to the Company’s communications with and repossession notices sent to Massachusetts customers. We are cooperating with the inquiry.</w:t>
      </w:r>
    </w:p>
    <w:p>
      <w:pPr>
        <w:pStyle w:val="TextBody"/>
        <w:bidi w:val="0"/>
        <w:spacing w:before="0" w:after="0"/>
        <w:ind w:left="0" w:right="0" w:firstLine="144"/>
        <w:jc w:val="left"/>
        <w:rPr>
          <w:caps w:val="false"/>
          <w:smallCaps w:val="false"/>
        </w:rPr>
      </w:pPr>
      <w:r>
        <w:rPr>
          <w:caps w:val="false"/>
          <w:smallCaps w:val="false"/>
        </w:rPr>
        <w:t> </w:t>
      </w:r>
    </w:p>
    <w:p>
      <w:pPr>
        <w:pStyle w:val="TextBody"/>
        <w:bidi w:val="0"/>
        <w:spacing w:before="0" w:after="0"/>
        <w:ind w:left="0" w:right="0" w:firstLine="144"/>
        <w:jc w:val="left"/>
        <w:rPr>
          <w:caps w:val="false"/>
          <w:smallCaps w:val="false"/>
        </w:rPr>
      </w:pPr>
      <w:bookmarkStart w:id="928" w:name="xdx_23A_zJMs7DkZp8ck"/>
      <w:bookmarkEnd w:id="928"/>
      <w:r>
        <w:rPr>
          <w:caps w:val="false"/>
          <w:smallCaps w:val="false"/>
        </w:rPr>
        <w:t> </w:t>
      </w:r>
    </w:p>
    <w:p>
      <w:pPr>
        <w:pStyle w:val="TextBody"/>
        <w:bidi w:val="0"/>
        <w:spacing w:before="0" w:after="0"/>
        <w:ind w:left="0" w:right="0" w:firstLine="144"/>
        <w:jc w:val="left"/>
        <w:rPr>
          <w:caps w:val="false"/>
          <w:smallCaps w:val="false"/>
        </w:rPr>
      </w:pPr>
      <w:bookmarkStart w:id="929" w:name="xdx_23C_zLKxzyALfG8l"/>
      <w:bookmarkEnd w:id="929"/>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144"/>
        <w:jc w:val="left"/>
        <w:rPr>
          <w:caps w:val="false"/>
          <w:smallCaps w:val="false"/>
        </w:rPr>
      </w:pPr>
      <w:bookmarkStart w:id="930" w:name="xdx_234_zH3FnD0KBnw5"/>
      <w:bookmarkEnd w:id="930"/>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931" w:name="xdx_23F_zdEooOpanPie"/>
      <w:bookmarkEnd w:id="931"/>
      <w:r>
        <w:rPr>
          <w:rFonts w:ascii="Times New Roman;Times;Serif" w:hAnsi="Times New Roman;Times;Serif"/>
          <w:b/>
          <w:i w:val="false"/>
          <w:caps w:val="false"/>
          <w:smallCaps w:val="false"/>
          <w:sz w:val="20"/>
        </w:rPr>
        <w:t>CONSUMER PORTFOLIO SERVICES,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32" w:name="xdx_237_zCVxmuGNiZR8"/>
      <w:bookmarkStart w:id="933" w:name="xdx_236_zRKeipA6lnPi"/>
      <w:bookmarkEnd w:id="932"/>
      <w:bookmarkEnd w:id="933"/>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bookmarkStart w:id="934" w:name="xdx_234_zlDqA1qUY422"/>
      <w:bookmarkEnd w:id="934"/>
      <w:r>
        <w:rPr>
          <w:caps w:val="false"/>
          <w:smallCaps w:val="false"/>
        </w:rPr>
        <w:t> </w:t>
      </w:r>
    </w:p>
    <w:p>
      <w:pPr>
        <w:pStyle w:val="TextBody"/>
        <w:bidi w:val="0"/>
        <w:spacing w:before="0" w:after="0"/>
        <w:ind w:left="0" w:right="0" w:hanging="0"/>
        <w:jc w:val="center"/>
        <w:rPr>
          <w:caps w:val="false"/>
          <w:smallCaps w:val="false"/>
        </w:rPr>
      </w:pPr>
      <w:bookmarkStart w:id="935" w:name="xdx_23F_zY9NBx2MLzU1"/>
      <w:bookmarkEnd w:id="935"/>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 General.</w:t>
      </w:r>
      <w:r>
        <w:rPr>
          <w:rFonts w:ascii="Times New Roman;Times;Serif" w:hAnsi="Times New Roman;Times;Serif"/>
          <w:b w:val="false"/>
          <w:i w:val="false"/>
          <w:caps w:val="false"/>
          <w:smallCaps w:val="false"/>
          <w:sz w:val="20"/>
        </w:rPr>
        <w:t xml:space="preserve"> There can be no assurance as to the outcomes of the matters described or referenced above. We record at each measurement date, most recently as of September 30, 2023, our best estimate of probable incurred losses for legal contingencies, including the matters identified above. The amount of losses that may ultimately be incurred cannot be estimated with certainty. However, based on such information as is available to us, we believe that the total of probable incurred losses for legal contingencies as of September 30, 2023 is $</w:t>
      </w:r>
      <w:bookmarkStart w:id="936" w:name="xdx_900_ecustom--ProbableLossesForLegalC"/>
      <w:bookmarkEnd w:id="936"/>
      <w:r>
        <w:rPr>
          <w:rFonts w:ascii="Times New Roman;Times;Serif" w:hAnsi="Times New Roman;Times;Serif"/>
          <w:b w:val="false"/>
          <w:i w:val="false"/>
          <w:caps w:val="false"/>
          <w:smallCaps w:val="false"/>
          <w:sz w:val="20"/>
        </w:rPr>
        <w:t>3.8 million, and that the range of reasonably possible losses for the legal proceedings and contingencies we face, including those described or identified above, as of September 30, 2023 does not exceed $</w:t>
      </w:r>
      <w:bookmarkStart w:id="937" w:name="xdx_900_ecustom--MaximumPossibleLossesFo"/>
      <w:bookmarkEnd w:id="937"/>
      <w:r>
        <w:rPr>
          <w:rFonts w:ascii="Times New Roman;Times;Serif" w:hAnsi="Times New Roman;Times;Serif"/>
          <w:b w:val="false"/>
          <w:i w:val="false"/>
          <w:caps w:val="false"/>
          <w:smallCaps w:val="false"/>
          <w:sz w:val="20"/>
        </w:rPr>
        <w:t>7.3 million.</w:t>
      </w:r>
    </w:p>
    <w:p>
      <w:pPr>
        <w:pStyle w:val="TextBody"/>
        <w:bidi w:val="0"/>
        <w:spacing w:before="0" w:after="0"/>
        <w:ind w:left="0" w:right="0" w:firstLine="144"/>
        <w:jc w:val="left"/>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we believe that the ultimate resolution of such legal proceedings and contingencies should not have a material adverse effect on our consolidated financial condition. We note, however, that in light of the uncertainties inherent in contested proceedings there can be no assurance that the ultimate resolution of these matters will not be material to our operating results for a particular period, depending on, among other factors, the size of the loss or liability imposed and the level of our income for that period.</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938" w:name="xdx_805_eus-gaap--FairValueMeasurementIn"/>
      <w:bookmarkEnd w:id="938"/>
      <w:r>
        <w:rPr>
          <w:rFonts w:ascii="Times New Roman;Times;Serif" w:hAnsi="Times New Roman;Times;Serif"/>
          <w:b/>
          <w:i/>
          <w:caps w:val="false"/>
          <w:smallCaps w:val="false"/>
          <w:sz w:val="20"/>
        </w:rPr>
        <w:t xml:space="preserve">(9) </w:t>
      </w:r>
      <w:bookmarkStart w:id="939" w:name="xdx_82A_zrNtWp1g32U2"/>
      <w:bookmarkEnd w:id="939"/>
      <w:r>
        <w:rPr>
          <w:rFonts w:ascii="Times New Roman;Times;Serif" w:hAnsi="Times New Roman;Times;Serif"/>
          <w:b/>
          <w:i/>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would be separately disclosed by level within the fair value hierarchy.</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January 2018 we have elected to use the fair value method to value our portfolio of finance receivables acquired in January 2018 and thereafter.</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valuation policies and procedures have been developed by our Accounting department in conjunction with our Risk department and with consultation with outside valuation experts. Our policies and procedures have been approved by our Chief Executive and our Board of Directors and include methodologies for valuation, internal reporting, calibration and back testing. Our periodic review of valuations includes an analysis of changes in fair value measurements and documentation of the reasons for such changes. There is little available third-party information such as broker quotes or pricing services available to assist us in our valuation process.</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level 3, unobservable inputs reflect our own assumptions about the factors that market participants use in pricing similar receivables and are based on the best information available in the circumstances. They include such inputs as estimates for the magnitude and timing of net charge-offs and the rate of amortization of the portfolio of finance receivable. Significant changes in any of those inputs in isolation would have a significant effect on our fair value measurement.</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quarter ended September 30, 2023, the Company evaluated the appropriate fair value and future earnings rate of existing receivables compared to recently acquired receivables and our assessment of potential additional future net losses on the portfolio of finance receivables carried at fair value and did not record a mark down to that portfolio.</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44"/>
        <w:jc w:val="both"/>
        <w:rPr>
          <w:caps w:val="false"/>
          <w:smallCaps w:val="false"/>
        </w:rPr>
      </w:pPr>
      <w:bookmarkStart w:id="940" w:name="xdx_23C_zMMUM2UF8hYf"/>
      <w:bookmarkEnd w:id="940"/>
      <w:r>
        <w:rPr>
          <w:caps w:val="false"/>
          <w:smallCaps w:val="false"/>
        </w:rPr>
        <w:t> </w:t>
      </w:r>
    </w:p>
    <w:p>
      <w:pPr>
        <w:pStyle w:val="TextBody"/>
        <w:bidi w:val="0"/>
        <w:spacing w:before="0" w:after="0"/>
        <w:ind w:left="0" w:right="0" w:firstLine="144"/>
        <w:jc w:val="both"/>
        <w:rPr>
          <w:caps w:val="false"/>
          <w:smallCaps w:val="false"/>
        </w:rPr>
      </w:pPr>
      <w:bookmarkStart w:id="941" w:name="xdx_23C_zg7hwnB4neXc"/>
      <w:bookmarkEnd w:id="941"/>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144"/>
        <w:jc w:val="both"/>
        <w:rPr>
          <w:caps w:val="false"/>
          <w:smallCaps w:val="false"/>
        </w:rPr>
      </w:pPr>
      <w:bookmarkStart w:id="942" w:name="xdx_238_zUBXJjDjKgN1"/>
      <w:bookmarkEnd w:id="942"/>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943" w:name="xdx_236_z0JnuYUTGSd5"/>
      <w:bookmarkEnd w:id="943"/>
      <w:r>
        <w:rPr>
          <w:rFonts w:ascii="Times New Roman;Times;Serif" w:hAnsi="Times New Roman;Times;Serif"/>
          <w:b/>
          <w:i w:val="false"/>
          <w:caps w:val="false"/>
          <w:smallCaps w:val="false"/>
          <w:sz w:val="20"/>
        </w:rPr>
        <w:t>CONSUMER PORTFOLIO SERVICES,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44" w:name="xdx_235_zy8YhHjrvY6k"/>
      <w:bookmarkStart w:id="945" w:name="xdx_231_zgytgx8a8VW3"/>
      <w:bookmarkEnd w:id="944"/>
      <w:bookmarkEnd w:id="945"/>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bookmarkStart w:id="946" w:name="xdx_23F_zjCotfY1qXp5"/>
      <w:bookmarkEnd w:id="946"/>
      <w:r>
        <w:rPr>
          <w:caps w:val="false"/>
          <w:smallCaps w:val="false"/>
        </w:rPr>
        <w:t> </w:t>
      </w:r>
    </w:p>
    <w:p>
      <w:pPr>
        <w:pStyle w:val="TextBody"/>
        <w:bidi w:val="0"/>
        <w:spacing w:before="0" w:after="0"/>
        <w:ind w:left="0" w:right="0" w:hanging="0"/>
        <w:jc w:val="center"/>
        <w:rPr>
          <w:caps w:val="false"/>
          <w:smallCaps w:val="false"/>
        </w:rPr>
      </w:pPr>
      <w:bookmarkStart w:id="947" w:name="xdx_23D_zHnpA50sZrF4"/>
      <w:bookmarkEnd w:id="947"/>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a reconciliation of the finance receivables measured at fair value on a recurring basis using significant unobservable inputs:</w:t>
      </w:r>
    </w:p>
    <w:p>
      <w:pPr>
        <w:pStyle w:val="Normal"/>
        <w:bidi w:val="0"/>
        <w:spacing w:before="0" w:after="0"/>
        <w:jc w:val="left"/>
        <w:rPr>
          <w:sz w:val="4"/>
          <w:szCs w:val="4"/>
        </w:rPr>
      </w:pPr>
      <w:r>
        <w:rPr>
          <w:sz w:val="4"/>
          <w:szCs w:val="4"/>
        </w:rPr>
      </w:r>
      <w:bookmarkStart w:id="948" w:name="xdx_892_eus-gaap--FairValueAssetsMeasure"/>
      <w:bookmarkStart w:id="949" w:name="xdx_892_eus-gaap--FairValueAssetsMeasure"/>
      <w:bookmarkEnd w:id="949"/>
    </w:p>
    <w:tbl>
      <w:tblPr>
        <w:tblW w:w="10205" w:type="dxa"/>
        <w:jc w:val="left"/>
        <w:tblInd w:w="0" w:type="dxa"/>
        <w:tblLayout w:type="fixed"/>
        <w:tblCellMar>
          <w:top w:w="0" w:type="dxa"/>
          <w:left w:w="0" w:type="dxa"/>
          <w:bottom w:w="0" w:type="dxa"/>
          <w:right w:w="0" w:type="dxa"/>
        </w:tblCellMar>
      </w:tblPr>
      <w:tblGrid>
        <w:gridCol w:w="5090"/>
        <w:gridCol w:w="60"/>
        <w:gridCol w:w="140"/>
        <w:gridCol w:w="980"/>
        <w:gridCol w:w="95"/>
        <w:gridCol w:w="60"/>
        <w:gridCol w:w="140"/>
        <w:gridCol w:w="980"/>
        <w:gridCol w:w="95"/>
        <w:gridCol w:w="60"/>
        <w:gridCol w:w="140"/>
        <w:gridCol w:w="980"/>
        <w:gridCol w:w="95"/>
        <w:gridCol w:w="60"/>
        <w:gridCol w:w="140"/>
        <w:gridCol w:w="980"/>
        <w:gridCol w:w="110"/>
      </w:tblGrid>
      <w:tr>
        <w:trPr/>
        <w:tc>
          <w:tcPr>
            <w:tcW w:w="5090" w:type="dxa"/>
            <w:tcBorders/>
            <w:vAlign w:val="center"/>
          </w:tcPr>
          <w:p>
            <w:pPr>
              <w:pStyle w:val="TableContents"/>
              <w:bidi w:val="0"/>
              <w:spacing w:before="0" w:after="283"/>
              <w:jc w:val="left"/>
              <w:rPr/>
            </w:pPr>
            <w:bookmarkStart w:id="950" w:name="xdx_8B9_z06spXRZ6kJc"/>
            <w:bookmarkEnd w:id="950"/>
            <w:r>
              <w:rPr/>
              <w:t>Schedule of reconciliation of the finance receivables measured at fair value on a recurring basis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vAlign w:val="center"/>
          </w:tcPr>
          <w:p>
            <w:pPr>
              <w:pStyle w:val="TableContents"/>
              <w:bidi w:val="0"/>
              <w:spacing w:before="0" w:after="283"/>
              <w:jc w:val="center"/>
              <w:rPr>
                <w:b/>
              </w:rPr>
            </w:pPr>
            <w:r>
              <w:rPr>
                <w:b/>
              </w:rPr>
              <w:t>Nine Months Ended</w:t>
            </w:r>
          </w:p>
        </w:tc>
        <w:tc>
          <w:tcPr>
            <w:tcW w:w="11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11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vAlign w:val="center"/>
          </w:tcPr>
          <w:p>
            <w:pPr>
              <w:pStyle w:val="TableContents"/>
              <w:bidi w:val="0"/>
              <w:spacing w:before="0" w:after="283"/>
              <w:jc w:val="center"/>
              <w:rPr>
                <w:b/>
              </w:rPr>
            </w:pPr>
            <w:r>
              <w:rPr>
                <w:b/>
              </w:rPr>
              <w:t>(In thousands)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5090" w:type="dxa"/>
            <w:tcBorders/>
            <w:shd w:fill="EEEEEE" w:val="clear"/>
            <w:vAlign w:val="center"/>
          </w:tcPr>
          <w:p>
            <w:pPr>
              <w:pStyle w:val="TableContents"/>
              <w:bidi w:val="0"/>
              <w:spacing w:before="0" w:after="283"/>
              <w:jc w:val="left"/>
              <w:rPr/>
            </w:pPr>
            <w:r>
              <w:rPr/>
              <w:t>Balance at beginning of period</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bookmarkStart w:id="951" w:name="xdx_984_eus-gaap--ReceivablesFairValueDi"/>
            <w:bookmarkEnd w:id="951"/>
          </w:p>
        </w:tc>
        <w:tc>
          <w:tcPr>
            <w:tcW w:w="980" w:type="dxa"/>
            <w:tcBorders/>
            <w:shd w:fill="EEEEEE" w:val="clear"/>
            <w:vAlign w:val="center"/>
          </w:tcPr>
          <w:p>
            <w:pPr>
              <w:pStyle w:val="TableContents"/>
              <w:bidi w:val="0"/>
              <w:spacing w:before="0" w:after="283"/>
              <w:jc w:val="right"/>
              <w:rPr/>
            </w:pPr>
            <w:r>
              <w:rPr/>
              <w:t>2,618,420</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bookmarkStart w:id="952" w:name="xdx_988_eus-gaap--ReceivablesFairValueDi"/>
            <w:bookmarkEnd w:id="952"/>
          </w:p>
        </w:tc>
        <w:tc>
          <w:tcPr>
            <w:tcW w:w="980" w:type="dxa"/>
            <w:tcBorders/>
            <w:shd w:fill="EEEEEE" w:val="clear"/>
            <w:vAlign w:val="center"/>
          </w:tcPr>
          <w:p>
            <w:pPr>
              <w:pStyle w:val="TableContents"/>
              <w:bidi w:val="0"/>
              <w:spacing w:before="0" w:after="283"/>
              <w:jc w:val="right"/>
              <w:rPr/>
            </w:pPr>
            <w:r>
              <w:rPr/>
              <w:t>2,174,133</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bookmarkStart w:id="953" w:name="xdx_988_eus-gaap--ReceivablesFairValueDi"/>
            <w:bookmarkEnd w:id="953"/>
          </w:p>
        </w:tc>
        <w:tc>
          <w:tcPr>
            <w:tcW w:w="980" w:type="dxa"/>
            <w:tcBorders/>
            <w:shd w:fill="EEEEEE" w:val="clear"/>
            <w:vAlign w:val="center"/>
          </w:tcPr>
          <w:p>
            <w:pPr>
              <w:pStyle w:val="TableContents"/>
              <w:bidi w:val="0"/>
              <w:spacing w:before="0" w:after="283"/>
              <w:jc w:val="right"/>
              <w:rPr/>
            </w:pPr>
            <w:r>
              <w:rPr/>
              <w:t>2,476,617</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bookmarkStart w:id="954" w:name="xdx_987_eus-gaap--ReceivablesFairValueDi"/>
            <w:bookmarkEnd w:id="954"/>
          </w:p>
        </w:tc>
        <w:tc>
          <w:tcPr>
            <w:tcW w:w="980" w:type="dxa"/>
            <w:tcBorders/>
            <w:shd w:fill="EEEEEE" w:val="clear"/>
            <w:vAlign w:val="center"/>
          </w:tcPr>
          <w:p>
            <w:pPr>
              <w:pStyle w:val="TableContents"/>
              <w:bidi w:val="0"/>
              <w:spacing w:before="0" w:after="283"/>
              <w:jc w:val="right"/>
              <w:rPr/>
            </w:pPr>
            <w:r>
              <w:rPr/>
              <w:t>1,749,098</w:t>
            </w:r>
          </w:p>
        </w:tc>
        <w:tc>
          <w:tcPr>
            <w:tcW w:w="110" w:type="dxa"/>
            <w:tcBorders/>
            <w:shd w:fill="EEEEEE"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pPr>
            <w:r>
              <w:rPr/>
              <w:t>Finance receivables at fair value acquired during period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55" w:name="xdx_988_eus-gaap--PaymentsToAcquireFinan"/>
            <w:bookmarkEnd w:id="955"/>
          </w:p>
        </w:tc>
        <w:tc>
          <w:tcPr>
            <w:tcW w:w="980" w:type="dxa"/>
            <w:tcBorders/>
            <w:shd w:fill="FFFFFF" w:val="clear"/>
            <w:vAlign w:val="center"/>
          </w:tcPr>
          <w:p>
            <w:pPr>
              <w:pStyle w:val="TableContents"/>
              <w:bidi w:val="0"/>
              <w:spacing w:before="0" w:after="283"/>
              <w:jc w:val="right"/>
              <w:rPr/>
            </w:pPr>
            <w:r>
              <w:rPr/>
              <w:t>300,539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56" w:name="xdx_989_eus-gaap--PaymentsToAcquireFinan"/>
            <w:bookmarkEnd w:id="956"/>
          </w:p>
        </w:tc>
        <w:tc>
          <w:tcPr>
            <w:tcW w:w="980" w:type="dxa"/>
            <w:tcBorders/>
            <w:shd w:fill="FFFFFF" w:val="clear"/>
            <w:vAlign w:val="center"/>
          </w:tcPr>
          <w:p>
            <w:pPr>
              <w:pStyle w:val="TableContents"/>
              <w:bidi w:val="0"/>
              <w:spacing w:before="0" w:after="283"/>
              <w:jc w:val="right"/>
              <w:rPr/>
            </w:pPr>
            <w:r>
              <w:rPr/>
              <w:t>407,260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57" w:name="xdx_981_eus-gaap--PaymentsToAcquireFinan"/>
            <w:bookmarkEnd w:id="957"/>
          </w:p>
        </w:tc>
        <w:tc>
          <w:tcPr>
            <w:tcW w:w="980" w:type="dxa"/>
            <w:tcBorders/>
            <w:shd w:fill="FFFFFF" w:val="clear"/>
            <w:vAlign w:val="center"/>
          </w:tcPr>
          <w:p>
            <w:pPr>
              <w:pStyle w:val="TableContents"/>
              <w:bidi w:val="0"/>
              <w:spacing w:before="0" w:after="283"/>
              <w:jc w:val="right"/>
              <w:rPr/>
            </w:pPr>
            <w:r>
              <w:rPr/>
              <w:t>958,587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58" w:name="xdx_98B_eus-gaap--PaymentsToAcquireFinan"/>
            <w:bookmarkEnd w:id="958"/>
          </w:p>
        </w:tc>
        <w:tc>
          <w:tcPr>
            <w:tcW w:w="980" w:type="dxa"/>
            <w:tcBorders/>
            <w:shd w:fill="FFFFFF" w:val="clear"/>
            <w:vAlign w:val="center"/>
          </w:tcPr>
          <w:p>
            <w:pPr>
              <w:pStyle w:val="TableContents"/>
              <w:bidi w:val="0"/>
              <w:spacing w:before="0" w:after="283"/>
              <w:jc w:val="right"/>
              <w:rPr/>
            </w:pPr>
            <w:r>
              <w:rPr/>
              <w:t>1,311,735</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EEEEEE" w:val="clear"/>
            <w:vAlign w:val="center"/>
          </w:tcPr>
          <w:p>
            <w:pPr>
              <w:pStyle w:val="TableContents"/>
              <w:bidi w:val="0"/>
              <w:spacing w:before="0" w:after="283"/>
              <w:jc w:val="left"/>
              <w:rPr/>
            </w:pPr>
            <w:r>
              <w:rPr/>
              <w:t>Payments received on finance receivables at fair value</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959" w:name="xdx_985_ecustom--PaymentsOnFinanceReceiv"/>
            <w:bookmarkEnd w:id="959"/>
          </w:p>
        </w:tc>
        <w:tc>
          <w:tcPr>
            <w:tcW w:w="980" w:type="dxa"/>
            <w:tcBorders/>
            <w:shd w:fill="EEEEEE" w:val="clear"/>
            <w:vAlign w:val="center"/>
          </w:tcPr>
          <w:p>
            <w:pPr>
              <w:pStyle w:val="TableContents"/>
              <w:bidi w:val="0"/>
              <w:spacing w:before="0" w:after="283"/>
              <w:jc w:val="right"/>
              <w:rPr/>
            </w:pPr>
            <w:r>
              <w:rPr/>
              <w:t>(203,775</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960" w:name="xdx_987_ecustom--PaymentsOnFinanceReceiv"/>
            <w:bookmarkEnd w:id="960"/>
          </w:p>
        </w:tc>
        <w:tc>
          <w:tcPr>
            <w:tcW w:w="980" w:type="dxa"/>
            <w:tcBorders/>
            <w:shd w:fill="EEEEEE" w:val="clear"/>
            <w:vAlign w:val="center"/>
          </w:tcPr>
          <w:p>
            <w:pPr>
              <w:pStyle w:val="TableContents"/>
              <w:bidi w:val="0"/>
              <w:spacing w:before="0" w:after="283"/>
              <w:jc w:val="right"/>
              <w:rPr/>
            </w:pPr>
            <w:r>
              <w:rPr/>
              <w:t>(209,627</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961" w:name="xdx_988_ecustom--PaymentsOnFinanceReceiv"/>
            <w:bookmarkEnd w:id="961"/>
          </w:p>
        </w:tc>
        <w:tc>
          <w:tcPr>
            <w:tcW w:w="980" w:type="dxa"/>
            <w:tcBorders/>
            <w:shd w:fill="EEEEEE" w:val="clear"/>
            <w:vAlign w:val="center"/>
          </w:tcPr>
          <w:p>
            <w:pPr>
              <w:pStyle w:val="TableContents"/>
              <w:bidi w:val="0"/>
              <w:spacing w:before="0" w:after="283"/>
              <w:jc w:val="right"/>
              <w:rPr/>
            </w:pPr>
            <w:r>
              <w:rPr/>
              <w:t>(625,715</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962" w:name="xdx_985_ecustom--PaymentsOnFinanceReceiv"/>
            <w:bookmarkEnd w:id="962"/>
          </w:p>
        </w:tc>
        <w:tc>
          <w:tcPr>
            <w:tcW w:w="980" w:type="dxa"/>
            <w:tcBorders/>
            <w:shd w:fill="EEEEEE" w:val="clear"/>
            <w:vAlign w:val="center"/>
          </w:tcPr>
          <w:p>
            <w:pPr>
              <w:pStyle w:val="TableContents"/>
              <w:bidi w:val="0"/>
              <w:spacing w:before="0" w:after="283"/>
              <w:jc w:val="right"/>
              <w:rPr/>
            </w:pPr>
            <w:r>
              <w:rPr/>
              <w:t>(635,401</w:t>
            </w:r>
          </w:p>
        </w:tc>
        <w:tc>
          <w:tcPr>
            <w:tcW w:w="110" w:type="dxa"/>
            <w:tcBorders/>
            <w:shd w:fill="EEEEEE" w:val="clear"/>
            <w:vAlign w:val="center"/>
          </w:tcPr>
          <w:p>
            <w:pPr>
              <w:pStyle w:val="TableContents"/>
              <w:bidi w:val="0"/>
              <w:spacing w:before="0" w:after="283"/>
              <w:jc w:val="left"/>
              <w:rPr/>
            </w:pPr>
            <w:r>
              <w:rPr/>
              <w:t>)</w:t>
            </w:r>
          </w:p>
        </w:tc>
      </w:tr>
      <w:tr>
        <w:trPr/>
        <w:tc>
          <w:tcPr>
            <w:tcW w:w="5090" w:type="dxa"/>
            <w:tcBorders/>
            <w:shd w:fill="FFFFFF" w:val="clear"/>
            <w:vAlign w:val="center"/>
          </w:tcPr>
          <w:p>
            <w:pPr>
              <w:pStyle w:val="TableContents"/>
              <w:bidi w:val="0"/>
              <w:spacing w:before="0" w:after="283"/>
              <w:jc w:val="left"/>
              <w:rPr/>
            </w:pPr>
            <w:r>
              <w:rPr/>
              <w:t>Net interest income accretion on fair value receivables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63" w:name="xdx_98C_ecustom--NetInterestIncomeAccret"/>
            <w:bookmarkEnd w:id="963"/>
          </w:p>
        </w:tc>
        <w:tc>
          <w:tcPr>
            <w:tcW w:w="980" w:type="dxa"/>
            <w:tcBorders/>
            <w:shd w:fill="FFFFFF" w:val="clear"/>
            <w:vAlign w:val="center"/>
          </w:tcPr>
          <w:p>
            <w:pPr>
              <w:pStyle w:val="TableContents"/>
              <w:bidi w:val="0"/>
              <w:spacing w:before="0" w:after="283"/>
              <w:jc w:val="right"/>
              <w:rPr/>
            </w:pPr>
            <w:r>
              <w:rPr/>
              <w:t>(49,644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64" w:name="xdx_981_ecustom--NetInterestIncomeAccret"/>
            <w:bookmarkEnd w:id="964"/>
          </w:p>
        </w:tc>
        <w:tc>
          <w:tcPr>
            <w:tcW w:w="980" w:type="dxa"/>
            <w:tcBorders/>
            <w:shd w:fill="FFFFFF" w:val="clear"/>
            <w:vAlign w:val="center"/>
          </w:tcPr>
          <w:p>
            <w:pPr>
              <w:pStyle w:val="TableContents"/>
              <w:bidi w:val="0"/>
              <w:spacing w:before="0" w:after="283"/>
              <w:jc w:val="right"/>
              <w:rPr/>
            </w:pPr>
            <w:r>
              <w:rPr/>
              <w:t>(36,696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65" w:name="xdx_98C_ecustom--NetInterestIncomeAccret"/>
            <w:bookmarkEnd w:id="965"/>
          </w:p>
        </w:tc>
        <w:tc>
          <w:tcPr>
            <w:tcW w:w="980" w:type="dxa"/>
            <w:tcBorders/>
            <w:shd w:fill="FFFFFF" w:val="clear"/>
            <w:vAlign w:val="center"/>
          </w:tcPr>
          <w:p>
            <w:pPr>
              <w:pStyle w:val="TableContents"/>
              <w:bidi w:val="0"/>
              <w:spacing w:before="0" w:after="283"/>
              <w:jc w:val="right"/>
              <w:rPr/>
            </w:pPr>
            <w:r>
              <w:rPr/>
              <w:t>(143,949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66" w:name="xdx_989_ecustom--NetInterestIncomeAccret"/>
            <w:bookmarkEnd w:id="966"/>
          </w:p>
        </w:tc>
        <w:tc>
          <w:tcPr>
            <w:tcW w:w="980" w:type="dxa"/>
            <w:tcBorders/>
            <w:shd w:fill="FFFFFF" w:val="clear"/>
            <w:vAlign w:val="center"/>
          </w:tcPr>
          <w:p>
            <w:pPr>
              <w:pStyle w:val="TableContents"/>
              <w:bidi w:val="0"/>
              <w:spacing w:before="0" w:after="283"/>
              <w:jc w:val="right"/>
              <w:rPr/>
            </w:pPr>
            <w:r>
              <w:rPr/>
              <w:t>(97,462</w:t>
            </w:r>
          </w:p>
        </w:tc>
        <w:tc>
          <w:tcPr>
            <w:tcW w:w="110" w:type="dxa"/>
            <w:tcBorders/>
            <w:shd w:fill="FFFFFF" w:val="clear"/>
            <w:vAlign w:val="center"/>
          </w:tcPr>
          <w:p>
            <w:pPr>
              <w:pStyle w:val="TableContents"/>
              <w:bidi w:val="0"/>
              <w:spacing w:before="0" w:after="283"/>
              <w:jc w:val="left"/>
              <w:rPr/>
            </w:pPr>
            <w:r>
              <w:rPr/>
              <w:t>)</w:t>
            </w:r>
          </w:p>
        </w:tc>
      </w:tr>
      <w:tr>
        <w:trPr/>
        <w:tc>
          <w:tcPr>
            <w:tcW w:w="5090" w:type="dxa"/>
            <w:tcBorders/>
            <w:shd w:fill="EEEEEE" w:val="clear"/>
            <w:vAlign w:val="center"/>
          </w:tcPr>
          <w:p>
            <w:pPr>
              <w:pStyle w:val="TableContents"/>
              <w:bidi w:val="0"/>
              <w:spacing w:before="0" w:after="283"/>
              <w:jc w:val="left"/>
              <w:rPr/>
            </w:pPr>
            <w:r>
              <w:rPr/>
              <w:t>Mark to fair value</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967" w:name="xdx_980_ecustom--MarkToFairValue_pn3n3_c"/>
            <w:bookmarkEnd w:id="967"/>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6,000</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968" w:name="xdx_984_ecustom--MarkToFairValue_pn3n3_c"/>
            <w:bookmarkEnd w:id="968"/>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8,183</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969" w:name="xdx_98C_ecustom--MarkToFairValue_pn3n3_d"/>
            <w:bookmarkEnd w:id="969"/>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6,000</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970" w:name="xdx_98A_ecustom--MarkToFairValue_pn3n3_c"/>
            <w:bookmarkEnd w:id="970"/>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15,283</w:t>
            </w:r>
          </w:p>
        </w:tc>
        <w:tc>
          <w:tcPr>
            <w:tcW w:w="110" w:type="dxa"/>
            <w:tcBorders/>
            <w:shd w:fill="EEEEEE"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pPr>
            <w:r>
              <w:rPr/>
              <w:t>Balance at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971" w:name="xdx_980_eus-gaap--ReceivablesFairValueDi"/>
            <w:bookmarkEnd w:id="971"/>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2,671,540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972" w:name="xdx_98E_eus-gaap--ReceivablesFairValueDi"/>
            <w:bookmarkEnd w:id="972"/>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2,343,253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973" w:name="xdx_982_eus-gaap--ReceivablesFairValueDi"/>
            <w:bookmarkEnd w:id="973"/>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2,671,540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974" w:name="xdx_98D_eus-gaap--ReceivablesFairValueDi"/>
            <w:bookmarkEnd w:id="974"/>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2,343,253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144"/>
        <w:jc w:val="both"/>
        <w:rPr>
          <w:caps w:val="false"/>
          <w:smallCaps w:val="false"/>
        </w:rPr>
      </w:pPr>
      <w:bookmarkStart w:id="975" w:name="xdx_8A3_zuan3Vrq3QK5"/>
      <w:bookmarkEnd w:id="975"/>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compares the fair values of these finance receivables to their contractual balances for the periods shown:</w:t>
      </w:r>
    </w:p>
    <w:p>
      <w:pPr>
        <w:pStyle w:val="Normal"/>
        <w:bidi w:val="0"/>
        <w:spacing w:before="0" w:after="0"/>
        <w:jc w:val="left"/>
        <w:rPr>
          <w:sz w:val="4"/>
          <w:szCs w:val="4"/>
        </w:rPr>
      </w:pPr>
      <w:r>
        <w:rPr>
          <w:sz w:val="4"/>
          <w:szCs w:val="4"/>
        </w:rPr>
      </w:r>
      <w:bookmarkStart w:id="976" w:name="xdx_896_ecustom--ScheduleOfFinanceReceiv"/>
      <w:bookmarkStart w:id="977" w:name="xdx_896_ecustom--ScheduleOfFinanceReceiv"/>
      <w:bookmarkEnd w:id="977"/>
    </w:p>
    <w:tbl>
      <w:tblPr>
        <w:tblW w:w="10205" w:type="dxa"/>
        <w:jc w:val="left"/>
        <w:tblInd w:w="0" w:type="dxa"/>
        <w:tblLayout w:type="fixed"/>
        <w:tblCellMar>
          <w:top w:w="0" w:type="dxa"/>
          <w:left w:w="0" w:type="dxa"/>
          <w:bottom w:w="0" w:type="dxa"/>
          <w:right w:w="0" w:type="dxa"/>
        </w:tblCellMar>
      </w:tblPr>
      <w:tblGrid>
        <w:gridCol w:w="4970"/>
        <w:gridCol w:w="60"/>
        <w:gridCol w:w="156"/>
        <w:gridCol w:w="1094"/>
        <w:gridCol w:w="60"/>
        <w:gridCol w:w="60"/>
        <w:gridCol w:w="140"/>
        <w:gridCol w:w="980"/>
        <w:gridCol w:w="60"/>
        <w:gridCol w:w="60"/>
        <w:gridCol w:w="156"/>
        <w:gridCol w:w="1094"/>
        <w:gridCol w:w="60"/>
        <w:gridCol w:w="60"/>
        <w:gridCol w:w="140"/>
        <w:gridCol w:w="980"/>
        <w:gridCol w:w="75"/>
      </w:tblGrid>
      <w:tr>
        <w:trPr/>
        <w:tc>
          <w:tcPr>
            <w:tcW w:w="4970" w:type="dxa"/>
            <w:tcBorders/>
            <w:vAlign w:val="center"/>
          </w:tcPr>
          <w:p>
            <w:pPr>
              <w:pStyle w:val="TableContents"/>
              <w:bidi w:val="0"/>
              <w:spacing w:before="0" w:after="283"/>
              <w:jc w:val="left"/>
              <w:rPr>
                <w:b/>
              </w:rPr>
            </w:pPr>
            <w:bookmarkStart w:id="978" w:name="xdx_8B8_z0XL30hRWls5"/>
            <w:bookmarkEnd w:id="978"/>
            <w:r>
              <w:rPr>
                <w:b/>
              </w:rPr>
              <w:t>Schedule of finance receivables fair and contractual balances</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 2022</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Contractual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Fair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Contractual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Fair</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Balance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Balance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00" w:type="dxa"/>
            <w:gridSpan w:val="14"/>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4970" w:type="dxa"/>
            <w:tcBorders/>
            <w:shd w:fill="EEEEEE" w:val="clear"/>
            <w:vAlign w:val="center"/>
          </w:tcPr>
          <w:p>
            <w:pPr>
              <w:pStyle w:val="TableContents"/>
              <w:bidi w:val="0"/>
              <w:spacing w:before="0" w:after="283"/>
              <w:jc w:val="left"/>
              <w:rPr/>
            </w:pPr>
            <w:r>
              <w:rPr/>
              <w:t>Finance receivables measured at fair value.</w:t>
            </w:r>
          </w:p>
        </w:tc>
        <w:tc>
          <w:tcPr>
            <w:tcW w:w="60" w:type="dxa"/>
            <w:tcBorders/>
            <w:shd w:fill="EEEEEE" w:val="clear"/>
            <w:vAlign w:val="center"/>
          </w:tcPr>
          <w:p>
            <w:pPr>
              <w:pStyle w:val="TableContents"/>
              <w:bidi w:val="0"/>
              <w:spacing w:before="0" w:after="283"/>
              <w:jc w:val="left"/>
              <w:rPr/>
            </w:pPr>
            <w:r>
              <w:rPr/>
              <w:t> </w:t>
            </w:r>
          </w:p>
        </w:tc>
        <w:tc>
          <w:tcPr>
            <w:tcW w:w="156" w:type="dxa"/>
            <w:tcBorders/>
            <w:shd w:fill="EEEEEE" w:val="clear"/>
            <w:vAlign w:val="center"/>
          </w:tcPr>
          <w:p>
            <w:pPr>
              <w:pStyle w:val="TableContents"/>
              <w:bidi w:val="0"/>
              <w:spacing w:before="0" w:after="283"/>
              <w:jc w:val="left"/>
              <w:rPr/>
            </w:pPr>
            <w:r>
              <w:rPr/>
              <w:t>$</w:t>
            </w:r>
            <w:bookmarkStart w:id="979" w:name="xdx_98A_ecustom--FinanceReceivablesContr"/>
            <w:bookmarkEnd w:id="979"/>
          </w:p>
        </w:tc>
        <w:tc>
          <w:tcPr>
            <w:tcW w:w="1094" w:type="dxa"/>
            <w:tcBorders/>
            <w:shd w:fill="EEEEEE" w:val="clear"/>
            <w:vAlign w:val="center"/>
          </w:tcPr>
          <w:p>
            <w:pPr>
              <w:pStyle w:val="TableContents"/>
              <w:bidi w:val="0"/>
              <w:spacing w:before="0" w:after="283"/>
              <w:jc w:val="right"/>
              <w:rPr/>
            </w:pPr>
            <w:r>
              <w:rPr/>
              <w:t>2,904,235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bookmarkStart w:id="980" w:name="xdx_987_eus-gaap--ReceivablesFairValueDi"/>
            <w:bookmarkEnd w:id="980"/>
          </w:p>
        </w:tc>
        <w:tc>
          <w:tcPr>
            <w:tcW w:w="980" w:type="dxa"/>
            <w:tcBorders/>
            <w:shd w:fill="EEEEEE" w:val="clear"/>
            <w:vAlign w:val="center"/>
          </w:tcPr>
          <w:p>
            <w:pPr>
              <w:pStyle w:val="TableContents"/>
              <w:bidi w:val="0"/>
              <w:spacing w:before="0" w:after="283"/>
              <w:jc w:val="right"/>
              <w:rPr/>
            </w:pPr>
            <w:r>
              <w:rPr/>
              <w:t>2,671,540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6" w:type="dxa"/>
            <w:tcBorders/>
            <w:shd w:fill="EEEEEE" w:val="clear"/>
            <w:vAlign w:val="center"/>
          </w:tcPr>
          <w:p>
            <w:pPr>
              <w:pStyle w:val="TableContents"/>
              <w:bidi w:val="0"/>
              <w:spacing w:before="0" w:after="283"/>
              <w:jc w:val="left"/>
              <w:rPr/>
            </w:pPr>
            <w:r>
              <w:rPr/>
              <w:t>$</w:t>
            </w:r>
            <w:bookmarkStart w:id="981" w:name="xdx_989_ecustom--FinanceReceivablesContr"/>
            <w:bookmarkEnd w:id="981"/>
          </w:p>
        </w:tc>
        <w:tc>
          <w:tcPr>
            <w:tcW w:w="1094" w:type="dxa"/>
            <w:tcBorders/>
            <w:shd w:fill="EEEEEE" w:val="clear"/>
            <w:vAlign w:val="center"/>
          </w:tcPr>
          <w:p>
            <w:pPr>
              <w:pStyle w:val="TableContents"/>
              <w:bidi w:val="0"/>
              <w:spacing w:before="0" w:after="283"/>
              <w:jc w:val="right"/>
              <w:rPr/>
            </w:pPr>
            <w:r>
              <w:rPr/>
              <w:t>2,701,184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bookmarkStart w:id="982" w:name="xdx_980_eus-gaap--ReceivablesFairValueDi"/>
            <w:bookmarkEnd w:id="982"/>
          </w:p>
        </w:tc>
        <w:tc>
          <w:tcPr>
            <w:tcW w:w="980" w:type="dxa"/>
            <w:tcBorders/>
            <w:shd w:fill="EEEEEE" w:val="clear"/>
            <w:vAlign w:val="center"/>
          </w:tcPr>
          <w:p>
            <w:pPr>
              <w:pStyle w:val="TableContents"/>
              <w:bidi w:val="0"/>
              <w:spacing w:before="0" w:after="283"/>
              <w:jc w:val="right"/>
              <w:rPr/>
            </w:pPr>
            <w:r>
              <w:rPr/>
              <w:t>2,476,617</w:t>
            </w:r>
          </w:p>
        </w:tc>
        <w:tc>
          <w:tcPr>
            <w:tcW w:w="75"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firstLine="144"/>
        <w:jc w:val="both"/>
        <w:rPr>
          <w:caps w:val="false"/>
          <w:smallCaps w:val="false"/>
        </w:rPr>
      </w:pPr>
      <w:bookmarkStart w:id="983" w:name="xdx_8A7_zBkbBl5pAX89"/>
      <w:bookmarkEnd w:id="983"/>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certain qualitative information about our level 3 fair value measurements:</w:t>
      </w:r>
    </w:p>
    <w:p>
      <w:pPr>
        <w:pStyle w:val="Normal"/>
        <w:bidi w:val="0"/>
        <w:spacing w:before="0" w:after="0"/>
        <w:jc w:val="left"/>
        <w:rPr>
          <w:sz w:val="4"/>
          <w:szCs w:val="4"/>
        </w:rPr>
      </w:pPr>
      <w:r>
        <w:rPr>
          <w:sz w:val="4"/>
          <w:szCs w:val="4"/>
        </w:rPr>
      </w:r>
      <w:bookmarkStart w:id="984" w:name="xdx_89A_eus-gaap--ScheduleOfEffectOfSign"/>
      <w:bookmarkStart w:id="985" w:name="xdx_89A_eus-gaap--ScheduleOfEffectOfSign"/>
      <w:bookmarkEnd w:id="985"/>
    </w:p>
    <w:tbl>
      <w:tblPr>
        <w:tblW w:w="10205" w:type="dxa"/>
        <w:jc w:val="left"/>
        <w:tblInd w:w="0" w:type="dxa"/>
        <w:tblLayout w:type="fixed"/>
        <w:tblCellMar>
          <w:top w:w="0" w:type="dxa"/>
          <w:left w:w="0" w:type="dxa"/>
          <w:bottom w:w="0" w:type="dxa"/>
          <w:right w:w="0" w:type="dxa"/>
        </w:tblCellMar>
      </w:tblPr>
      <w:tblGrid>
        <w:gridCol w:w="2908"/>
        <w:gridCol w:w="60"/>
        <w:gridCol w:w="161"/>
        <w:gridCol w:w="1129"/>
        <w:gridCol w:w="60"/>
        <w:gridCol w:w="60"/>
        <w:gridCol w:w="157"/>
        <w:gridCol w:w="1104"/>
        <w:gridCol w:w="60"/>
        <w:gridCol w:w="60"/>
        <w:gridCol w:w="1777"/>
        <w:gridCol w:w="60"/>
        <w:gridCol w:w="1288"/>
        <w:gridCol w:w="60"/>
        <w:gridCol w:w="1261"/>
      </w:tblGrid>
      <w:tr>
        <w:trPr/>
        <w:tc>
          <w:tcPr>
            <w:tcW w:w="2908" w:type="dxa"/>
            <w:tcBorders/>
            <w:vAlign w:val="center"/>
          </w:tcPr>
          <w:p>
            <w:pPr>
              <w:pStyle w:val="TableContents"/>
              <w:bidi w:val="0"/>
              <w:spacing w:before="0" w:after="283"/>
              <w:jc w:val="left"/>
              <w:rPr>
                <w:b/>
              </w:rPr>
            </w:pPr>
            <w:bookmarkStart w:id="986" w:name="xdx_8BE_zo8lBVChN5"/>
            <w:bookmarkEnd w:id="986"/>
            <w:r>
              <w:rPr>
                <w:b/>
              </w:rPr>
              <w:t>Schedule of level 3 fair value measurements</w:t>
            </w:r>
          </w:p>
        </w:tc>
        <w:tc>
          <w:tcPr>
            <w:tcW w:w="60" w:type="dxa"/>
            <w:tcBorders/>
            <w:vAlign w:val="center"/>
          </w:tcPr>
          <w:p>
            <w:pPr>
              <w:pStyle w:val="TableContents"/>
              <w:bidi w:val="0"/>
              <w:spacing w:before="0" w:after="283"/>
              <w:jc w:val="left"/>
              <w:rPr/>
            </w:pPr>
            <w:r>
              <w:rPr/>
              <w:t> </w:t>
            </w:r>
          </w:p>
        </w:tc>
        <w:tc>
          <w:tcPr>
            <w:tcW w:w="12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1"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left"/>
              <w:rPr/>
            </w:pPr>
            <w:r>
              <w:rPr/>
              <w:t> </w:t>
            </w:r>
          </w:p>
        </w:tc>
      </w:tr>
      <w:tr>
        <w:trPr/>
        <w:tc>
          <w:tcPr>
            <w:tcW w:w="2908" w:type="dxa"/>
            <w:tcBorders>
              <w:bottom w:val="single" w:sz="8" w:space="0" w:color="000000"/>
            </w:tcBorders>
            <w:tcMar>
              <w:bottom w:w="28" w:type="dxa"/>
            </w:tcMar>
            <w:vAlign w:val="center"/>
          </w:tcPr>
          <w:p>
            <w:pPr>
              <w:pStyle w:val="TableContents"/>
              <w:bidi w:val="0"/>
              <w:spacing w:before="0" w:after="283"/>
              <w:jc w:val="left"/>
              <w:rPr>
                <w:b/>
              </w:rPr>
            </w:pPr>
            <w:r>
              <w:rPr>
                <w:b/>
              </w:rPr>
              <w:t>Financial Instrument</w:t>
            </w:r>
          </w:p>
        </w:tc>
        <w:tc>
          <w:tcPr>
            <w:tcW w:w="60" w:type="dxa"/>
            <w:tcBorders/>
            <w:vAlign w:val="center"/>
          </w:tcPr>
          <w:p>
            <w:pPr>
              <w:pStyle w:val="TableContents"/>
              <w:bidi w:val="0"/>
              <w:spacing w:before="0" w:after="283"/>
              <w:jc w:val="left"/>
              <w:rPr/>
            </w:pPr>
            <w:r>
              <w:rPr/>
              <w:t> </w:t>
            </w:r>
          </w:p>
        </w:tc>
        <w:tc>
          <w:tcPr>
            <w:tcW w:w="267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Fair Values as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9" w:type="dxa"/>
            <w:gridSpan w:val="3"/>
            <w:tcBorders>
              <w:bottom w:val="single" w:sz="8" w:space="0" w:color="000000"/>
            </w:tcBorders>
            <w:tcMar>
              <w:bottom w:w="28" w:type="dxa"/>
            </w:tcMar>
            <w:vAlign w:val="center"/>
          </w:tcPr>
          <w:p>
            <w:pPr>
              <w:pStyle w:val="TableContents"/>
              <w:bidi w:val="0"/>
              <w:spacing w:before="0" w:after="283"/>
              <w:jc w:val="center"/>
              <w:rPr>
                <w:b/>
              </w:rPr>
            </w:pPr>
            <w:r>
              <w:rPr>
                <w:b/>
              </w:rPr>
              <w:t>Inputs as of</w:t>
            </w:r>
          </w:p>
        </w:tc>
      </w:tr>
      <w:tr>
        <w:trPr/>
        <w:tc>
          <w:tcPr>
            <w:tcW w:w="29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0" w:type="dxa"/>
            <w:gridSpan w:val="2"/>
            <w:tcBorders/>
            <w:vAlign w:val="center"/>
          </w:tcPr>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1"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center"/>
              <w:rPr>
                <w:b/>
              </w:rPr>
            </w:pPr>
            <w:r>
              <w:rPr>
                <w:b/>
              </w:rPr>
              <w:t>December 31,</w:t>
            </w:r>
          </w:p>
        </w:tc>
      </w:tr>
      <w:tr>
        <w:trPr/>
        <w:tc>
          <w:tcPr>
            <w:tcW w:w="29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7" w:type="dxa"/>
            <w:tcBorders>
              <w:bottom w:val="single" w:sz="8" w:space="0" w:color="000000"/>
            </w:tcBorders>
            <w:tcMar>
              <w:bottom w:w="28" w:type="dxa"/>
            </w:tcMar>
            <w:vAlign w:val="center"/>
          </w:tcPr>
          <w:p>
            <w:pPr>
              <w:pStyle w:val="TableContents"/>
              <w:bidi w:val="0"/>
              <w:spacing w:before="0" w:after="283"/>
              <w:jc w:val="center"/>
              <w:rPr>
                <w:b/>
              </w:rPr>
            </w:pPr>
            <w:r>
              <w:rPr>
                <w:b/>
              </w:rPr>
              <w:t>Unobservable Inputs</w:t>
            </w:r>
          </w:p>
        </w:tc>
        <w:tc>
          <w:tcPr>
            <w:tcW w:w="60" w:type="dxa"/>
            <w:tcBorders/>
            <w:vAlign w:val="center"/>
          </w:tcPr>
          <w:p>
            <w:pPr>
              <w:pStyle w:val="TableContents"/>
              <w:bidi w:val="0"/>
              <w:spacing w:before="0" w:after="283"/>
              <w:jc w:val="left"/>
              <w:rPr/>
            </w:pPr>
            <w:r>
              <w:rPr/>
              <w:t> </w:t>
            </w:r>
          </w:p>
        </w:tc>
        <w:tc>
          <w:tcPr>
            <w:tcW w:w="1288" w:type="dxa"/>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61" w:type="dxa"/>
            <w:tcBorders>
              <w:bottom w:val="single" w:sz="8" w:space="0" w:color="000000"/>
            </w:tcBorders>
            <w:tcMar>
              <w:bottom w:w="28" w:type="dxa"/>
            </w:tcMar>
            <w:vAlign w:val="center"/>
          </w:tcPr>
          <w:p>
            <w:pPr>
              <w:pStyle w:val="TableContents"/>
              <w:bidi w:val="0"/>
              <w:spacing w:before="0" w:after="283"/>
              <w:jc w:val="center"/>
              <w:rPr>
                <w:b/>
              </w:rPr>
            </w:pPr>
            <w:r>
              <w:rPr>
                <w:b/>
              </w:rPr>
              <w:t>2022</w:t>
            </w:r>
          </w:p>
        </w:tc>
      </w:tr>
      <w:tr>
        <w:trPr/>
        <w:tc>
          <w:tcPr>
            <w:tcW w:w="29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1" w:type="dxa"/>
            <w:gridSpan w:val="6"/>
            <w:tcBorders/>
            <w:vAlign w:val="center"/>
          </w:tcPr>
          <w:p>
            <w:pPr>
              <w:pStyle w:val="TableContents"/>
              <w:bidi w:val="0"/>
              <w:spacing w:before="0" w:after="283"/>
              <w:jc w:val="center"/>
              <w:rPr>
                <w:b/>
              </w:rPr>
            </w:pPr>
            <w:r>
              <w:rPr>
                <w:b/>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left"/>
              <w:rPr/>
            </w:pPr>
            <w:r>
              <w:rPr/>
              <w:t> </w:t>
            </w:r>
          </w:p>
        </w:tc>
      </w:tr>
      <w:tr>
        <w:trPr/>
        <w:tc>
          <w:tcPr>
            <w:tcW w:w="2908"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2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1"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ind w:left="0" w:right="0" w:hanging="200"/>
              <w:jc w:val="left"/>
              <w:rPr/>
            </w:pPr>
            <w:r>
              <w:rPr/>
              <w:t> </w:t>
            </w:r>
          </w:p>
        </w:tc>
      </w:tr>
      <w:tr>
        <w:trPr/>
        <w:tc>
          <w:tcPr>
            <w:tcW w:w="2908" w:type="dxa"/>
            <w:tcBorders/>
            <w:shd w:fill="EEEEEE" w:val="clear"/>
            <w:vAlign w:val="center"/>
          </w:tcPr>
          <w:p>
            <w:pPr>
              <w:pStyle w:val="TableContents"/>
              <w:bidi w:val="0"/>
              <w:spacing w:before="0" w:after="283"/>
              <w:jc w:val="left"/>
              <w:rPr>
                <w:strike w:val="false"/>
                <w:dstrike w:val="false"/>
                <w:u w:val="none"/>
                <w:effect w:val="none"/>
              </w:rPr>
            </w:pPr>
            <w:r>
              <w:rPr>
                <w:strike w:val="false"/>
                <w:dstrike w:val="false"/>
                <w:u w:val="none"/>
                <w:effect w:val="none"/>
              </w:rPr>
              <w:t>Finance receivables measured at fair value</w:t>
            </w:r>
          </w:p>
        </w:tc>
        <w:tc>
          <w:tcPr>
            <w:tcW w:w="60" w:type="dxa"/>
            <w:tcBorders/>
            <w:shd w:fill="EEEEEE" w:val="clear"/>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161" w:type="dxa"/>
            <w:tcBorders/>
            <w:shd w:fill="EEEEEE" w:val="clear"/>
            <w:vAlign w:val="center"/>
          </w:tcPr>
          <w:p>
            <w:pPr>
              <w:pStyle w:val="TableContents"/>
              <w:bidi w:val="0"/>
              <w:spacing w:before="0" w:after="283"/>
              <w:jc w:val="left"/>
              <w:rPr>
                <w:strike w:val="false"/>
                <w:dstrike w:val="false"/>
                <w:u w:val="none"/>
                <w:effect w:val="none"/>
              </w:rPr>
            </w:pPr>
            <w:r>
              <w:rPr>
                <w:strike w:val="false"/>
                <w:dstrike w:val="false"/>
                <w:u w:val="none"/>
                <w:effect w:val="none"/>
              </w:rPr>
              <w:t>$</w:t>
            </w:r>
            <w:bookmarkStart w:id="987" w:name="xdx_986_eus-gaap--ReceivablesFairValueDi"/>
            <w:bookmarkEnd w:id="987"/>
          </w:p>
        </w:tc>
        <w:tc>
          <w:tcPr>
            <w:tcW w:w="1129" w:type="dxa"/>
            <w:tcBorders/>
            <w:shd w:fill="EEEEEE" w:val="clear"/>
            <w:vAlign w:val="center"/>
          </w:tcPr>
          <w:p>
            <w:pPr>
              <w:pStyle w:val="TableContents"/>
              <w:bidi w:val="0"/>
              <w:spacing w:before="0" w:after="283"/>
              <w:jc w:val="right"/>
              <w:rPr>
                <w:strike w:val="false"/>
                <w:dstrike w:val="false"/>
                <w:u w:val="none"/>
                <w:effect w:val="none"/>
              </w:rPr>
            </w:pPr>
            <w:r>
              <w:rPr>
                <w:strike w:val="false"/>
                <w:dstrike w:val="false"/>
                <w:u w:val="none"/>
                <w:effect w:val="none"/>
              </w:rPr>
              <w:t>2,671,540</w:t>
            </w:r>
          </w:p>
        </w:tc>
        <w:tc>
          <w:tcPr>
            <w:tcW w:w="60" w:type="dxa"/>
            <w:tcBorders/>
            <w:shd w:fill="EEEEEE" w:val="clear"/>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60" w:type="dxa"/>
            <w:tcBorders/>
            <w:shd w:fill="EEEEEE" w:val="clear"/>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157" w:type="dxa"/>
            <w:tcBorders/>
            <w:shd w:fill="EEEEEE" w:val="clear"/>
            <w:vAlign w:val="center"/>
          </w:tcPr>
          <w:p>
            <w:pPr>
              <w:pStyle w:val="TableContents"/>
              <w:bidi w:val="0"/>
              <w:spacing w:before="0" w:after="283"/>
              <w:jc w:val="left"/>
              <w:rPr>
                <w:strike w:val="false"/>
                <w:dstrike w:val="false"/>
                <w:u w:val="none"/>
                <w:effect w:val="none"/>
              </w:rPr>
            </w:pPr>
            <w:r>
              <w:rPr>
                <w:strike w:val="false"/>
                <w:dstrike w:val="false"/>
                <w:u w:val="none"/>
                <w:effect w:val="none"/>
              </w:rPr>
              <w:t>$</w:t>
            </w:r>
            <w:bookmarkStart w:id="988" w:name="xdx_980_eus-gaap--ReceivablesFairValueDi"/>
            <w:bookmarkEnd w:id="988"/>
          </w:p>
        </w:tc>
        <w:tc>
          <w:tcPr>
            <w:tcW w:w="1104" w:type="dxa"/>
            <w:tcBorders/>
            <w:shd w:fill="EEEEEE" w:val="clear"/>
            <w:vAlign w:val="center"/>
          </w:tcPr>
          <w:p>
            <w:pPr>
              <w:pStyle w:val="TableContents"/>
              <w:bidi w:val="0"/>
              <w:spacing w:before="0" w:after="283"/>
              <w:jc w:val="right"/>
              <w:rPr>
                <w:caps w:val="false"/>
                <w:smallCaps w:val="false"/>
                <w:strike w:val="false"/>
                <w:dstrike w:val="false"/>
                <w:u w:val="none"/>
                <w:effect w:val="none"/>
              </w:rPr>
            </w:pPr>
            <w:r>
              <w:rPr>
                <w:caps w:val="false"/>
                <w:smallCaps w:val="false"/>
                <w:strike w:val="false"/>
                <w:dstrike w:val="false"/>
                <w:u w:val="none"/>
                <w:effect w:val="none"/>
              </w:rPr>
              <w:t>2,476,617</w:t>
            </w:r>
          </w:p>
        </w:tc>
        <w:tc>
          <w:tcPr>
            <w:tcW w:w="60" w:type="dxa"/>
            <w:tcBorders/>
            <w:shd w:fill="EEEEEE" w:val="clear"/>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60" w:type="dxa"/>
            <w:tcBorders/>
            <w:shd w:fill="EEEEEE" w:val="clear"/>
            <w:vAlign w:val="center"/>
          </w:tcPr>
          <w:p>
            <w:pPr>
              <w:pStyle w:val="TableContents"/>
              <w:bidi w:val="0"/>
              <w:spacing w:before="0" w:after="283"/>
              <w:jc w:val="left"/>
              <w:rPr/>
            </w:pPr>
            <w:r>
              <w:rPr/>
              <w:t> </w:t>
            </w:r>
          </w:p>
        </w:tc>
        <w:tc>
          <w:tcPr>
            <w:tcW w:w="1777" w:type="dxa"/>
            <w:tcBorders/>
            <w:shd w:fill="EEEEEE" w:val="clear"/>
            <w:vAlign w:val="center"/>
          </w:tcPr>
          <w:p>
            <w:pPr>
              <w:pStyle w:val="TableContents"/>
              <w:bidi w:val="0"/>
              <w:spacing w:before="0" w:after="283"/>
              <w:jc w:val="left"/>
              <w:rPr/>
            </w:pPr>
            <w:r>
              <w:rPr/>
              <w:t>Discount rate</w:t>
            </w:r>
          </w:p>
        </w:tc>
        <w:tc>
          <w:tcPr>
            <w:tcW w:w="60" w:type="dxa"/>
            <w:tcBorders/>
            <w:shd w:fill="EEEEEE" w:val="clear"/>
            <w:vAlign w:val="center"/>
          </w:tcPr>
          <w:p>
            <w:pPr>
              <w:pStyle w:val="TableContents"/>
              <w:bidi w:val="0"/>
              <w:spacing w:before="0" w:after="283"/>
              <w:jc w:val="left"/>
              <w:rPr/>
            </w:pPr>
            <w:r>
              <w:rPr/>
              <w:t> </w:t>
            </w:r>
          </w:p>
        </w:tc>
        <w:tc>
          <w:tcPr>
            <w:tcW w:w="1288" w:type="dxa"/>
            <w:tcBorders/>
            <w:shd w:fill="EEEEEE" w:val="clear"/>
            <w:vAlign w:val="center"/>
          </w:tcPr>
          <w:p>
            <w:pPr>
              <w:pStyle w:val="TableContents"/>
              <w:bidi w:val="0"/>
              <w:spacing w:before="0" w:after="283"/>
              <w:jc w:val="center"/>
              <w:rPr/>
            </w:pPr>
            <w:bookmarkStart w:id="989" w:name="xdx_907_ecustom--DiscountRateOnFinanceRe"/>
            <w:bookmarkEnd w:id="989"/>
            <w:r>
              <w:rPr/>
              <w:t>11.0% - 11.7%</w:t>
            </w:r>
          </w:p>
        </w:tc>
        <w:tc>
          <w:tcPr>
            <w:tcW w:w="60" w:type="dxa"/>
            <w:tcBorders/>
            <w:shd w:fill="EEEEEE" w:val="clear"/>
            <w:vAlign w:val="center"/>
          </w:tcPr>
          <w:p>
            <w:pPr>
              <w:pStyle w:val="TableContents"/>
              <w:bidi w:val="0"/>
              <w:spacing w:before="0" w:after="283"/>
              <w:jc w:val="left"/>
              <w:rPr/>
            </w:pPr>
            <w:r>
              <w:rPr/>
              <w:t> </w:t>
            </w:r>
          </w:p>
        </w:tc>
        <w:tc>
          <w:tcPr>
            <w:tcW w:w="1261" w:type="dxa"/>
            <w:tcBorders/>
            <w:shd w:fill="EEEEEE" w:val="clear"/>
            <w:vAlign w:val="center"/>
          </w:tcPr>
          <w:p>
            <w:pPr>
              <w:pStyle w:val="TableContents"/>
              <w:bidi w:val="0"/>
              <w:spacing w:before="0" w:after="283"/>
              <w:jc w:val="center"/>
              <w:rPr/>
            </w:pPr>
            <w:bookmarkStart w:id="990" w:name="xdx_90C_ecustom--DiscountRateOnFinanceRe"/>
            <w:bookmarkEnd w:id="990"/>
            <w:r>
              <w:rPr/>
              <w:t>11.0% - 11.3%</w:t>
            </w:r>
          </w:p>
        </w:tc>
      </w:tr>
      <w:tr>
        <w:trPr/>
        <w:tc>
          <w:tcPr>
            <w:tcW w:w="29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7" w:type="dxa"/>
            <w:tcBorders/>
            <w:shd w:fill="FFFFFF" w:val="clear"/>
            <w:vAlign w:val="center"/>
          </w:tcPr>
          <w:p>
            <w:pPr>
              <w:pStyle w:val="TableContents"/>
              <w:bidi w:val="0"/>
              <w:spacing w:before="0" w:after="283"/>
              <w:jc w:val="left"/>
              <w:rPr/>
            </w:pPr>
            <w:r>
              <w:rPr/>
              <w:t>Cumulative net losses</w:t>
            </w:r>
          </w:p>
        </w:tc>
        <w:tc>
          <w:tcPr>
            <w:tcW w:w="60"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center"/>
              <w:rPr/>
            </w:pPr>
            <w:bookmarkStart w:id="991" w:name="xdx_900_ecustom--CumulativeNetLossesOnFi"/>
            <w:bookmarkEnd w:id="991"/>
            <w:r>
              <w:rPr/>
              <w:t>10.0% - 21.7%</w:t>
            </w:r>
          </w:p>
        </w:tc>
        <w:tc>
          <w:tcPr>
            <w:tcW w:w="60"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center"/>
              <w:rPr/>
            </w:pPr>
            <w:bookmarkStart w:id="992" w:name="xdx_909_ecustom--CumulativeNetLossesOnFi"/>
            <w:bookmarkEnd w:id="992"/>
            <w:r>
              <w:rPr/>
              <w:t>13.4% - 19.4%</w:t>
            </w:r>
          </w:p>
        </w:tc>
      </w:tr>
    </w:tbl>
    <w:p>
      <w:pPr>
        <w:pStyle w:val="TextBody"/>
        <w:bidi w:val="0"/>
        <w:spacing w:before="0" w:after="0"/>
        <w:ind w:left="0" w:right="0" w:firstLine="144"/>
        <w:jc w:val="both"/>
        <w:rPr>
          <w:caps w:val="false"/>
          <w:smallCaps w:val="false"/>
        </w:rPr>
      </w:pPr>
      <w:bookmarkStart w:id="993" w:name="xdx_8A9_zqUZhbHpT8C8"/>
      <w:bookmarkEnd w:id="993"/>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delinquency status of these finance receivables measured at fair value as of September 30, 2023 and December 31, 2022:</w:t>
      </w:r>
    </w:p>
    <w:p>
      <w:pPr>
        <w:pStyle w:val="Normal"/>
        <w:bidi w:val="0"/>
        <w:spacing w:before="0" w:after="0"/>
        <w:jc w:val="left"/>
        <w:rPr>
          <w:sz w:val="4"/>
          <w:szCs w:val="4"/>
        </w:rPr>
      </w:pPr>
      <w:r>
        <w:rPr>
          <w:sz w:val="4"/>
          <w:szCs w:val="4"/>
        </w:rPr>
      </w:r>
      <w:bookmarkStart w:id="994" w:name="xdx_89C_ecustom--ScheduleOfDelinquencySt"/>
      <w:bookmarkStart w:id="995" w:name="xdx_89C_ecustom--ScheduleOfDelinquencySt"/>
      <w:bookmarkEnd w:id="995"/>
    </w:p>
    <w:tbl>
      <w:tblPr>
        <w:tblW w:w="10205" w:type="dxa"/>
        <w:jc w:val="left"/>
        <w:tblInd w:w="0" w:type="dxa"/>
        <w:tblLayout w:type="fixed"/>
        <w:tblCellMar>
          <w:top w:w="0" w:type="dxa"/>
          <w:left w:w="0" w:type="dxa"/>
          <w:bottom w:w="0" w:type="dxa"/>
          <w:right w:w="0" w:type="dxa"/>
        </w:tblCellMar>
      </w:tblPr>
      <w:tblGrid>
        <w:gridCol w:w="7076"/>
        <w:gridCol w:w="60"/>
        <w:gridCol w:w="183"/>
        <w:gridCol w:w="1283"/>
        <w:gridCol w:w="60"/>
        <w:gridCol w:w="60"/>
        <w:gridCol w:w="175"/>
        <w:gridCol w:w="1232"/>
        <w:gridCol w:w="76"/>
      </w:tblGrid>
      <w:tr>
        <w:trPr/>
        <w:tc>
          <w:tcPr>
            <w:tcW w:w="7076" w:type="dxa"/>
            <w:tcBorders/>
            <w:vAlign w:val="center"/>
          </w:tcPr>
          <w:p>
            <w:pPr>
              <w:pStyle w:val="TableContents"/>
              <w:bidi w:val="0"/>
              <w:spacing w:before="0" w:after="283"/>
              <w:jc w:val="left"/>
              <w:rPr/>
            </w:pPr>
            <w:bookmarkStart w:id="996" w:name="xdx_8BB_zFsWR9ZGD4z1"/>
            <w:bookmarkEnd w:id="996"/>
            <w:r>
              <w:rPr/>
              <w:t>Schedule of delinquency status of finance receivables measured at fair value</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r>
      <w:tr>
        <w:trPr/>
        <w:tc>
          <w:tcPr>
            <w:tcW w:w="70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76" w:type="dxa"/>
            <w:tcBorders/>
            <w:vAlign w:val="center"/>
          </w:tcPr>
          <w:p>
            <w:pPr>
              <w:pStyle w:val="TableContents"/>
              <w:bidi w:val="0"/>
              <w:spacing w:before="0" w:after="283"/>
              <w:jc w:val="left"/>
              <w:rPr/>
            </w:pPr>
            <w:r>
              <w:rPr/>
              <w:t> </w:t>
            </w:r>
          </w:p>
        </w:tc>
      </w:tr>
      <w:tr>
        <w:trPr/>
        <w:tc>
          <w:tcPr>
            <w:tcW w:w="70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76" w:type="dxa"/>
            <w:tcBorders/>
            <w:vAlign w:val="center"/>
          </w:tcPr>
          <w:p>
            <w:pPr>
              <w:pStyle w:val="TableContents"/>
              <w:bidi w:val="0"/>
              <w:spacing w:before="0" w:after="283"/>
              <w:jc w:val="left"/>
              <w:rPr/>
            </w:pPr>
            <w:r>
              <w:rPr/>
              <w:t> </w:t>
            </w:r>
          </w:p>
        </w:tc>
      </w:tr>
      <w:tr>
        <w:trPr/>
        <w:tc>
          <w:tcPr>
            <w:tcW w:w="70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93" w:type="dxa"/>
            <w:gridSpan w:val="6"/>
            <w:tcBorders/>
            <w:vAlign w:val="center"/>
          </w:tcPr>
          <w:p>
            <w:pPr>
              <w:pStyle w:val="TableContents"/>
              <w:bidi w:val="0"/>
              <w:spacing w:before="0" w:after="283"/>
              <w:jc w:val="center"/>
              <w:rPr>
                <w:b/>
              </w:rPr>
            </w:pPr>
            <w:r>
              <w:rPr>
                <w:b/>
              </w:rPr>
              <w:t>(In thousands)</w:t>
            </w:r>
          </w:p>
        </w:tc>
        <w:tc>
          <w:tcPr>
            <w:tcW w:w="76" w:type="dxa"/>
            <w:tcBorders/>
            <w:vAlign w:val="center"/>
          </w:tcPr>
          <w:p>
            <w:pPr>
              <w:pStyle w:val="TableContents"/>
              <w:bidi w:val="0"/>
              <w:spacing w:before="0" w:after="283"/>
              <w:jc w:val="left"/>
              <w:rPr/>
            </w:pPr>
            <w:r>
              <w:rPr/>
              <w:t> </w:t>
            </w:r>
          </w:p>
        </w:tc>
      </w:tr>
      <w:tr>
        <w:trPr/>
        <w:tc>
          <w:tcPr>
            <w:tcW w:w="7076" w:type="dxa"/>
            <w:tcBorders/>
            <w:shd w:fill="EEEEEE" w:val="clear"/>
            <w:vAlign w:val="center"/>
          </w:tcPr>
          <w:p>
            <w:pPr>
              <w:pStyle w:val="TableContents"/>
              <w:bidi w:val="0"/>
              <w:spacing w:before="0" w:after="283"/>
              <w:jc w:val="left"/>
              <w:rPr/>
            </w:pPr>
            <w:r>
              <w:rPr/>
              <w:t>Delinquency Status</w:t>
            </w:r>
          </w:p>
        </w:tc>
        <w:tc>
          <w:tcPr>
            <w:tcW w:w="60"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 </w:t>
            </w:r>
          </w:p>
        </w:tc>
        <w:tc>
          <w:tcPr>
            <w:tcW w:w="1283"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1232" w:type="dxa"/>
            <w:tcBorders/>
            <w:shd w:fill="EEEEEE" w:val="clear"/>
            <w:vAlign w:val="center"/>
          </w:tcPr>
          <w:p>
            <w:pPr>
              <w:pStyle w:val="TableContents"/>
              <w:bidi w:val="0"/>
              <w:spacing w:before="0" w:after="283"/>
              <w:jc w:val="right"/>
              <w:rPr/>
            </w:pPr>
            <w:r>
              <w:rPr/>
              <w:t> </w:t>
            </w:r>
          </w:p>
        </w:tc>
        <w:tc>
          <w:tcPr>
            <w:tcW w:w="76" w:type="dxa"/>
            <w:tcBorders/>
            <w:shd w:fill="EEEEEE" w:val="clear"/>
            <w:vAlign w:val="center"/>
          </w:tcPr>
          <w:p>
            <w:pPr>
              <w:pStyle w:val="TableContents"/>
              <w:bidi w:val="0"/>
              <w:spacing w:before="0" w:after="283"/>
              <w:jc w:val="left"/>
              <w:rPr/>
            </w:pPr>
            <w:r>
              <w:rPr/>
              <w:t> </w:t>
            </w:r>
          </w:p>
        </w:tc>
      </w:tr>
      <w:tr>
        <w:trPr/>
        <w:tc>
          <w:tcPr>
            <w:tcW w:w="7076" w:type="dxa"/>
            <w:tcBorders/>
            <w:shd w:fill="FFFFFF" w:val="clear"/>
            <w:vAlign w:val="center"/>
          </w:tcPr>
          <w:p>
            <w:pPr>
              <w:pStyle w:val="TableContents"/>
              <w:bidi w:val="0"/>
              <w:spacing w:before="0" w:after="283"/>
              <w:jc w:val="left"/>
              <w:rPr/>
            </w:pPr>
            <w:r>
              <w:rPr/>
              <w:t>Current</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w:t>
            </w:r>
            <w:bookmarkStart w:id="997" w:name="xdx_985_ecustom--FinanceReceivablesMeasu"/>
            <w:bookmarkEnd w:id="997"/>
          </w:p>
        </w:tc>
        <w:tc>
          <w:tcPr>
            <w:tcW w:w="1283" w:type="dxa"/>
            <w:tcBorders/>
            <w:shd w:fill="FFFFFF" w:val="clear"/>
            <w:vAlign w:val="center"/>
          </w:tcPr>
          <w:p>
            <w:pPr>
              <w:pStyle w:val="TableContents"/>
              <w:bidi w:val="0"/>
              <w:spacing w:before="0" w:after="283"/>
              <w:jc w:val="right"/>
              <w:rPr/>
            </w:pPr>
            <w:r>
              <w:rPr/>
              <w:t>2,525,830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w:t>
            </w:r>
            <w:bookmarkStart w:id="998" w:name="xdx_98D_ecustom--FinanceReceivablesMeasu"/>
            <w:bookmarkEnd w:id="998"/>
          </w:p>
        </w:tc>
        <w:tc>
          <w:tcPr>
            <w:tcW w:w="1232" w:type="dxa"/>
            <w:tcBorders/>
            <w:shd w:fill="FFFFFF" w:val="clear"/>
            <w:vAlign w:val="center"/>
          </w:tcPr>
          <w:p>
            <w:pPr>
              <w:pStyle w:val="TableContents"/>
              <w:bidi w:val="0"/>
              <w:spacing w:before="0" w:after="283"/>
              <w:jc w:val="right"/>
              <w:rPr/>
            </w:pPr>
            <w:r>
              <w:rPr/>
              <w:t>2,375,271</w:t>
            </w:r>
          </w:p>
        </w:tc>
        <w:tc>
          <w:tcPr>
            <w:tcW w:w="76" w:type="dxa"/>
            <w:tcBorders/>
            <w:shd w:fill="FFFFFF" w:val="clear"/>
            <w:vAlign w:val="center"/>
          </w:tcPr>
          <w:p>
            <w:pPr>
              <w:pStyle w:val="TableContents"/>
              <w:bidi w:val="0"/>
              <w:spacing w:before="0" w:after="283"/>
              <w:jc w:val="left"/>
              <w:rPr/>
            </w:pPr>
            <w:r>
              <w:rPr/>
              <w:t> </w:t>
            </w:r>
          </w:p>
        </w:tc>
      </w:tr>
      <w:tr>
        <w:trPr/>
        <w:tc>
          <w:tcPr>
            <w:tcW w:w="7076" w:type="dxa"/>
            <w:tcBorders/>
            <w:shd w:fill="EEEEEE" w:val="clear"/>
            <w:vAlign w:val="center"/>
          </w:tcPr>
          <w:p>
            <w:pPr>
              <w:pStyle w:val="TableContents"/>
              <w:bidi w:val="0"/>
              <w:spacing w:before="0" w:after="283"/>
              <w:jc w:val="left"/>
              <w:rPr/>
            </w:pPr>
            <w:r>
              <w:rPr/>
              <w:t>31 - 60 days</w:t>
            </w:r>
          </w:p>
        </w:tc>
        <w:tc>
          <w:tcPr>
            <w:tcW w:w="60"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 </w:t>
            </w:r>
            <w:bookmarkStart w:id="999" w:name="xdx_98D_ecustom--FinanceReceivablesMeasu"/>
            <w:bookmarkEnd w:id="999"/>
          </w:p>
        </w:tc>
        <w:tc>
          <w:tcPr>
            <w:tcW w:w="1283" w:type="dxa"/>
            <w:tcBorders/>
            <w:shd w:fill="EEEEEE" w:val="clear"/>
            <w:vAlign w:val="center"/>
          </w:tcPr>
          <w:p>
            <w:pPr>
              <w:pStyle w:val="TableContents"/>
              <w:bidi w:val="0"/>
              <w:spacing w:before="0" w:after="283"/>
              <w:jc w:val="right"/>
              <w:rPr/>
            </w:pPr>
            <w:r>
              <w:rPr/>
              <w:t>192,735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bookmarkStart w:id="1000" w:name="xdx_985_ecustom--FinanceReceivablesMeasu"/>
            <w:bookmarkEnd w:id="1000"/>
          </w:p>
        </w:tc>
        <w:tc>
          <w:tcPr>
            <w:tcW w:w="1232" w:type="dxa"/>
            <w:tcBorders/>
            <w:shd w:fill="EEEEEE" w:val="clear"/>
            <w:vAlign w:val="center"/>
          </w:tcPr>
          <w:p>
            <w:pPr>
              <w:pStyle w:val="TableContents"/>
              <w:bidi w:val="0"/>
              <w:spacing w:before="0" w:after="283"/>
              <w:jc w:val="right"/>
              <w:rPr/>
            </w:pPr>
            <w:r>
              <w:rPr/>
              <w:t>184,968</w:t>
            </w:r>
          </w:p>
        </w:tc>
        <w:tc>
          <w:tcPr>
            <w:tcW w:w="76" w:type="dxa"/>
            <w:tcBorders/>
            <w:shd w:fill="EEEEEE" w:val="clear"/>
            <w:vAlign w:val="center"/>
          </w:tcPr>
          <w:p>
            <w:pPr>
              <w:pStyle w:val="TableContents"/>
              <w:bidi w:val="0"/>
              <w:spacing w:before="0" w:after="283"/>
              <w:jc w:val="left"/>
              <w:rPr/>
            </w:pPr>
            <w:r>
              <w:rPr/>
              <w:t> </w:t>
            </w:r>
          </w:p>
        </w:tc>
      </w:tr>
      <w:tr>
        <w:trPr/>
        <w:tc>
          <w:tcPr>
            <w:tcW w:w="7076" w:type="dxa"/>
            <w:tcBorders/>
            <w:shd w:fill="FFFFFF" w:val="clear"/>
            <w:vAlign w:val="center"/>
          </w:tcPr>
          <w:p>
            <w:pPr>
              <w:pStyle w:val="TableContents"/>
              <w:bidi w:val="0"/>
              <w:spacing w:before="0" w:after="283"/>
              <w:jc w:val="left"/>
              <w:rPr/>
            </w:pPr>
            <w:r>
              <w:rPr/>
              <w:t>61 - 90 days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bookmarkStart w:id="1001" w:name="xdx_989_ecustom--FinanceReceivablesMeasu"/>
            <w:bookmarkEnd w:id="1001"/>
          </w:p>
        </w:tc>
        <w:tc>
          <w:tcPr>
            <w:tcW w:w="1283" w:type="dxa"/>
            <w:tcBorders/>
            <w:shd w:fill="FFFFFF" w:val="clear"/>
            <w:vAlign w:val="center"/>
          </w:tcPr>
          <w:p>
            <w:pPr>
              <w:pStyle w:val="TableContents"/>
              <w:bidi w:val="0"/>
              <w:spacing w:before="0" w:after="283"/>
              <w:jc w:val="right"/>
              <w:rPr/>
            </w:pPr>
            <w:r>
              <w:rPr/>
              <w:t>90,847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bookmarkStart w:id="1002" w:name="xdx_986_ecustom--FinanceReceivablesMeasu"/>
            <w:bookmarkEnd w:id="1002"/>
          </w:p>
        </w:tc>
        <w:tc>
          <w:tcPr>
            <w:tcW w:w="1232" w:type="dxa"/>
            <w:tcBorders/>
            <w:shd w:fill="FFFFFF" w:val="clear"/>
            <w:vAlign w:val="center"/>
          </w:tcPr>
          <w:p>
            <w:pPr>
              <w:pStyle w:val="TableContents"/>
              <w:bidi w:val="0"/>
              <w:spacing w:before="0" w:after="283"/>
              <w:jc w:val="right"/>
              <w:rPr/>
            </w:pPr>
            <w:r>
              <w:rPr/>
              <w:t>72,390</w:t>
            </w:r>
          </w:p>
        </w:tc>
        <w:tc>
          <w:tcPr>
            <w:tcW w:w="76" w:type="dxa"/>
            <w:tcBorders/>
            <w:shd w:fill="FFFFFF" w:val="clear"/>
            <w:vAlign w:val="center"/>
          </w:tcPr>
          <w:p>
            <w:pPr>
              <w:pStyle w:val="TableContents"/>
              <w:bidi w:val="0"/>
              <w:spacing w:before="0" w:after="283"/>
              <w:jc w:val="left"/>
              <w:rPr/>
            </w:pPr>
            <w:r>
              <w:rPr/>
              <w:t> </w:t>
            </w:r>
          </w:p>
        </w:tc>
      </w:tr>
      <w:tr>
        <w:trPr/>
        <w:tc>
          <w:tcPr>
            <w:tcW w:w="7076" w:type="dxa"/>
            <w:tcBorders/>
            <w:shd w:fill="EEEEEE" w:val="clear"/>
            <w:vAlign w:val="center"/>
          </w:tcPr>
          <w:p>
            <w:pPr>
              <w:pStyle w:val="TableContents"/>
              <w:bidi w:val="0"/>
              <w:spacing w:before="0" w:after="283"/>
              <w:jc w:val="left"/>
              <w:rPr/>
            </w:pPr>
            <w:r>
              <w:rPr/>
              <w:t>91 + days</w:t>
            </w:r>
          </w:p>
        </w:tc>
        <w:tc>
          <w:tcPr>
            <w:tcW w:w="60"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 </w:t>
            </w:r>
            <w:bookmarkStart w:id="1003" w:name="xdx_98D_ecustom--FinanceReceivablesMeasu"/>
            <w:bookmarkEnd w:id="1003"/>
          </w:p>
        </w:tc>
        <w:tc>
          <w:tcPr>
            <w:tcW w:w="1283" w:type="dxa"/>
            <w:tcBorders/>
            <w:shd w:fill="EEEEEE" w:val="clear"/>
            <w:vAlign w:val="center"/>
          </w:tcPr>
          <w:p>
            <w:pPr>
              <w:pStyle w:val="TableContents"/>
              <w:bidi w:val="0"/>
              <w:spacing w:before="0" w:after="283"/>
              <w:jc w:val="right"/>
              <w:rPr/>
            </w:pPr>
            <w:r>
              <w:rPr/>
              <w:t>49,337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bookmarkStart w:id="1004" w:name="xdx_98A_ecustom--FinanceReceivablesMeasu"/>
            <w:bookmarkEnd w:id="1004"/>
          </w:p>
        </w:tc>
        <w:tc>
          <w:tcPr>
            <w:tcW w:w="1232" w:type="dxa"/>
            <w:tcBorders/>
            <w:shd w:fill="EEEEEE" w:val="clear"/>
            <w:vAlign w:val="center"/>
          </w:tcPr>
          <w:p>
            <w:pPr>
              <w:pStyle w:val="TableContents"/>
              <w:bidi w:val="0"/>
              <w:spacing w:before="0" w:after="283"/>
              <w:jc w:val="right"/>
              <w:rPr/>
            </w:pPr>
            <w:r>
              <w:rPr/>
              <w:t>29,048</w:t>
            </w:r>
          </w:p>
        </w:tc>
        <w:tc>
          <w:tcPr>
            <w:tcW w:w="76" w:type="dxa"/>
            <w:tcBorders/>
            <w:shd w:fill="EEEEEE" w:val="clear"/>
            <w:vAlign w:val="center"/>
          </w:tcPr>
          <w:p>
            <w:pPr>
              <w:pStyle w:val="TableContents"/>
              <w:bidi w:val="0"/>
              <w:spacing w:before="0" w:after="283"/>
              <w:jc w:val="left"/>
              <w:rPr/>
            </w:pPr>
            <w:r>
              <w:rPr/>
              <w:t> </w:t>
            </w:r>
          </w:p>
        </w:tc>
      </w:tr>
      <w:tr>
        <w:trPr/>
        <w:tc>
          <w:tcPr>
            <w:tcW w:w="7076" w:type="dxa"/>
            <w:tcBorders/>
            <w:shd w:fill="FFFFFF" w:val="clear"/>
            <w:vAlign w:val="center"/>
          </w:tcPr>
          <w:p>
            <w:pPr>
              <w:pStyle w:val="TableContents"/>
              <w:bidi w:val="0"/>
              <w:spacing w:before="0" w:after="283"/>
              <w:jc w:val="left"/>
              <w:rPr/>
            </w:pPr>
            <w:r>
              <w:rPr/>
              <w:t>Repo</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005" w:name="xdx_986_ecustom--FinanceReceivablesMeasu"/>
            <w:bookmarkEnd w:id="1005"/>
          </w:p>
        </w:tc>
        <w:tc>
          <w:tcPr>
            <w:tcW w:w="1283" w:type="dxa"/>
            <w:tcBorders>
              <w:bottom w:val="single" w:sz="8" w:space="0" w:color="000000"/>
            </w:tcBorders>
            <w:shd w:fill="FFFFFF" w:val="clear"/>
            <w:tcMar>
              <w:bottom w:w="28" w:type="dxa"/>
            </w:tcMar>
            <w:vAlign w:val="center"/>
          </w:tcPr>
          <w:p>
            <w:pPr>
              <w:pStyle w:val="TableContents"/>
              <w:bidi w:val="0"/>
              <w:spacing w:before="0" w:after="283"/>
              <w:jc w:val="right"/>
              <w:rPr/>
            </w:pPr>
            <w:r>
              <w:rPr/>
              <w:t>45,486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006" w:name="xdx_987_ecustom--FinanceReceivablesMeasu"/>
            <w:bookmarkEnd w:id="1006"/>
          </w:p>
        </w:tc>
        <w:tc>
          <w:tcPr>
            <w:tcW w:w="1232" w:type="dxa"/>
            <w:tcBorders>
              <w:bottom w:val="single" w:sz="8" w:space="0" w:color="000000"/>
            </w:tcBorders>
            <w:shd w:fill="FFFFFF" w:val="clear"/>
            <w:tcMar>
              <w:bottom w:w="28" w:type="dxa"/>
            </w:tcMar>
            <w:vAlign w:val="center"/>
          </w:tcPr>
          <w:p>
            <w:pPr>
              <w:pStyle w:val="TableContents"/>
              <w:bidi w:val="0"/>
              <w:spacing w:before="0" w:after="283"/>
              <w:jc w:val="right"/>
              <w:rPr/>
            </w:pPr>
            <w:r>
              <w:rPr/>
              <w:t>39,507</w:t>
            </w:r>
          </w:p>
        </w:tc>
        <w:tc>
          <w:tcPr>
            <w:tcW w:w="76" w:type="dxa"/>
            <w:tcBorders/>
            <w:shd w:fill="FFFFFF" w:val="clear"/>
            <w:vAlign w:val="center"/>
          </w:tcPr>
          <w:p>
            <w:pPr>
              <w:pStyle w:val="TableContents"/>
              <w:bidi w:val="0"/>
              <w:spacing w:before="0" w:after="283"/>
              <w:jc w:val="left"/>
              <w:rPr/>
            </w:pPr>
            <w:r>
              <w:rPr/>
              <w:t> </w:t>
            </w:r>
          </w:p>
        </w:tc>
      </w:tr>
      <w:tr>
        <w:trPr/>
        <w:tc>
          <w:tcPr>
            <w:tcW w:w="7076"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3"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1007" w:name="xdx_986_ecustom--FinanceReceivablesMeasu"/>
            <w:bookmarkEnd w:id="1007"/>
          </w:p>
        </w:tc>
        <w:tc>
          <w:tcPr>
            <w:tcW w:w="1283" w:type="dxa"/>
            <w:tcBorders>
              <w:bottom w:val="double" w:sz="6" w:space="0" w:color="000000"/>
            </w:tcBorders>
            <w:shd w:fill="EEEEEE" w:val="clear"/>
            <w:tcMar>
              <w:bottom w:w="28" w:type="dxa"/>
            </w:tcMar>
            <w:vAlign w:val="center"/>
          </w:tcPr>
          <w:p>
            <w:pPr>
              <w:pStyle w:val="TableContents"/>
              <w:bidi w:val="0"/>
              <w:spacing w:before="0" w:after="283"/>
              <w:jc w:val="right"/>
              <w:rPr/>
            </w:pPr>
            <w:r>
              <w:rPr/>
              <w:t>2,904,235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5"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1008" w:name="xdx_98C_ecustom--FinanceReceivablesMeasu"/>
            <w:bookmarkEnd w:id="1008"/>
          </w:p>
        </w:tc>
        <w:tc>
          <w:tcPr>
            <w:tcW w:w="1232" w:type="dxa"/>
            <w:tcBorders>
              <w:bottom w:val="double" w:sz="6" w:space="0" w:color="000000"/>
            </w:tcBorders>
            <w:shd w:fill="EEEEEE" w:val="clear"/>
            <w:tcMar>
              <w:bottom w:w="28" w:type="dxa"/>
            </w:tcMar>
            <w:vAlign w:val="center"/>
          </w:tcPr>
          <w:p>
            <w:pPr>
              <w:pStyle w:val="TableContents"/>
              <w:bidi w:val="0"/>
              <w:spacing w:before="0" w:after="283"/>
              <w:jc w:val="right"/>
              <w:rPr/>
            </w:pPr>
            <w:r>
              <w:rPr/>
              <w:t>2,701,184</w:t>
            </w:r>
          </w:p>
        </w:tc>
        <w:tc>
          <w:tcPr>
            <w:tcW w:w="76"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firstLine="144"/>
        <w:jc w:val="both"/>
        <w:rPr>
          <w:caps w:val="false"/>
          <w:smallCaps w:val="false"/>
        </w:rPr>
      </w:pPr>
      <w:bookmarkStart w:id="1009" w:name="xdx_8AD_zv5IOumKy842"/>
      <w:bookmarkEnd w:id="1009"/>
      <w:r>
        <w:rPr>
          <w:caps w:val="false"/>
          <w:smallCaps w:val="false"/>
        </w:rPr>
        <w:t> </w:t>
      </w:r>
    </w:p>
    <w:p>
      <w:pPr>
        <w:pStyle w:val="TextBody"/>
        <w:bidi w:val="0"/>
        <w:spacing w:before="0" w:after="0"/>
        <w:ind w:left="0" w:right="0" w:firstLine="144"/>
        <w:jc w:val="both"/>
        <w:rPr>
          <w:caps w:val="false"/>
          <w:smallCaps w:val="false"/>
        </w:rPr>
      </w:pPr>
      <w:bookmarkStart w:id="1010" w:name="xdx_23E_zlKrCOC2aQ4a"/>
      <w:bookmarkStart w:id="1011" w:name="xdx_239_zSz1IfAuWy84"/>
      <w:bookmarkEnd w:id="1010"/>
      <w:bookmarkEnd w:id="1011"/>
      <w:r>
        <w:rPr>
          <w:caps w:val="false"/>
          <w:smallCaps w:val="false"/>
        </w:rPr>
        <w:t> </w:t>
      </w:r>
    </w:p>
    <w:p>
      <w:pPr>
        <w:pStyle w:val="TextBody"/>
        <w:bidi w:val="0"/>
        <w:spacing w:before="0" w:after="0"/>
        <w:ind w:left="0" w:right="0" w:firstLine="144"/>
        <w:jc w:val="both"/>
        <w:rPr>
          <w:caps w:val="false"/>
          <w:smallCaps w:val="false"/>
        </w:rPr>
      </w:pPr>
      <w:bookmarkStart w:id="1012" w:name="xdx_23F_zjW3nxmUrHRi"/>
      <w:bookmarkEnd w:id="1012"/>
      <w:r>
        <w:rPr>
          <w:caps w:val="false"/>
          <w:smallCaps w:val="false"/>
        </w:rPr>
        <w:t> </w:t>
      </w:r>
    </w:p>
    <w:p>
      <w:pPr>
        <w:pStyle w:val="TextBody"/>
        <w:bidi w:val="0"/>
        <w:spacing w:before="0" w:after="0"/>
        <w:ind w:left="0" w:right="0" w:firstLine="144"/>
        <w:jc w:val="both"/>
        <w:rPr>
          <w:caps w:val="false"/>
          <w:smallCaps w:val="false"/>
        </w:rPr>
      </w:pPr>
      <w:bookmarkStart w:id="1013" w:name="xdx_233_zU7KaaWUekC3"/>
      <w:bookmarkEnd w:id="1013"/>
      <w:r>
        <w:rPr>
          <w:caps w:val="false"/>
          <w:smallCaps w:val="false"/>
        </w:rPr>
        <w:t> </w:t>
      </w:r>
    </w:p>
    <w:p>
      <w:pPr>
        <w:pStyle w:val="TextBody"/>
        <w:bidi w:val="0"/>
        <w:spacing w:before="0" w:after="0"/>
        <w:ind w:left="0" w:right="0" w:firstLine="144"/>
        <w:jc w:val="both"/>
        <w:rPr>
          <w:caps w:val="false"/>
          <w:smallCaps w:val="false"/>
        </w:rPr>
      </w:pPr>
      <w:bookmarkStart w:id="1014" w:name="xdx_238_zGgG94Byz0K4"/>
      <w:bookmarkEnd w:id="1014"/>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bookmarkStart w:id="1015" w:name="xdx_234_znEzRIp4PCm7"/>
      <w:bookmarkEnd w:id="1015"/>
      <w:r>
        <w:rPr/>
        <w:t> </w:t>
      </w:r>
    </w:p>
    <w:p>
      <w:pPr>
        <w:pStyle w:val="TextBody"/>
        <w:bidi w:val="0"/>
        <w:spacing w:before="0" w:after="0"/>
        <w:ind w:left="0" w:right="0" w:firstLine="144"/>
        <w:jc w:val="both"/>
        <w:rPr>
          <w:caps w:val="false"/>
          <w:smallCaps w:val="false"/>
        </w:rPr>
      </w:pPr>
      <w:bookmarkStart w:id="1016" w:name="xdx_231_z5cG2jsqPI6i"/>
      <w:bookmarkEnd w:id="1016"/>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17" w:name="xdx_23D_zVTdSVRBTSPj"/>
      <w:bookmarkEnd w:id="1017"/>
      <w:r>
        <w:rPr>
          <w:rFonts w:ascii="Times New Roman;Times;Serif" w:hAnsi="Times New Roman;Times;Serif"/>
          <w:b/>
          <w:i w:val="false"/>
          <w:caps w:val="false"/>
          <w:smallCaps w:val="false"/>
          <w:sz w:val="20"/>
        </w:rPr>
        <w:t>CONSUMER PORTFOLIO SERVICES,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18" w:name="xdx_233_zpatJ8Um7UT"/>
      <w:bookmarkEnd w:id="1018"/>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firstLine="144"/>
        <w:jc w:val="both"/>
        <w:rPr>
          <w:caps w:val="false"/>
          <w:smallCaps w:val="false"/>
        </w:rPr>
      </w:pPr>
      <w:bookmarkStart w:id="1019" w:name="xdx_236_ziejNs2FcsVj"/>
      <w:bookmarkEnd w:id="1019"/>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Repossessed vehicle inventory, which is included in Other Assets on our unaudited condensed consolidated balance sheet, is measured at fair value using level 2 assumptions based on our actual loss experience on sale of repossessed vehicles. At September 30, 2023 the finance receivables related to the repossessed vehicles in inventory totaled $</w:t>
      </w:r>
      <w:bookmarkStart w:id="1020" w:name="xdx_908_ecustom--RepossessedVehiclesInve"/>
      <w:bookmarkEnd w:id="1020"/>
      <w:r>
        <w:rPr>
          <w:rFonts w:ascii="Times New Roman;Times;Serif" w:hAnsi="Times New Roman;Times;Serif"/>
          <w:b w:val="false"/>
          <w:i w:val="false"/>
          <w:caps w:val="false"/>
          <w:smallCaps w:val="false"/>
          <w:sz w:val="20"/>
        </w:rPr>
        <w:t>604,000. We have applied a valuation adjustment, or loss allowance, of $</w:t>
      </w:r>
      <w:bookmarkStart w:id="1021" w:name="xdx_906_ecustom--RepossessedInventoryAll"/>
      <w:bookmarkEnd w:id="1021"/>
      <w:r>
        <w:rPr>
          <w:rFonts w:ascii="Times New Roman;Times;Serif" w:hAnsi="Times New Roman;Times;Serif"/>
          <w:b w:val="false"/>
          <w:i w:val="false"/>
          <w:caps w:val="false"/>
          <w:smallCaps w:val="false"/>
          <w:sz w:val="20"/>
        </w:rPr>
        <w:t>444,000, which is based on a recovery rate of approximately 26%, resulting in an estimated fair value and carrying amount of $</w:t>
      </w:r>
      <w:bookmarkStart w:id="1022" w:name="xdx_908_ecustom--RepossessedVehiclesInve"/>
      <w:bookmarkEnd w:id="1022"/>
      <w:r>
        <w:rPr>
          <w:rFonts w:ascii="Times New Roman;Times;Serif" w:hAnsi="Times New Roman;Times;Serif"/>
          <w:b w:val="false"/>
          <w:i w:val="false"/>
          <w:caps w:val="false"/>
          <w:smallCaps w:val="false"/>
          <w:sz w:val="20"/>
        </w:rPr>
        <w:t>160,000. The fair value and carrying amount of the repossessed inventory at December 31, 2022 was $</w:t>
      </w:r>
      <w:bookmarkStart w:id="1023" w:name="xdx_906_ecustom--RepossessedVehiclesInve"/>
      <w:bookmarkEnd w:id="1023"/>
      <w:r>
        <w:rPr>
          <w:rFonts w:ascii="Times New Roman;Times;Serif" w:hAnsi="Times New Roman;Times;Serif"/>
          <w:b w:val="false"/>
          <w:i w:val="false"/>
          <w:caps w:val="false"/>
          <w:smallCaps w:val="false"/>
          <w:sz w:val="20"/>
        </w:rPr>
        <w:t>1.9 million after applying a valuation adjustment of $</w:t>
      </w:r>
      <w:bookmarkStart w:id="1024" w:name="xdx_90F_ecustom--RepossessedInventoryAll"/>
      <w:bookmarkEnd w:id="1024"/>
      <w:r>
        <w:rPr>
          <w:rFonts w:ascii="Times New Roman;Times;Serif" w:hAnsi="Times New Roman;Times;Serif"/>
          <w:b w:val="false"/>
          <w:i w:val="false"/>
          <w:caps w:val="false"/>
          <w:smallCaps w:val="false"/>
          <w:sz w:val="20"/>
        </w:rPr>
        <w:t>1.3 million.</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transfers in or out of level 1, level 2 or level 3 assets and liabilities for the three months ended September 30, 2023 and 2022.</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fair values of financial assets and liabilities at September 30, 2023 and December 31, 2022, were as follows:</w:t>
      </w:r>
    </w:p>
    <w:p>
      <w:pPr>
        <w:pStyle w:val="Normal"/>
        <w:bidi w:val="0"/>
        <w:spacing w:before="0" w:after="0"/>
        <w:jc w:val="left"/>
        <w:rPr>
          <w:sz w:val="4"/>
          <w:szCs w:val="4"/>
        </w:rPr>
      </w:pPr>
      <w:r>
        <w:rPr>
          <w:sz w:val="4"/>
          <w:szCs w:val="4"/>
        </w:rPr>
      </w:r>
      <w:bookmarkStart w:id="1025" w:name="xdx_89E_eus-gaap--FairValueByBalanceShee"/>
      <w:bookmarkStart w:id="1026" w:name="xdx_89E_eus-gaap--FairValueByBalanceShee"/>
      <w:bookmarkEnd w:id="1026"/>
    </w:p>
    <w:tbl>
      <w:tblPr>
        <w:tblW w:w="10205" w:type="dxa"/>
        <w:jc w:val="left"/>
        <w:tblInd w:w="0" w:type="dxa"/>
        <w:tblLayout w:type="fixed"/>
        <w:tblCellMar>
          <w:top w:w="0" w:type="dxa"/>
          <w:left w:w="0" w:type="dxa"/>
          <w:bottom w:w="0" w:type="dxa"/>
          <w:right w:w="0" w:type="dxa"/>
        </w:tblCellMar>
      </w:tblPr>
      <w:tblGrid>
        <w:gridCol w:w="4189"/>
        <w:gridCol w:w="60"/>
        <w:gridCol w:w="140"/>
        <w:gridCol w:w="980"/>
        <w:gridCol w:w="60"/>
        <w:gridCol w:w="60"/>
        <w:gridCol w:w="165"/>
        <w:gridCol w:w="946"/>
        <w:gridCol w:w="70"/>
        <w:gridCol w:w="70"/>
        <w:gridCol w:w="339"/>
        <w:gridCol w:w="341"/>
        <w:gridCol w:w="70"/>
        <w:gridCol w:w="70"/>
        <w:gridCol w:w="165"/>
        <w:gridCol w:w="1159"/>
        <w:gridCol w:w="60"/>
        <w:gridCol w:w="60"/>
        <w:gridCol w:w="140"/>
        <w:gridCol w:w="980"/>
        <w:gridCol w:w="81"/>
      </w:tblGrid>
      <w:tr>
        <w:trPr/>
        <w:tc>
          <w:tcPr>
            <w:tcW w:w="4189" w:type="dxa"/>
            <w:tcBorders/>
            <w:vAlign w:val="center"/>
          </w:tcPr>
          <w:p>
            <w:pPr>
              <w:pStyle w:val="TableContents"/>
              <w:bidi w:val="0"/>
              <w:spacing w:before="0" w:after="283"/>
              <w:jc w:val="left"/>
              <w:rPr/>
            </w:pPr>
            <w:bookmarkStart w:id="1027" w:name="xdx_8B6_zLX1UVb4rXh"/>
            <w:bookmarkEnd w:id="1027"/>
            <w:r>
              <w:rPr/>
              <w:t>Schedule of estimated fair values of financial assets and liabilities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bookmarkStart w:id="1028" w:name="xdx_49C_20230930__us-gaap--FairValueByAs"/>
            <w:bookmarkEnd w:id="1028"/>
          </w:p>
        </w:tc>
        <w:tc>
          <w:tcPr>
            <w:tcW w:w="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bookmarkStart w:id="1029" w:name="xdx_49B_20230930__us-gaap--FairValueByFa"/>
            <w:bookmarkEnd w:id="1029"/>
          </w:p>
        </w:tc>
        <w:tc>
          <w:tcPr>
            <w:tcW w:w="946" w:type="dxa"/>
            <w:tcBorders/>
            <w:vAlign w:val="center"/>
          </w:tcPr>
          <w:p>
            <w:pPr>
              <w:pStyle w:val="TableContents"/>
              <w:bidi w:val="0"/>
              <w:spacing w:before="0" w:after="283"/>
              <w:jc w:val="center"/>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pPr>
            <w:r>
              <w:rPr/>
              <w:t> </w:t>
            </w:r>
            <w:bookmarkStart w:id="1030" w:name="xdx_491_20230930__us-gaap--FairValueByFa"/>
            <w:bookmarkEnd w:id="1030"/>
          </w:p>
        </w:tc>
        <w:tc>
          <w:tcPr>
            <w:tcW w:w="341" w:type="dxa"/>
            <w:tcBorders/>
            <w:vAlign w:val="center"/>
          </w:tcPr>
          <w:p>
            <w:pPr>
              <w:pStyle w:val="TableContents"/>
              <w:bidi w:val="0"/>
              <w:spacing w:before="0" w:after="283"/>
              <w:jc w:val="center"/>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bookmarkStart w:id="1031" w:name="xdx_49E_20230930__us-gaap--FairValueByFa"/>
            <w:bookmarkEnd w:id="1031"/>
          </w:p>
        </w:tc>
        <w:tc>
          <w:tcPr>
            <w:tcW w:w="115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bookmarkStart w:id="1032" w:name="xdx_495_20230930_zm60qye48aCi"/>
            <w:bookmarkEnd w:id="1032"/>
          </w:p>
        </w:tc>
        <w:tc>
          <w:tcPr>
            <w:tcW w:w="980"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left"/>
              <w:rPr/>
            </w:pPr>
            <w:r>
              <w:rPr/>
              <w:t> </w:t>
            </w:r>
          </w:p>
        </w:tc>
      </w:tr>
      <w:tr>
        <w:trPr/>
        <w:tc>
          <w:tcPr>
            <w:tcW w:w="41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75"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As of September 30, 2023</w:t>
            </w:r>
          </w:p>
        </w:tc>
        <w:tc>
          <w:tcPr>
            <w:tcW w:w="81" w:type="dxa"/>
            <w:tcBorders/>
            <w:vAlign w:val="center"/>
          </w:tcPr>
          <w:p>
            <w:pPr>
              <w:pStyle w:val="TableContents"/>
              <w:bidi w:val="0"/>
              <w:spacing w:before="0" w:after="283"/>
              <w:jc w:val="left"/>
              <w:rPr/>
            </w:pPr>
            <w:r>
              <w:rPr/>
              <w:t> </w:t>
            </w:r>
          </w:p>
        </w:tc>
      </w:tr>
      <w:tr>
        <w:trPr/>
        <w:tc>
          <w:tcPr>
            <w:tcW w:w="4189" w:type="dxa"/>
            <w:tcBorders>
              <w:bottom w:val="single" w:sz="8" w:space="0" w:color="000000"/>
            </w:tcBorders>
            <w:tcMar>
              <w:bottom w:w="28" w:type="dxa"/>
            </w:tcMar>
            <w:vAlign w:val="center"/>
          </w:tcPr>
          <w:p>
            <w:pPr>
              <w:pStyle w:val="TableContents"/>
              <w:bidi w:val="0"/>
              <w:spacing w:before="0" w:after="283"/>
              <w:jc w:val="left"/>
              <w:rPr>
                <w:b/>
              </w:rPr>
            </w:pPr>
            <w:r>
              <w:rPr>
                <w:b/>
              </w:rPr>
              <w:t>Financial Instrument</w:t>
            </w:r>
          </w:p>
        </w:tc>
        <w:tc>
          <w:tcPr>
            <w:tcW w:w="60" w:type="dxa"/>
            <w:tcBorders/>
            <w:vAlign w:val="center"/>
          </w:tcPr>
          <w:p>
            <w:pPr>
              <w:pStyle w:val="TableContents"/>
              <w:bidi w:val="0"/>
              <w:spacing w:before="0" w:after="283"/>
              <w:jc w:val="left"/>
              <w:rPr/>
            </w:pPr>
            <w:r>
              <w:rPr/>
              <w:t> </w:t>
            </w:r>
          </w:p>
        </w:tc>
        <w:tc>
          <w:tcPr>
            <w:tcW w:w="5875"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(In thousands)</w:t>
            </w:r>
          </w:p>
        </w:tc>
        <w:tc>
          <w:tcPr>
            <w:tcW w:w="81" w:type="dxa"/>
            <w:tcBorders/>
            <w:vAlign w:val="center"/>
          </w:tcPr>
          <w:p>
            <w:pPr>
              <w:pStyle w:val="TableContents"/>
              <w:bidi w:val="0"/>
              <w:spacing w:before="0" w:after="283"/>
              <w:jc w:val="left"/>
              <w:rPr/>
            </w:pPr>
            <w:r>
              <w:rPr/>
              <w:t> </w:t>
            </w:r>
          </w:p>
        </w:tc>
      </w:tr>
      <w:tr>
        <w:trPr/>
        <w:tc>
          <w:tcPr>
            <w:tcW w:w="41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Carrying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9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Fair Value Measurements Using: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r>
      <w:tr>
        <w:trPr/>
        <w:tc>
          <w:tcPr>
            <w:tcW w:w="41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3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81" w:type="dxa"/>
            <w:tcBorders/>
            <w:vAlign w:val="center"/>
          </w:tcPr>
          <w:p>
            <w:pPr>
              <w:pStyle w:val="TableContents"/>
              <w:bidi w:val="0"/>
              <w:spacing w:before="0" w:after="283"/>
              <w:jc w:val="left"/>
              <w:rPr/>
            </w:pPr>
            <w:r>
              <w:rPr/>
              <w:t> </w:t>
            </w:r>
          </w:p>
        </w:tc>
      </w:tr>
      <w:tr>
        <w:trPr/>
        <w:tc>
          <w:tcPr>
            <w:tcW w:w="4189"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1" w:type="dxa"/>
            <w:gridSpan w:val="2"/>
            <w:tcBorders/>
            <w:vAlign w:val="center"/>
          </w:tcPr>
          <w:p>
            <w:pPr>
              <w:pStyle w:val="TableContents"/>
              <w:bidi w:val="0"/>
              <w:spacing w:before="0" w:after="283"/>
              <w:jc w:val="center"/>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center"/>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32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left"/>
              <w:rPr/>
            </w:pPr>
            <w:r>
              <w:rPr/>
              <w:t> </w:t>
            </w:r>
            <w:bookmarkStart w:id="1033" w:name="xdx_40E_eus-gaap--CashAndCashEquivalents"/>
            <w:bookmarkEnd w:id="1033"/>
          </w:p>
        </w:tc>
      </w:tr>
      <w:tr>
        <w:trPr/>
        <w:tc>
          <w:tcPr>
            <w:tcW w:w="4189" w:type="dxa"/>
            <w:tcBorders/>
            <w:shd w:fill="EEEEEE" w:val="clear"/>
            <w:vAlign w:val="center"/>
          </w:tcPr>
          <w:p>
            <w:pPr>
              <w:pStyle w:val="TableContents"/>
              <w:bidi w:val="0"/>
              <w:spacing w:before="0" w:after="283"/>
              <w:jc w:val="left"/>
              <w:rPr/>
            </w:pPr>
            <w:r>
              <w:rPr/>
              <w:t>Cash and cash equivalents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8,306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w:t>
            </w:r>
          </w:p>
        </w:tc>
        <w:tc>
          <w:tcPr>
            <w:tcW w:w="946" w:type="dxa"/>
            <w:tcBorders/>
            <w:shd w:fill="EEEEEE" w:val="clear"/>
            <w:vAlign w:val="center"/>
          </w:tcPr>
          <w:p>
            <w:pPr>
              <w:pStyle w:val="TableContents"/>
              <w:bidi w:val="0"/>
              <w:spacing w:before="0" w:after="283"/>
              <w:jc w:val="right"/>
              <w:rPr/>
            </w:pPr>
            <w:r>
              <w:rPr/>
              <w:t>8,306</w:t>
            </w:r>
          </w:p>
        </w:tc>
        <w:tc>
          <w:tcPr>
            <w:tcW w:w="70" w:type="dxa"/>
            <w:tcBorders/>
            <w:shd w:fill="EEEEEE" w:val="clear"/>
            <w:vAlign w:val="center"/>
          </w:tcPr>
          <w:p>
            <w:pPr>
              <w:pStyle w:val="TableContents"/>
              <w:bidi w:val="0"/>
              <w:spacing w:before="0" w:after="283"/>
              <w:jc w:val="left"/>
              <w:rPr/>
            </w:pPr>
            <w:r>
              <w:rPr/>
              <w:t> </w:t>
            </w:r>
          </w:p>
        </w:tc>
        <w:tc>
          <w:tcPr>
            <w:tcW w:w="70" w:type="dxa"/>
            <w:tcBorders/>
            <w:shd w:fill="EEEEEE" w:val="clear"/>
            <w:vAlign w:val="center"/>
          </w:tcPr>
          <w:p>
            <w:pPr>
              <w:pStyle w:val="TableContents"/>
              <w:bidi w:val="0"/>
              <w:spacing w:before="0" w:after="283"/>
              <w:jc w:val="left"/>
              <w:rPr/>
            </w:pPr>
            <w:r>
              <w:rPr/>
              <w:t> </w:t>
            </w:r>
          </w:p>
        </w:tc>
        <w:tc>
          <w:tcPr>
            <w:tcW w:w="339" w:type="dxa"/>
            <w:tcBorders/>
            <w:shd w:fill="EEEEEE" w:val="clear"/>
            <w:vAlign w:val="center"/>
          </w:tcPr>
          <w:p>
            <w:pPr>
              <w:pStyle w:val="TableContents"/>
              <w:bidi w:val="0"/>
              <w:spacing w:before="0" w:after="283"/>
              <w:jc w:val="left"/>
              <w:rPr/>
            </w:pPr>
            <w:r>
              <w:rPr/>
              <w:t>$</w:t>
            </w:r>
          </w:p>
        </w:tc>
        <w:tc>
          <w:tcPr>
            <w:tcW w:w="341" w:type="dxa"/>
            <w:tcBorders/>
            <w:shd w:fill="EEEEEE" w:val="clear"/>
            <w:vAlign w:val="center"/>
          </w:tcPr>
          <w:p>
            <w:pPr>
              <w:pStyle w:val="TableContents"/>
              <w:bidi w:val="0"/>
              <w:spacing w:before="0" w:after="283"/>
              <w:jc w:val="right"/>
              <w:rPr/>
            </w:pPr>
            <w:r>
              <w:rPr/>
              <w:t>–</w:t>
            </w:r>
          </w:p>
        </w:tc>
        <w:tc>
          <w:tcPr>
            <w:tcW w:w="70" w:type="dxa"/>
            <w:tcBorders/>
            <w:shd w:fill="EEEEEE" w:val="clear"/>
            <w:vAlign w:val="center"/>
          </w:tcPr>
          <w:p>
            <w:pPr>
              <w:pStyle w:val="TableContents"/>
              <w:bidi w:val="0"/>
              <w:spacing w:before="0" w:after="283"/>
              <w:jc w:val="left"/>
              <w:rPr/>
            </w:pPr>
            <w:r>
              <w:rPr/>
              <w:t> </w:t>
            </w:r>
          </w:p>
        </w:tc>
        <w:tc>
          <w:tcPr>
            <w:tcW w:w="7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w:t>
            </w:r>
          </w:p>
        </w:tc>
        <w:tc>
          <w:tcPr>
            <w:tcW w:w="1159"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8,306</w:t>
            </w:r>
          </w:p>
        </w:tc>
        <w:tc>
          <w:tcPr>
            <w:tcW w:w="81" w:type="dxa"/>
            <w:tcBorders/>
            <w:shd w:fill="EEEEEE" w:val="clear"/>
            <w:vAlign w:val="center"/>
          </w:tcPr>
          <w:p>
            <w:pPr>
              <w:pStyle w:val="TableContents"/>
              <w:bidi w:val="0"/>
              <w:spacing w:before="0" w:after="283"/>
              <w:jc w:val="left"/>
              <w:rPr/>
            </w:pPr>
            <w:r>
              <w:rPr/>
              <w:t> </w:t>
            </w:r>
            <w:bookmarkStart w:id="1034" w:name="xdx_40F_eus-gaap--RestrictedCashAndCashE"/>
            <w:bookmarkEnd w:id="1034"/>
          </w:p>
        </w:tc>
      </w:tr>
      <w:tr>
        <w:trPr/>
        <w:tc>
          <w:tcPr>
            <w:tcW w:w="4189" w:type="dxa"/>
            <w:tcBorders/>
            <w:shd w:fill="FFFFFF" w:val="clear"/>
            <w:vAlign w:val="center"/>
          </w:tcPr>
          <w:p>
            <w:pPr>
              <w:pStyle w:val="TableContents"/>
              <w:bidi w:val="0"/>
              <w:spacing w:before="0" w:after="283"/>
              <w:jc w:val="left"/>
              <w:rPr/>
            </w:pPr>
            <w:r>
              <w:rPr/>
              <w:t>Restricted cash and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133,787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133,787</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133,787</w:t>
            </w:r>
          </w:p>
        </w:tc>
        <w:tc>
          <w:tcPr>
            <w:tcW w:w="81" w:type="dxa"/>
            <w:tcBorders/>
            <w:shd w:fill="FFFFFF" w:val="clear"/>
            <w:vAlign w:val="center"/>
          </w:tcPr>
          <w:p>
            <w:pPr>
              <w:pStyle w:val="TableContents"/>
              <w:bidi w:val="0"/>
              <w:spacing w:before="0" w:after="283"/>
              <w:jc w:val="left"/>
              <w:rPr/>
            </w:pPr>
            <w:r>
              <w:rPr/>
              <w:t> </w:t>
            </w:r>
            <w:bookmarkStart w:id="1035" w:name="xdx_40C_ecustom--FinanceReceivablesFairV"/>
            <w:bookmarkEnd w:id="1035"/>
          </w:p>
        </w:tc>
      </w:tr>
      <w:tr>
        <w:trPr/>
        <w:tc>
          <w:tcPr>
            <w:tcW w:w="4189" w:type="dxa"/>
            <w:tcBorders/>
            <w:shd w:fill="EEEEEE" w:val="clear"/>
            <w:vAlign w:val="center"/>
          </w:tcPr>
          <w:p>
            <w:pPr>
              <w:pStyle w:val="TableContents"/>
              <w:bidi w:val="0"/>
              <w:spacing w:before="0" w:after="283"/>
              <w:jc w:val="left"/>
              <w:rPr/>
            </w:pPr>
            <w:r>
              <w:rPr/>
              <w:t>Finance receivables, net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34,265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946" w:type="dxa"/>
            <w:tcBorders/>
            <w:shd w:fill="EEEEEE" w:val="clear"/>
            <w:vAlign w:val="center"/>
          </w:tcPr>
          <w:p>
            <w:pPr>
              <w:pStyle w:val="TableContents"/>
              <w:bidi w:val="0"/>
              <w:spacing w:before="0" w:after="283"/>
              <w:jc w:val="right"/>
              <w:rPr/>
            </w:pPr>
            <w:r>
              <w:rPr/>
              <w:t>–</w:t>
            </w:r>
          </w:p>
        </w:tc>
        <w:tc>
          <w:tcPr>
            <w:tcW w:w="70" w:type="dxa"/>
            <w:tcBorders/>
            <w:shd w:fill="EEEEEE" w:val="clear"/>
            <w:vAlign w:val="center"/>
          </w:tcPr>
          <w:p>
            <w:pPr>
              <w:pStyle w:val="TableContents"/>
              <w:bidi w:val="0"/>
              <w:spacing w:before="0" w:after="283"/>
              <w:jc w:val="left"/>
              <w:rPr/>
            </w:pPr>
            <w:r>
              <w:rPr/>
              <w:t> </w:t>
            </w:r>
          </w:p>
        </w:tc>
        <w:tc>
          <w:tcPr>
            <w:tcW w:w="70" w:type="dxa"/>
            <w:tcBorders/>
            <w:shd w:fill="EEEEEE" w:val="clear"/>
            <w:vAlign w:val="center"/>
          </w:tcPr>
          <w:p>
            <w:pPr>
              <w:pStyle w:val="TableContents"/>
              <w:bidi w:val="0"/>
              <w:spacing w:before="0" w:after="283"/>
              <w:jc w:val="left"/>
              <w:rPr/>
            </w:pPr>
            <w:r>
              <w:rPr/>
              <w:t> </w:t>
            </w:r>
          </w:p>
        </w:tc>
        <w:tc>
          <w:tcPr>
            <w:tcW w:w="339" w:type="dxa"/>
            <w:tcBorders/>
            <w:shd w:fill="EEEEEE" w:val="clear"/>
            <w:vAlign w:val="center"/>
          </w:tcPr>
          <w:p>
            <w:pPr>
              <w:pStyle w:val="TableContents"/>
              <w:bidi w:val="0"/>
              <w:spacing w:before="0" w:after="283"/>
              <w:jc w:val="left"/>
              <w:rPr/>
            </w:pPr>
            <w:r>
              <w:rPr/>
              <w:t> </w:t>
            </w:r>
          </w:p>
        </w:tc>
        <w:tc>
          <w:tcPr>
            <w:tcW w:w="341" w:type="dxa"/>
            <w:tcBorders/>
            <w:shd w:fill="EEEEEE" w:val="clear"/>
            <w:vAlign w:val="center"/>
          </w:tcPr>
          <w:p>
            <w:pPr>
              <w:pStyle w:val="TableContents"/>
              <w:bidi w:val="0"/>
              <w:spacing w:before="0" w:after="283"/>
              <w:jc w:val="right"/>
              <w:rPr/>
            </w:pPr>
            <w:r>
              <w:rPr/>
              <w:t>–</w:t>
            </w:r>
          </w:p>
        </w:tc>
        <w:tc>
          <w:tcPr>
            <w:tcW w:w="70" w:type="dxa"/>
            <w:tcBorders/>
            <w:shd w:fill="EEEEEE" w:val="clear"/>
            <w:vAlign w:val="center"/>
          </w:tcPr>
          <w:p>
            <w:pPr>
              <w:pStyle w:val="TableContents"/>
              <w:bidi w:val="0"/>
              <w:spacing w:before="0" w:after="283"/>
              <w:jc w:val="left"/>
              <w:rPr/>
            </w:pPr>
            <w:r>
              <w:rPr/>
              <w:t> </w:t>
            </w:r>
          </w:p>
        </w:tc>
        <w:tc>
          <w:tcPr>
            <w:tcW w:w="7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1159" w:type="dxa"/>
            <w:tcBorders/>
            <w:shd w:fill="EEEEEE" w:val="clear"/>
            <w:vAlign w:val="center"/>
          </w:tcPr>
          <w:p>
            <w:pPr>
              <w:pStyle w:val="TableContents"/>
              <w:bidi w:val="0"/>
              <w:spacing w:before="0" w:after="283"/>
              <w:jc w:val="right"/>
              <w:rPr/>
            </w:pPr>
            <w:r>
              <w:rPr/>
              <w:t>25,171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25,171</w:t>
            </w:r>
          </w:p>
        </w:tc>
        <w:tc>
          <w:tcPr>
            <w:tcW w:w="81" w:type="dxa"/>
            <w:tcBorders/>
            <w:shd w:fill="EEEEEE" w:val="clear"/>
            <w:vAlign w:val="center"/>
          </w:tcPr>
          <w:p>
            <w:pPr>
              <w:pStyle w:val="TableContents"/>
              <w:bidi w:val="0"/>
              <w:spacing w:before="0" w:after="283"/>
              <w:jc w:val="left"/>
              <w:rPr/>
            </w:pPr>
            <w:r>
              <w:rPr/>
              <w:t> </w:t>
            </w:r>
            <w:bookmarkStart w:id="1036" w:name="xdx_401_eus-gaap--AccruedInvestmentIncom"/>
            <w:bookmarkEnd w:id="1036"/>
          </w:p>
        </w:tc>
      </w:tr>
      <w:tr>
        <w:trPr/>
        <w:tc>
          <w:tcPr>
            <w:tcW w:w="4189" w:type="dxa"/>
            <w:tcBorders/>
            <w:shd w:fill="FFFFFF" w:val="clear"/>
            <w:vAlign w:val="center"/>
          </w:tcPr>
          <w:p>
            <w:pPr>
              <w:pStyle w:val="TableContents"/>
              <w:bidi w:val="0"/>
              <w:spacing w:before="0" w:after="283"/>
              <w:jc w:val="left"/>
              <w:rPr/>
            </w:pPr>
            <w:r>
              <w:rPr/>
              <w:t>Accrued interest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pPr>
            <w:r>
              <w:rPr/>
              <w:t>284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284</w:t>
            </w:r>
          </w:p>
        </w:tc>
        <w:tc>
          <w:tcPr>
            <w:tcW w:w="81" w:type="dxa"/>
            <w:tcBorders/>
            <w:shd w:fill="FFFFFF" w:val="clear"/>
            <w:vAlign w:val="center"/>
          </w:tcPr>
          <w:p>
            <w:pPr>
              <w:pStyle w:val="TableContents"/>
              <w:bidi w:val="0"/>
              <w:spacing w:before="0" w:after="283"/>
              <w:jc w:val="left"/>
              <w:rPr/>
            </w:pPr>
            <w:r>
              <w:rPr/>
              <w:t> </w:t>
            </w:r>
          </w:p>
        </w:tc>
      </w:tr>
      <w:tr>
        <w:trPr/>
        <w:tc>
          <w:tcPr>
            <w:tcW w:w="4189" w:type="dxa"/>
            <w:tcBorders/>
            <w:shd w:fill="EEEEEE" w:val="clear"/>
            <w:vAlign w:val="center"/>
          </w:tcPr>
          <w:p>
            <w:pPr>
              <w:pStyle w:val="TableContents"/>
              <w:bidi w:val="0"/>
              <w:spacing w:before="0" w:after="283"/>
              <w:jc w:val="left"/>
              <w:rPr>
                <w:b/>
              </w:rPr>
            </w:pPr>
            <w:r>
              <w:rPr>
                <w:b/>
              </w:rPr>
              <w:t>Liabilities: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946" w:type="dxa"/>
            <w:tcBorders/>
            <w:shd w:fill="EEEEEE" w:val="clear"/>
            <w:vAlign w:val="center"/>
          </w:tcPr>
          <w:p>
            <w:pPr>
              <w:pStyle w:val="TableContents"/>
              <w:bidi w:val="0"/>
              <w:spacing w:before="0" w:after="283"/>
              <w:jc w:val="right"/>
              <w:rPr/>
            </w:pPr>
            <w:r>
              <w:rPr/>
              <w:t> </w:t>
            </w:r>
          </w:p>
        </w:tc>
        <w:tc>
          <w:tcPr>
            <w:tcW w:w="70" w:type="dxa"/>
            <w:tcBorders/>
            <w:shd w:fill="EEEEEE" w:val="clear"/>
            <w:vAlign w:val="center"/>
          </w:tcPr>
          <w:p>
            <w:pPr>
              <w:pStyle w:val="TableContents"/>
              <w:bidi w:val="0"/>
              <w:spacing w:before="0" w:after="283"/>
              <w:jc w:val="left"/>
              <w:rPr/>
            </w:pPr>
            <w:r>
              <w:rPr/>
              <w:t> </w:t>
            </w:r>
          </w:p>
        </w:tc>
        <w:tc>
          <w:tcPr>
            <w:tcW w:w="70" w:type="dxa"/>
            <w:tcBorders/>
            <w:shd w:fill="EEEEEE" w:val="clear"/>
            <w:vAlign w:val="center"/>
          </w:tcPr>
          <w:p>
            <w:pPr>
              <w:pStyle w:val="TableContents"/>
              <w:bidi w:val="0"/>
              <w:spacing w:before="0" w:after="283"/>
              <w:jc w:val="left"/>
              <w:rPr/>
            </w:pPr>
            <w:r>
              <w:rPr/>
              <w:t> </w:t>
            </w:r>
          </w:p>
        </w:tc>
        <w:tc>
          <w:tcPr>
            <w:tcW w:w="339" w:type="dxa"/>
            <w:tcBorders/>
            <w:shd w:fill="EEEEEE" w:val="clear"/>
            <w:vAlign w:val="center"/>
          </w:tcPr>
          <w:p>
            <w:pPr>
              <w:pStyle w:val="TableContents"/>
              <w:bidi w:val="0"/>
              <w:spacing w:before="0" w:after="283"/>
              <w:jc w:val="left"/>
              <w:rPr/>
            </w:pPr>
            <w:r>
              <w:rPr/>
              <w:t> </w:t>
            </w:r>
          </w:p>
        </w:tc>
        <w:tc>
          <w:tcPr>
            <w:tcW w:w="341" w:type="dxa"/>
            <w:tcBorders/>
            <w:shd w:fill="EEEEEE" w:val="clear"/>
            <w:vAlign w:val="center"/>
          </w:tcPr>
          <w:p>
            <w:pPr>
              <w:pStyle w:val="TableContents"/>
              <w:bidi w:val="0"/>
              <w:spacing w:before="0" w:after="283"/>
              <w:jc w:val="right"/>
              <w:rPr/>
            </w:pPr>
            <w:r>
              <w:rPr/>
              <w:t> </w:t>
            </w:r>
          </w:p>
        </w:tc>
        <w:tc>
          <w:tcPr>
            <w:tcW w:w="70" w:type="dxa"/>
            <w:tcBorders/>
            <w:shd w:fill="EEEEEE" w:val="clear"/>
            <w:vAlign w:val="center"/>
          </w:tcPr>
          <w:p>
            <w:pPr>
              <w:pStyle w:val="TableContents"/>
              <w:bidi w:val="0"/>
              <w:spacing w:before="0" w:after="283"/>
              <w:jc w:val="left"/>
              <w:rPr/>
            </w:pPr>
            <w:r>
              <w:rPr/>
              <w:t> </w:t>
            </w:r>
          </w:p>
        </w:tc>
        <w:tc>
          <w:tcPr>
            <w:tcW w:w="7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1159"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81" w:type="dxa"/>
            <w:tcBorders/>
            <w:shd w:fill="EEEEEE" w:val="clear"/>
            <w:vAlign w:val="center"/>
          </w:tcPr>
          <w:p>
            <w:pPr>
              <w:pStyle w:val="TableContents"/>
              <w:bidi w:val="0"/>
              <w:spacing w:before="0" w:after="283"/>
              <w:jc w:val="left"/>
              <w:rPr/>
            </w:pPr>
            <w:r>
              <w:rPr/>
              <w:t> </w:t>
            </w:r>
            <w:bookmarkStart w:id="1037" w:name="xdx_406_eus-gaap--LinesOfCreditCurrent_i"/>
            <w:bookmarkEnd w:id="1037"/>
          </w:p>
        </w:tc>
      </w:tr>
      <w:tr>
        <w:trPr/>
        <w:tc>
          <w:tcPr>
            <w:tcW w:w="4189" w:type="dxa"/>
            <w:tcBorders/>
            <w:shd w:fill="FFFFFF" w:val="clear"/>
            <w:vAlign w:val="center"/>
          </w:tcPr>
          <w:p>
            <w:pPr>
              <w:pStyle w:val="TableContents"/>
              <w:bidi w:val="0"/>
              <w:spacing w:before="0" w:after="283"/>
              <w:jc w:val="left"/>
              <w:rPr/>
            </w:pPr>
            <w:r>
              <w:rPr/>
              <w:t>Warehouse lines of credit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240,384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w:t>
            </w:r>
          </w:p>
        </w:tc>
        <w:tc>
          <w:tcPr>
            <w:tcW w:w="946" w:type="dxa"/>
            <w:tcBorders/>
            <w:shd w:fill="FFFFFF" w:val="clear"/>
            <w:vAlign w:val="center"/>
          </w:tcPr>
          <w:p>
            <w:pPr>
              <w:pStyle w:val="TableContents"/>
              <w:bidi w:val="0"/>
              <w:spacing w:before="0" w:after="283"/>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w:t>
            </w:r>
          </w:p>
        </w:tc>
        <w:tc>
          <w:tcPr>
            <w:tcW w:w="341" w:type="dxa"/>
            <w:tcBorders/>
            <w:shd w:fill="FFFFFF" w:val="clear"/>
            <w:vAlign w:val="center"/>
          </w:tcPr>
          <w:p>
            <w:pPr>
              <w:pStyle w:val="TableContents"/>
              <w:bidi w:val="0"/>
              <w:spacing w:before="0" w:after="283"/>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w:t>
            </w:r>
          </w:p>
        </w:tc>
        <w:tc>
          <w:tcPr>
            <w:tcW w:w="1159" w:type="dxa"/>
            <w:tcBorders/>
            <w:shd w:fill="FFFFFF" w:val="clear"/>
            <w:vAlign w:val="center"/>
          </w:tcPr>
          <w:p>
            <w:pPr>
              <w:pStyle w:val="TableContents"/>
              <w:bidi w:val="0"/>
              <w:spacing w:before="0" w:after="283"/>
              <w:jc w:val="right"/>
              <w:rPr/>
            </w:pPr>
            <w:r>
              <w:rPr/>
              <w:t>240,384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240,384</w:t>
            </w:r>
          </w:p>
        </w:tc>
        <w:tc>
          <w:tcPr>
            <w:tcW w:w="81" w:type="dxa"/>
            <w:tcBorders/>
            <w:shd w:fill="FFFFFF" w:val="clear"/>
            <w:vAlign w:val="center"/>
          </w:tcPr>
          <w:p>
            <w:pPr>
              <w:pStyle w:val="TableContents"/>
              <w:bidi w:val="0"/>
              <w:spacing w:before="0" w:after="283"/>
              <w:jc w:val="left"/>
              <w:rPr/>
            </w:pPr>
            <w:r>
              <w:rPr/>
              <w:t> </w:t>
            </w:r>
            <w:bookmarkStart w:id="1038" w:name="xdx_400_ecustom--ResidualsInterestFinanc"/>
            <w:bookmarkEnd w:id="1038"/>
          </w:p>
        </w:tc>
      </w:tr>
      <w:tr>
        <w:trPr/>
        <w:tc>
          <w:tcPr>
            <w:tcW w:w="4189" w:type="dxa"/>
            <w:tcBorders/>
            <w:shd w:fill="EEEEEE" w:val="clear"/>
            <w:vAlign w:val="center"/>
          </w:tcPr>
          <w:p>
            <w:pPr>
              <w:pStyle w:val="TableContents"/>
              <w:bidi w:val="0"/>
              <w:spacing w:before="0" w:after="283"/>
              <w:jc w:val="left"/>
              <w:rPr/>
            </w:pPr>
            <w:r>
              <w:rPr/>
              <w:t>Residual interest financing</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49,812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946" w:type="dxa"/>
            <w:tcBorders/>
            <w:shd w:fill="EEEEEE" w:val="clear"/>
            <w:vAlign w:val="center"/>
          </w:tcPr>
          <w:p>
            <w:pPr>
              <w:pStyle w:val="TableContents"/>
              <w:bidi w:val="0"/>
              <w:spacing w:before="0" w:after="283"/>
              <w:jc w:val="right"/>
              <w:rPr/>
            </w:pPr>
            <w:r>
              <w:rPr/>
              <w:t> </w:t>
            </w:r>
          </w:p>
        </w:tc>
        <w:tc>
          <w:tcPr>
            <w:tcW w:w="70" w:type="dxa"/>
            <w:tcBorders/>
            <w:shd w:fill="EEEEEE" w:val="clear"/>
            <w:vAlign w:val="center"/>
          </w:tcPr>
          <w:p>
            <w:pPr>
              <w:pStyle w:val="TableContents"/>
              <w:bidi w:val="0"/>
              <w:spacing w:before="0" w:after="283"/>
              <w:jc w:val="left"/>
              <w:rPr/>
            </w:pPr>
            <w:r>
              <w:rPr/>
              <w:t> </w:t>
            </w:r>
          </w:p>
        </w:tc>
        <w:tc>
          <w:tcPr>
            <w:tcW w:w="70" w:type="dxa"/>
            <w:tcBorders/>
            <w:shd w:fill="EEEEEE" w:val="clear"/>
            <w:vAlign w:val="center"/>
          </w:tcPr>
          <w:p>
            <w:pPr>
              <w:pStyle w:val="TableContents"/>
              <w:bidi w:val="0"/>
              <w:spacing w:before="0" w:after="283"/>
              <w:jc w:val="left"/>
              <w:rPr/>
            </w:pPr>
            <w:r>
              <w:rPr/>
              <w:t> </w:t>
            </w:r>
          </w:p>
        </w:tc>
        <w:tc>
          <w:tcPr>
            <w:tcW w:w="339" w:type="dxa"/>
            <w:tcBorders/>
            <w:shd w:fill="EEEEEE" w:val="clear"/>
            <w:vAlign w:val="center"/>
          </w:tcPr>
          <w:p>
            <w:pPr>
              <w:pStyle w:val="TableContents"/>
              <w:bidi w:val="0"/>
              <w:spacing w:before="0" w:after="283"/>
              <w:jc w:val="left"/>
              <w:rPr/>
            </w:pPr>
            <w:r>
              <w:rPr/>
              <w:t> </w:t>
            </w:r>
          </w:p>
        </w:tc>
        <w:tc>
          <w:tcPr>
            <w:tcW w:w="341" w:type="dxa"/>
            <w:tcBorders/>
            <w:shd w:fill="EEEEEE" w:val="clear"/>
            <w:vAlign w:val="center"/>
          </w:tcPr>
          <w:p>
            <w:pPr>
              <w:pStyle w:val="TableContents"/>
              <w:bidi w:val="0"/>
              <w:spacing w:before="0" w:after="283"/>
              <w:jc w:val="right"/>
              <w:rPr/>
            </w:pPr>
            <w:r>
              <w:rPr/>
              <w:t> </w:t>
            </w:r>
          </w:p>
        </w:tc>
        <w:tc>
          <w:tcPr>
            <w:tcW w:w="70" w:type="dxa"/>
            <w:tcBorders/>
            <w:shd w:fill="EEEEEE" w:val="clear"/>
            <w:vAlign w:val="center"/>
          </w:tcPr>
          <w:p>
            <w:pPr>
              <w:pStyle w:val="TableContents"/>
              <w:bidi w:val="0"/>
              <w:spacing w:before="0" w:after="283"/>
              <w:jc w:val="left"/>
              <w:rPr/>
            </w:pPr>
            <w:r>
              <w:rPr/>
              <w:t> </w:t>
            </w:r>
          </w:p>
        </w:tc>
        <w:tc>
          <w:tcPr>
            <w:tcW w:w="7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1159" w:type="dxa"/>
            <w:tcBorders/>
            <w:shd w:fill="EEEEEE" w:val="clear"/>
            <w:vAlign w:val="center"/>
          </w:tcPr>
          <w:p>
            <w:pPr>
              <w:pStyle w:val="TableContents"/>
              <w:bidi w:val="0"/>
              <w:spacing w:before="0" w:after="283"/>
              <w:jc w:val="right"/>
              <w:rPr/>
            </w:pPr>
            <w:r>
              <w:rPr/>
              <w:t>49,812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49,812</w:t>
            </w:r>
          </w:p>
        </w:tc>
        <w:tc>
          <w:tcPr>
            <w:tcW w:w="81" w:type="dxa"/>
            <w:tcBorders/>
            <w:shd w:fill="EEEEEE" w:val="clear"/>
            <w:vAlign w:val="center"/>
          </w:tcPr>
          <w:p>
            <w:pPr>
              <w:pStyle w:val="TableContents"/>
              <w:bidi w:val="0"/>
              <w:spacing w:before="0" w:after="283"/>
              <w:jc w:val="left"/>
              <w:rPr/>
            </w:pPr>
            <w:r>
              <w:rPr/>
              <w:t> </w:t>
            </w:r>
            <w:bookmarkStart w:id="1039" w:name="xdx_40F_eus-gaap--AccountsPayableFairVal"/>
            <w:bookmarkEnd w:id="1039"/>
          </w:p>
        </w:tc>
      </w:tr>
      <w:tr>
        <w:trPr/>
        <w:tc>
          <w:tcPr>
            <w:tcW w:w="4189" w:type="dxa"/>
            <w:tcBorders/>
            <w:shd w:fill="FFFFFF" w:val="clear"/>
            <w:vAlign w:val="center"/>
          </w:tcPr>
          <w:p>
            <w:pPr>
              <w:pStyle w:val="TableContents"/>
              <w:bidi w:val="0"/>
              <w:spacing w:before="0" w:after="283"/>
              <w:jc w:val="left"/>
              <w:rPr/>
            </w:pPr>
            <w:r>
              <w:rPr/>
              <w:t>Accrued interest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7,468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pPr>
            <w:r>
              <w:rPr/>
              <w:t>7,468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7,468</w:t>
            </w:r>
          </w:p>
        </w:tc>
        <w:tc>
          <w:tcPr>
            <w:tcW w:w="81" w:type="dxa"/>
            <w:tcBorders/>
            <w:shd w:fill="FFFFFF" w:val="clear"/>
            <w:vAlign w:val="center"/>
          </w:tcPr>
          <w:p>
            <w:pPr>
              <w:pStyle w:val="TableContents"/>
              <w:bidi w:val="0"/>
              <w:spacing w:before="0" w:after="283"/>
              <w:jc w:val="left"/>
              <w:rPr/>
            </w:pPr>
            <w:r>
              <w:rPr/>
              <w:t> </w:t>
            </w:r>
            <w:bookmarkStart w:id="1040" w:name="xdx_40E_eus-gaap--SecuredDebt_iI_pn3n3_d"/>
            <w:bookmarkEnd w:id="1040"/>
          </w:p>
        </w:tc>
      </w:tr>
      <w:tr>
        <w:trPr/>
        <w:tc>
          <w:tcPr>
            <w:tcW w:w="4189" w:type="dxa"/>
            <w:tcBorders/>
            <w:shd w:fill="EEEEEE" w:val="clear"/>
            <w:vAlign w:val="center"/>
          </w:tcPr>
          <w:p>
            <w:pPr>
              <w:pStyle w:val="TableContents"/>
              <w:bidi w:val="0"/>
              <w:spacing w:before="0" w:after="283"/>
              <w:jc w:val="left"/>
              <w:rPr/>
            </w:pPr>
            <w:r>
              <w:rPr/>
              <w:t>Securitization trust debt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2,243,284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946" w:type="dxa"/>
            <w:tcBorders/>
            <w:shd w:fill="EEEEEE" w:val="clear"/>
            <w:vAlign w:val="center"/>
          </w:tcPr>
          <w:p>
            <w:pPr>
              <w:pStyle w:val="TableContents"/>
              <w:bidi w:val="0"/>
              <w:spacing w:before="0" w:after="283"/>
              <w:jc w:val="right"/>
              <w:rPr/>
            </w:pPr>
            <w:r>
              <w:rPr/>
              <w:t>–</w:t>
            </w:r>
          </w:p>
        </w:tc>
        <w:tc>
          <w:tcPr>
            <w:tcW w:w="70" w:type="dxa"/>
            <w:tcBorders/>
            <w:shd w:fill="EEEEEE" w:val="clear"/>
            <w:vAlign w:val="center"/>
          </w:tcPr>
          <w:p>
            <w:pPr>
              <w:pStyle w:val="TableContents"/>
              <w:bidi w:val="0"/>
              <w:spacing w:before="0" w:after="283"/>
              <w:jc w:val="left"/>
              <w:rPr/>
            </w:pPr>
            <w:r>
              <w:rPr/>
              <w:t> </w:t>
            </w:r>
          </w:p>
        </w:tc>
        <w:tc>
          <w:tcPr>
            <w:tcW w:w="70" w:type="dxa"/>
            <w:tcBorders/>
            <w:shd w:fill="EEEEEE" w:val="clear"/>
            <w:vAlign w:val="center"/>
          </w:tcPr>
          <w:p>
            <w:pPr>
              <w:pStyle w:val="TableContents"/>
              <w:bidi w:val="0"/>
              <w:spacing w:before="0" w:after="283"/>
              <w:jc w:val="left"/>
              <w:rPr/>
            </w:pPr>
            <w:r>
              <w:rPr/>
              <w:t> </w:t>
            </w:r>
          </w:p>
        </w:tc>
        <w:tc>
          <w:tcPr>
            <w:tcW w:w="339" w:type="dxa"/>
            <w:tcBorders/>
            <w:shd w:fill="EEEEEE" w:val="clear"/>
            <w:vAlign w:val="center"/>
          </w:tcPr>
          <w:p>
            <w:pPr>
              <w:pStyle w:val="TableContents"/>
              <w:bidi w:val="0"/>
              <w:spacing w:before="0" w:after="283"/>
              <w:jc w:val="left"/>
              <w:rPr/>
            </w:pPr>
            <w:r>
              <w:rPr/>
              <w:t> </w:t>
            </w:r>
          </w:p>
        </w:tc>
        <w:tc>
          <w:tcPr>
            <w:tcW w:w="341" w:type="dxa"/>
            <w:tcBorders/>
            <w:shd w:fill="EEEEEE" w:val="clear"/>
            <w:vAlign w:val="center"/>
          </w:tcPr>
          <w:p>
            <w:pPr>
              <w:pStyle w:val="TableContents"/>
              <w:bidi w:val="0"/>
              <w:spacing w:before="0" w:after="283"/>
              <w:jc w:val="right"/>
              <w:rPr/>
            </w:pPr>
            <w:r>
              <w:rPr/>
              <w:t>–</w:t>
            </w:r>
          </w:p>
        </w:tc>
        <w:tc>
          <w:tcPr>
            <w:tcW w:w="70" w:type="dxa"/>
            <w:tcBorders/>
            <w:shd w:fill="EEEEEE" w:val="clear"/>
            <w:vAlign w:val="center"/>
          </w:tcPr>
          <w:p>
            <w:pPr>
              <w:pStyle w:val="TableContents"/>
              <w:bidi w:val="0"/>
              <w:spacing w:before="0" w:after="283"/>
              <w:jc w:val="left"/>
              <w:rPr/>
            </w:pPr>
            <w:r>
              <w:rPr/>
              <w:t> </w:t>
            </w:r>
          </w:p>
        </w:tc>
        <w:tc>
          <w:tcPr>
            <w:tcW w:w="7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1159" w:type="dxa"/>
            <w:tcBorders/>
            <w:shd w:fill="EEEEEE" w:val="clear"/>
            <w:vAlign w:val="center"/>
          </w:tcPr>
          <w:p>
            <w:pPr>
              <w:pStyle w:val="TableContents"/>
              <w:bidi w:val="0"/>
              <w:spacing w:before="0" w:after="283"/>
              <w:jc w:val="right"/>
              <w:rPr/>
            </w:pPr>
            <w:r>
              <w:rPr/>
              <w:t>2,134,496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2,134,496</w:t>
            </w:r>
          </w:p>
        </w:tc>
        <w:tc>
          <w:tcPr>
            <w:tcW w:w="81" w:type="dxa"/>
            <w:tcBorders/>
            <w:shd w:fill="EEEEEE" w:val="clear"/>
            <w:vAlign w:val="center"/>
          </w:tcPr>
          <w:p>
            <w:pPr>
              <w:pStyle w:val="TableContents"/>
              <w:bidi w:val="0"/>
              <w:spacing w:before="0" w:after="283"/>
              <w:jc w:val="left"/>
              <w:rPr/>
            </w:pPr>
            <w:r>
              <w:rPr/>
              <w:t> </w:t>
            </w:r>
            <w:bookmarkStart w:id="1041" w:name="xdx_409_eus-gaap--SubordinatedDebt_iI_pn"/>
            <w:bookmarkEnd w:id="1041"/>
          </w:p>
        </w:tc>
      </w:tr>
      <w:tr>
        <w:trPr/>
        <w:tc>
          <w:tcPr>
            <w:tcW w:w="4189" w:type="dxa"/>
            <w:tcBorders/>
            <w:shd w:fill="FFFFFF" w:val="clear"/>
            <w:vAlign w:val="center"/>
          </w:tcPr>
          <w:p>
            <w:pPr>
              <w:pStyle w:val="TableContents"/>
              <w:bidi w:val="0"/>
              <w:spacing w:before="0" w:after="283"/>
              <w:jc w:val="left"/>
              <w:rPr/>
            </w:pPr>
            <w:r>
              <w:rPr/>
              <w:t>Subordinated renewable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19,163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pPr>
            <w:r>
              <w:rPr/>
              <w:t>19,163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19,163</w:t>
            </w:r>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144"/>
        <w:jc w:val="both"/>
        <w:rPr>
          <w:caps w:val="false"/>
          <w:smallCaps w:val="false"/>
        </w:rPr>
      </w:pPr>
      <w:r>
        <w:rPr>
          <w:caps w:val="false"/>
          <w:smallCaps w:val="false"/>
        </w:rPr>
        <w:t> </w:t>
      </w:r>
    </w:p>
    <w:tbl>
      <w:tblPr>
        <w:tblW w:w="9368" w:type="dxa"/>
        <w:jc w:val="left"/>
        <w:tblInd w:w="0" w:type="dxa"/>
        <w:tblLayout w:type="fixed"/>
        <w:tblCellMar>
          <w:top w:w="0" w:type="dxa"/>
          <w:left w:w="0" w:type="dxa"/>
          <w:bottom w:w="0" w:type="dxa"/>
          <w:right w:w="0" w:type="dxa"/>
        </w:tblCellMar>
      </w:tblPr>
      <w:tblGrid>
        <w:gridCol w:w="2990"/>
        <w:gridCol w:w="60"/>
        <w:gridCol w:w="140"/>
        <w:gridCol w:w="980"/>
        <w:gridCol w:w="60"/>
        <w:gridCol w:w="60"/>
        <w:gridCol w:w="183"/>
        <w:gridCol w:w="1048"/>
        <w:gridCol w:w="78"/>
        <w:gridCol w:w="78"/>
        <w:gridCol w:w="376"/>
        <w:gridCol w:w="378"/>
        <w:gridCol w:w="78"/>
        <w:gridCol w:w="78"/>
        <w:gridCol w:w="183"/>
        <w:gridCol w:w="1283"/>
        <w:gridCol w:w="60"/>
        <w:gridCol w:w="60"/>
        <w:gridCol w:w="140"/>
        <w:gridCol w:w="980"/>
        <w:gridCol w:w="75"/>
      </w:tblGrid>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042" w:name="xdx_495_20221231__us-gaap--FairValueByAs"/>
            <w:bookmarkEnd w:id="1042"/>
          </w:p>
        </w:tc>
        <w:tc>
          <w:tcPr>
            <w:tcW w:w="9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bookmarkStart w:id="1043" w:name="xdx_491_20221231__us-gaap--FairValueByFa"/>
            <w:bookmarkEnd w:id="1043"/>
          </w:p>
        </w:tc>
        <w:tc>
          <w:tcPr>
            <w:tcW w:w="1048" w:type="dxa"/>
            <w:tcBorders/>
            <w:shd w:fill="FFFFFF" w:val="clear"/>
            <w:vAlign w:val="center"/>
          </w:tcPr>
          <w:p>
            <w:pPr>
              <w:pStyle w:val="TableContents"/>
              <w:bidi w:val="0"/>
              <w:spacing w:before="0" w:after="283"/>
              <w:jc w:val="center"/>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bookmarkStart w:id="1044" w:name="xdx_49D_20221231__us-gaap--FairValueByFa"/>
            <w:bookmarkEnd w:id="1044"/>
          </w:p>
        </w:tc>
        <w:tc>
          <w:tcPr>
            <w:tcW w:w="378" w:type="dxa"/>
            <w:tcBorders/>
            <w:shd w:fill="FFFFFF" w:val="clear"/>
            <w:vAlign w:val="center"/>
          </w:tcPr>
          <w:p>
            <w:pPr>
              <w:pStyle w:val="TableContents"/>
              <w:bidi w:val="0"/>
              <w:spacing w:before="0" w:after="283"/>
              <w:jc w:val="center"/>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bookmarkStart w:id="1045" w:name="xdx_498_20221231__us-gaap--FairValueByFa"/>
            <w:bookmarkEnd w:id="1045"/>
          </w:p>
        </w:tc>
        <w:tc>
          <w:tcPr>
            <w:tcW w:w="128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046" w:name="xdx_493_20221231_zzKazS7d2ox8"/>
            <w:bookmarkEnd w:id="1046"/>
          </w:p>
        </w:tc>
        <w:tc>
          <w:tcPr>
            <w:tcW w:w="980"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43"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As of December 31, 2022</w:t>
            </w:r>
          </w:p>
        </w:tc>
        <w:tc>
          <w:tcPr>
            <w:tcW w:w="75" w:type="dxa"/>
            <w:tcBorders/>
            <w:vAlign w:val="center"/>
          </w:tcPr>
          <w:p>
            <w:pPr>
              <w:pStyle w:val="TableContents"/>
              <w:bidi w:val="0"/>
              <w:spacing w:before="0" w:after="283"/>
              <w:jc w:val="left"/>
              <w:rPr/>
            </w:pPr>
            <w:r>
              <w:rPr/>
              <w:t> </w:t>
            </w:r>
          </w:p>
        </w:tc>
      </w:tr>
      <w:tr>
        <w:trPr/>
        <w:tc>
          <w:tcPr>
            <w:tcW w:w="2990" w:type="dxa"/>
            <w:tcBorders>
              <w:bottom w:val="single" w:sz="8" w:space="0" w:color="000000"/>
            </w:tcBorders>
            <w:tcMar>
              <w:bottom w:w="28" w:type="dxa"/>
            </w:tcMar>
            <w:vAlign w:val="center"/>
          </w:tcPr>
          <w:p>
            <w:pPr>
              <w:pStyle w:val="TableContents"/>
              <w:bidi w:val="0"/>
              <w:spacing w:before="0" w:after="283"/>
              <w:jc w:val="left"/>
              <w:rPr>
                <w:b/>
              </w:rPr>
            </w:pPr>
            <w:r>
              <w:rPr>
                <w:b/>
              </w:rPr>
              <w:t>Financial Instrument</w:t>
            </w:r>
          </w:p>
        </w:tc>
        <w:tc>
          <w:tcPr>
            <w:tcW w:w="60" w:type="dxa"/>
            <w:tcBorders/>
            <w:vAlign w:val="center"/>
          </w:tcPr>
          <w:p>
            <w:pPr>
              <w:pStyle w:val="TableContents"/>
              <w:bidi w:val="0"/>
              <w:spacing w:before="0" w:after="283"/>
              <w:jc w:val="left"/>
              <w:rPr/>
            </w:pPr>
            <w:r>
              <w:rPr/>
              <w:t> </w:t>
            </w:r>
          </w:p>
        </w:tc>
        <w:tc>
          <w:tcPr>
            <w:tcW w:w="6243"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Carrying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63"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Fair Value Measurements Using: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4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1" w:type="dxa"/>
            <w:gridSpan w:val="2"/>
            <w:tcBorders/>
            <w:vAlign w:val="center"/>
          </w:tcPr>
          <w:p>
            <w:pPr>
              <w:pStyle w:val="TableContents"/>
              <w:bidi w:val="0"/>
              <w:spacing w:before="0" w:after="283"/>
              <w:jc w:val="center"/>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center"/>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466"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bookmarkStart w:id="1047" w:name="xdx_409_eus-gaap--CashAndCashEquivalents"/>
            <w:bookmarkEnd w:id="1047"/>
          </w:p>
        </w:tc>
      </w:tr>
      <w:tr>
        <w:trPr/>
        <w:tc>
          <w:tcPr>
            <w:tcW w:w="2990" w:type="dxa"/>
            <w:tcBorders/>
            <w:shd w:fill="EEEEEE" w:val="clear"/>
            <w:vAlign w:val="center"/>
          </w:tcPr>
          <w:p>
            <w:pPr>
              <w:pStyle w:val="TableContents"/>
              <w:bidi w:val="0"/>
              <w:spacing w:before="0" w:after="283"/>
              <w:jc w:val="left"/>
              <w:rPr/>
            </w:pPr>
            <w:r>
              <w:rPr/>
              <w:t>Cash and cash equivalents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13,490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w:t>
            </w:r>
          </w:p>
        </w:tc>
        <w:tc>
          <w:tcPr>
            <w:tcW w:w="1048" w:type="dxa"/>
            <w:tcBorders/>
            <w:shd w:fill="EEEEEE" w:val="clear"/>
            <w:vAlign w:val="center"/>
          </w:tcPr>
          <w:p>
            <w:pPr>
              <w:pStyle w:val="TableContents"/>
              <w:bidi w:val="0"/>
              <w:spacing w:before="0" w:after="283"/>
              <w:jc w:val="right"/>
              <w:rPr/>
            </w:pPr>
            <w:r>
              <w:rPr/>
              <w:t>13,490</w:t>
            </w:r>
          </w:p>
        </w:tc>
        <w:tc>
          <w:tcPr>
            <w:tcW w:w="78"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376" w:type="dxa"/>
            <w:tcBorders/>
            <w:shd w:fill="EEEEEE" w:val="clear"/>
            <w:vAlign w:val="center"/>
          </w:tcPr>
          <w:p>
            <w:pPr>
              <w:pStyle w:val="TableContents"/>
              <w:bidi w:val="0"/>
              <w:spacing w:before="0" w:after="283"/>
              <w:jc w:val="left"/>
              <w:rPr/>
            </w:pPr>
            <w:r>
              <w:rPr/>
              <w:t>$</w:t>
            </w:r>
          </w:p>
        </w:tc>
        <w:tc>
          <w:tcPr>
            <w:tcW w:w="378" w:type="dxa"/>
            <w:tcBorders/>
            <w:shd w:fill="EEEEEE" w:val="clear"/>
            <w:vAlign w:val="center"/>
          </w:tcPr>
          <w:p>
            <w:pPr>
              <w:pStyle w:val="TableContents"/>
              <w:bidi w:val="0"/>
              <w:spacing w:before="0" w:after="283"/>
              <w:jc w:val="right"/>
              <w:rPr/>
            </w:pPr>
            <w:r>
              <w:rPr/>
              <w:t>–</w:t>
            </w:r>
          </w:p>
        </w:tc>
        <w:tc>
          <w:tcPr>
            <w:tcW w:w="78"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w:t>
            </w:r>
          </w:p>
        </w:tc>
        <w:tc>
          <w:tcPr>
            <w:tcW w:w="1283"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13,490</w:t>
            </w:r>
          </w:p>
        </w:tc>
        <w:tc>
          <w:tcPr>
            <w:tcW w:w="75" w:type="dxa"/>
            <w:tcBorders/>
            <w:shd w:fill="EEEEEE" w:val="clear"/>
            <w:vAlign w:val="center"/>
          </w:tcPr>
          <w:p>
            <w:pPr>
              <w:pStyle w:val="TableContents"/>
              <w:bidi w:val="0"/>
              <w:spacing w:before="0" w:after="283"/>
              <w:jc w:val="left"/>
              <w:rPr/>
            </w:pPr>
            <w:r>
              <w:rPr/>
              <w:t> </w:t>
            </w:r>
            <w:bookmarkStart w:id="1048" w:name="xdx_403_eus-gaap--RestrictedCashAndCashE"/>
            <w:bookmarkEnd w:id="1048"/>
          </w:p>
        </w:tc>
      </w:tr>
      <w:tr>
        <w:trPr/>
        <w:tc>
          <w:tcPr>
            <w:tcW w:w="2990" w:type="dxa"/>
            <w:tcBorders/>
            <w:shd w:fill="FFFFFF" w:val="clear"/>
            <w:vAlign w:val="center"/>
          </w:tcPr>
          <w:p>
            <w:pPr>
              <w:pStyle w:val="TableContents"/>
              <w:bidi w:val="0"/>
              <w:spacing w:before="0" w:after="283"/>
              <w:jc w:val="left"/>
              <w:rPr/>
            </w:pPr>
            <w:r>
              <w:rPr/>
              <w:t>Restricted cash and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149,299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149,299</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149,299</w:t>
            </w:r>
          </w:p>
        </w:tc>
        <w:tc>
          <w:tcPr>
            <w:tcW w:w="75" w:type="dxa"/>
            <w:tcBorders/>
            <w:shd w:fill="FFFFFF" w:val="clear"/>
            <w:vAlign w:val="center"/>
          </w:tcPr>
          <w:p>
            <w:pPr>
              <w:pStyle w:val="TableContents"/>
              <w:bidi w:val="0"/>
              <w:spacing w:before="0" w:after="283"/>
              <w:jc w:val="left"/>
              <w:rPr/>
            </w:pPr>
            <w:r>
              <w:rPr/>
              <w:t> </w:t>
            </w:r>
            <w:bookmarkStart w:id="1049" w:name="xdx_40E_ecustom--FinanceReceivablesFairV"/>
            <w:bookmarkEnd w:id="1049"/>
          </w:p>
        </w:tc>
      </w:tr>
      <w:tr>
        <w:trPr/>
        <w:tc>
          <w:tcPr>
            <w:tcW w:w="2990" w:type="dxa"/>
            <w:tcBorders/>
            <w:shd w:fill="EEEEEE" w:val="clear"/>
            <w:vAlign w:val="center"/>
          </w:tcPr>
          <w:p>
            <w:pPr>
              <w:pStyle w:val="TableContents"/>
              <w:bidi w:val="0"/>
              <w:spacing w:before="0" w:after="283"/>
              <w:jc w:val="left"/>
              <w:rPr/>
            </w:pPr>
            <w:r>
              <w:rPr/>
              <w:t>Finance receivables, net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70,551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w:t>
            </w:r>
          </w:p>
        </w:tc>
        <w:tc>
          <w:tcPr>
            <w:tcW w:w="78"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376" w:type="dxa"/>
            <w:tcBorders/>
            <w:shd w:fill="EEEEEE" w:val="clear"/>
            <w:vAlign w:val="center"/>
          </w:tcPr>
          <w:p>
            <w:pPr>
              <w:pStyle w:val="TableContents"/>
              <w:bidi w:val="0"/>
              <w:spacing w:before="0" w:after="283"/>
              <w:jc w:val="left"/>
              <w:rPr/>
            </w:pPr>
            <w:r>
              <w:rPr/>
              <w:t> </w:t>
            </w:r>
          </w:p>
        </w:tc>
        <w:tc>
          <w:tcPr>
            <w:tcW w:w="378" w:type="dxa"/>
            <w:tcBorders/>
            <w:shd w:fill="EEEEEE" w:val="clear"/>
            <w:vAlign w:val="center"/>
          </w:tcPr>
          <w:p>
            <w:pPr>
              <w:pStyle w:val="TableContents"/>
              <w:bidi w:val="0"/>
              <w:spacing w:before="0" w:after="283"/>
              <w:jc w:val="right"/>
              <w:rPr/>
            </w:pPr>
            <w:r>
              <w:rPr/>
              <w:t>–</w:t>
            </w:r>
          </w:p>
        </w:tc>
        <w:tc>
          <w:tcPr>
            <w:tcW w:w="78"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 </w:t>
            </w:r>
          </w:p>
        </w:tc>
        <w:tc>
          <w:tcPr>
            <w:tcW w:w="1283" w:type="dxa"/>
            <w:tcBorders/>
            <w:shd w:fill="EEEEEE" w:val="clear"/>
            <w:vAlign w:val="center"/>
          </w:tcPr>
          <w:p>
            <w:pPr>
              <w:pStyle w:val="TableContents"/>
              <w:bidi w:val="0"/>
              <w:spacing w:before="0" w:after="283"/>
              <w:jc w:val="right"/>
              <w:rPr/>
            </w:pPr>
            <w:r>
              <w:rPr/>
              <w:t>60,063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60,063</w:t>
            </w:r>
          </w:p>
        </w:tc>
        <w:tc>
          <w:tcPr>
            <w:tcW w:w="75" w:type="dxa"/>
            <w:tcBorders/>
            <w:shd w:fill="EEEEEE" w:val="clear"/>
            <w:vAlign w:val="center"/>
          </w:tcPr>
          <w:p>
            <w:pPr>
              <w:pStyle w:val="TableContents"/>
              <w:bidi w:val="0"/>
              <w:spacing w:before="0" w:after="283"/>
              <w:jc w:val="left"/>
              <w:rPr/>
            </w:pPr>
            <w:r>
              <w:rPr/>
              <w:t> </w:t>
            </w:r>
            <w:bookmarkStart w:id="1050" w:name="xdx_40F_eus-gaap--AccruedInvestmentIncom"/>
            <w:bookmarkEnd w:id="1050"/>
          </w:p>
        </w:tc>
      </w:tr>
      <w:tr>
        <w:trPr/>
        <w:tc>
          <w:tcPr>
            <w:tcW w:w="2990" w:type="dxa"/>
            <w:tcBorders/>
            <w:shd w:fill="FFFFFF" w:val="clear"/>
            <w:vAlign w:val="center"/>
          </w:tcPr>
          <w:p>
            <w:pPr>
              <w:pStyle w:val="TableContents"/>
              <w:bidi w:val="0"/>
              <w:spacing w:before="0" w:after="283"/>
              <w:jc w:val="left"/>
              <w:rPr/>
            </w:pPr>
            <w:r>
              <w:rPr/>
              <w:t>Accrued interest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649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649</w:t>
            </w:r>
          </w:p>
        </w:tc>
        <w:tc>
          <w:tcPr>
            <w:tcW w:w="75" w:type="dxa"/>
            <w:tcBorders/>
            <w:shd w:fill="FFFFFF" w:val="clear"/>
            <w:vAlign w:val="center"/>
          </w:tcPr>
          <w:p>
            <w:pPr>
              <w:pStyle w:val="TableContents"/>
              <w:bidi w:val="0"/>
              <w:spacing w:before="0" w:after="283"/>
              <w:jc w:val="left"/>
              <w:rPr/>
            </w:pPr>
            <w:r>
              <w:rPr/>
              <w:t> </w:t>
            </w:r>
          </w:p>
        </w:tc>
      </w:tr>
      <w:tr>
        <w:trPr/>
        <w:tc>
          <w:tcPr>
            <w:tcW w:w="2990" w:type="dxa"/>
            <w:tcBorders/>
            <w:shd w:fill="EEEEEE" w:val="clear"/>
            <w:vAlign w:val="center"/>
          </w:tcPr>
          <w:p>
            <w:pPr>
              <w:pStyle w:val="TableContents"/>
              <w:bidi w:val="0"/>
              <w:spacing w:before="0" w:after="283"/>
              <w:jc w:val="left"/>
              <w:rPr>
                <w:b/>
              </w:rPr>
            </w:pPr>
            <w:r>
              <w:rPr>
                <w:b/>
              </w:rPr>
              <w:t>Liabilities: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 </w:t>
            </w:r>
          </w:p>
        </w:tc>
        <w:tc>
          <w:tcPr>
            <w:tcW w:w="78"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376" w:type="dxa"/>
            <w:tcBorders/>
            <w:shd w:fill="EEEEEE" w:val="clear"/>
            <w:vAlign w:val="center"/>
          </w:tcPr>
          <w:p>
            <w:pPr>
              <w:pStyle w:val="TableContents"/>
              <w:bidi w:val="0"/>
              <w:spacing w:before="0" w:after="283"/>
              <w:jc w:val="left"/>
              <w:rPr/>
            </w:pPr>
            <w:r>
              <w:rPr/>
              <w:t> </w:t>
            </w:r>
          </w:p>
        </w:tc>
        <w:tc>
          <w:tcPr>
            <w:tcW w:w="378" w:type="dxa"/>
            <w:tcBorders/>
            <w:shd w:fill="EEEEEE" w:val="clear"/>
            <w:vAlign w:val="center"/>
          </w:tcPr>
          <w:p>
            <w:pPr>
              <w:pStyle w:val="TableContents"/>
              <w:bidi w:val="0"/>
              <w:spacing w:before="0" w:after="283"/>
              <w:jc w:val="right"/>
              <w:rPr/>
            </w:pPr>
            <w:r>
              <w:rPr/>
              <w:t> </w:t>
            </w:r>
          </w:p>
        </w:tc>
        <w:tc>
          <w:tcPr>
            <w:tcW w:w="78"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 </w:t>
            </w:r>
          </w:p>
        </w:tc>
        <w:tc>
          <w:tcPr>
            <w:tcW w:w="1283"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75" w:type="dxa"/>
            <w:tcBorders/>
            <w:shd w:fill="EEEEEE" w:val="clear"/>
            <w:vAlign w:val="center"/>
          </w:tcPr>
          <w:p>
            <w:pPr>
              <w:pStyle w:val="TableContents"/>
              <w:bidi w:val="0"/>
              <w:spacing w:before="0" w:after="283"/>
              <w:jc w:val="left"/>
              <w:rPr/>
            </w:pPr>
            <w:r>
              <w:rPr/>
              <w:t> </w:t>
            </w:r>
            <w:bookmarkStart w:id="1051" w:name="xdx_400_eus-gaap--LinesOfCreditCurrent_i"/>
            <w:bookmarkEnd w:id="1051"/>
          </w:p>
        </w:tc>
      </w:tr>
      <w:tr>
        <w:trPr/>
        <w:tc>
          <w:tcPr>
            <w:tcW w:w="2990" w:type="dxa"/>
            <w:tcBorders/>
            <w:shd w:fill="FFFFFF" w:val="clear"/>
            <w:vAlign w:val="center"/>
          </w:tcPr>
          <w:p>
            <w:pPr>
              <w:pStyle w:val="TableContents"/>
              <w:bidi w:val="0"/>
              <w:spacing w:before="0" w:after="283"/>
              <w:jc w:val="left"/>
              <w:rPr/>
            </w:pPr>
            <w:r>
              <w:rPr/>
              <w:t>Warehouse lines of credit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285,328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w:t>
            </w:r>
          </w:p>
        </w:tc>
        <w:tc>
          <w:tcPr>
            <w:tcW w:w="1048"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w:t>
            </w:r>
          </w:p>
        </w:tc>
        <w:tc>
          <w:tcPr>
            <w:tcW w:w="378"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w:t>
            </w:r>
          </w:p>
        </w:tc>
        <w:tc>
          <w:tcPr>
            <w:tcW w:w="1283" w:type="dxa"/>
            <w:tcBorders/>
            <w:shd w:fill="FFFFFF" w:val="clear"/>
            <w:vAlign w:val="center"/>
          </w:tcPr>
          <w:p>
            <w:pPr>
              <w:pStyle w:val="TableContents"/>
              <w:bidi w:val="0"/>
              <w:spacing w:before="0" w:after="283"/>
              <w:jc w:val="right"/>
              <w:rPr/>
            </w:pPr>
            <w:r>
              <w:rPr/>
              <w:t>285,328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285,328</w:t>
            </w:r>
          </w:p>
        </w:tc>
        <w:tc>
          <w:tcPr>
            <w:tcW w:w="75" w:type="dxa"/>
            <w:tcBorders/>
            <w:shd w:fill="FFFFFF" w:val="clear"/>
            <w:vAlign w:val="center"/>
          </w:tcPr>
          <w:p>
            <w:pPr>
              <w:pStyle w:val="TableContents"/>
              <w:bidi w:val="0"/>
              <w:spacing w:before="0" w:after="283"/>
              <w:jc w:val="left"/>
              <w:rPr/>
            </w:pPr>
            <w:r>
              <w:rPr/>
              <w:t> </w:t>
            </w:r>
            <w:bookmarkStart w:id="1052" w:name="xdx_40A_eus-gaap--AccountsPayableFairVal"/>
            <w:bookmarkEnd w:id="1052"/>
          </w:p>
        </w:tc>
      </w:tr>
      <w:tr>
        <w:trPr/>
        <w:tc>
          <w:tcPr>
            <w:tcW w:w="2990" w:type="dxa"/>
            <w:tcBorders/>
            <w:shd w:fill="EEEEEE" w:val="clear"/>
            <w:vAlign w:val="center"/>
          </w:tcPr>
          <w:p>
            <w:pPr>
              <w:pStyle w:val="TableContents"/>
              <w:bidi w:val="0"/>
              <w:spacing w:before="0" w:after="283"/>
              <w:jc w:val="left"/>
              <w:rPr/>
            </w:pPr>
            <w:r>
              <w:rPr/>
              <w:t>Accrued interest payable</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6,190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w:t>
            </w:r>
          </w:p>
        </w:tc>
        <w:tc>
          <w:tcPr>
            <w:tcW w:w="78"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376" w:type="dxa"/>
            <w:tcBorders/>
            <w:shd w:fill="EEEEEE" w:val="clear"/>
            <w:vAlign w:val="center"/>
          </w:tcPr>
          <w:p>
            <w:pPr>
              <w:pStyle w:val="TableContents"/>
              <w:bidi w:val="0"/>
              <w:spacing w:before="0" w:after="283"/>
              <w:jc w:val="left"/>
              <w:rPr/>
            </w:pPr>
            <w:r>
              <w:rPr/>
              <w:t> </w:t>
            </w:r>
          </w:p>
        </w:tc>
        <w:tc>
          <w:tcPr>
            <w:tcW w:w="378" w:type="dxa"/>
            <w:tcBorders/>
            <w:shd w:fill="EEEEEE" w:val="clear"/>
            <w:vAlign w:val="center"/>
          </w:tcPr>
          <w:p>
            <w:pPr>
              <w:pStyle w:val="TableContents"/>
              <w:bidi w:val="0"/>
              <w:spacing w:before="0" w:after="283"/>
              <w:jc w:val="right"/>
              <w:rPr/>
            </w:pPr>
            <w:r>
              <w:rPr/>
              <w:t>–</w:t>
            </w:r>
          </w:p>
        </w:tc>
        <w:tc>
          <w:tcPr>
            <w:tcW w:w="78"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 </w:t>
            </w:r>
          </w:p>
        </w:tc>
        <w:tc>
          <w:tcPr>
            <w:tcW w:w="1283" w:type="dxa"/>
            <w:tcBorders/>
            <w:shd w:fill="EEEEEE" w:val="clear"/>
            <w:vAlign w:val="center"/>
          </w:tcPr>
          <w:p>
            <w:pPr>
              <w:pStyle w:val="TableContents"/>
              <w:bidi w:val="0"/>
              <w:spacing w:before="0" w:after="283"/>
              <w:jc w:val="right"/>
              <w:rPr/>
            </w:pPr>
            <w:r>
              <w:rPr/>
              <w:t>6,190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6,190</w:t>
            </w:r>
          </w:p>
        </w:tc>
        <w:tc>
          <w:tcPr>
            <w:tcW w:w="75" w:type="dxa"/>
            <w:tcBorders/>
            <w:shd w:fill="EEEEEE" w:val="clear"/>
            <w:vAlign w:val="center"/>
          </w:tcPr>
          <w:p>
            <w:pPr>
              <w:pStyle w:val="TableContents"/>
              <w:bidi w:val="0"/>
              <w:spacing w:before="0" w:after="283"/>
              <w:jc w:val="left"/>
              <w:rPr/>
            </w:pPr>
            <w:r>
              <w:rPr/>
              <w:t> </w:t>
            </w:r>
            <w:bookmarkStart w:id="1053" w:name="xdx_407_eus-gaap--SecuredDebt_iI_pn3n3_d"/>
            <w:bookmarkEnd w:id="1053"/>
          </w:p>
        </w:tc>
      </w:tr>
      <w:tr>
        <w:trPr/>
        <w:tc>
          <w:tcPr>
            <w:tcW w:w="2990" w:type="dxa"/>
            <w:tcBorders/>
            <w:shd w:fill="FFFFFF" w:val="clear"/>
            <w:vAlign w:val="center"/>
          </w:tcPr>
          <w:p>
            <w:pPr>
              <w:pStyle w:val="TableContents"/>
              <w:bidi w:val="0"/>
              <w:spacing w:before="0" w:after="283"/>
              <w:jc w:val="left"/>
              <w:rPr/>
            </w:pPr>
            <w:r>
              <w:rPr/>
              <w:t>Securitization trust debt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2,108,744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1,957,995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1,957,995</w:t>
            </w:r>
          </w:p>
        </w:tc>
        <w:tc>
          <w:tcPr>
            <w:tcW w:w="75" w:type="dxa"/>
            <w:tcBorders/>
            <w:shd w:fill="FFFFFF" w:val="clear"/>
            <w:vAlign w:val="center"/>
          </w:tcPr>
          <w:p>
            <w:pPr>
              <w:pStyle w:val="TableContents"/>
              <w:bidi w:val="0"/>
              <w:spacing w:before="0" w:after="283"/>
              <w:jc w:val="left"/>
              <w:rPr/>
            </w:pPr>
            <w:r>
              <w:rPr/>
              <w:t> </w:t>
            </w:r>
            <w:bookmarkStart w:id="1054" w:name="xdx_40E_eus-gaap--SubordinatedDebt_iI_pn"/>
            <w:bookmarkEnd w:id="1054"/>
          </w:p>
        </w:tc>
      </w:tr>
      <w:tr>
        <w:trPr/>
        <w:tc>
          <w:tcPr>
            <w:tcW w:w="2990" w:type="dxa"/>
            <w:tcBorders/>
            <w:shd w:fill="EEEEEE" w:val="clear"/>
            <w:vAlign w:val="center"/>
          </w:tcPr>
          <w:p>
            <w:pPr>
              <w:pStyle w:val="TableContents"/>
              <w:bidi w:val="0"/>
              <w:spacing w:before="0" w:after="283"/>
              <w:jc w:val="left"/>
              <w:rPr/>
            </w:pPr>
            <w:r>
              <w:rPr/>
              <w:t>Subordinated renewable notes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25,263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w:t>
            </w:r>
          </w:p>
        </w:tc>
        <w:tc>
          <w:tcPr>
            <w:tcW w:w="78"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376" w:type="dxa"/>
            <w:tcBorders/>
            <w:shd w:fill="EEEEEE" w:val="clear"/>
            <w:vAlign w:val="center"/>
          </w:tcPr>
          <w:p>
            <w:pPr>
              <w:pStyle w:val="TableContents"/>
              <w:bidi w:val="0"/>
              <w:spacing w:before="0" w:after="283"/>
              <w:jc w:val="left"/>
              <w:rPr/>
            </w:pPr>
            <w:r>
              <w:rPr/>
              <w:t> </w:t>
            </w:r>
          </w:p>
        </w:tc>
        <w:tc>
          <w:tcPr>
            <w:tcW w:w="378" w:type="dxa"/>
            <w:tcBorders/>
            <w:shd w:fill="EEEEEE" w:val="clear"/>
            <w:vAlign w:val="center"/>
          </w:tcPr>
          <w:p>
            <w:pPr>
              <w:pStyle w:val="TableContents"/>
              <w:bidi w:val="0"/>
              <w:spacing w:before="0" w:after="283"/>
              <w:jc w:val="right"/>
              <w:rPr/>
            </w:pPr>
            <w:r>
              <w:rPr/>
              <w:t>–</w:t>
            </w:r>
          </w:p>
        </w:tc>
        <w:tc>
          <w:tcPr>
            <w:tcW w:w="78"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183" w:type="dxa"/>
            <w:tcBorders/>
            <w:shd w:fill="EEEEEE" w:val="clear"/>
            <w:vAlign w:val="center"/>
          </w:tcPr>
          <w:p>
            <w:pPr>
              <w:pStyle w:val="TableContents"/>
              <w:bidi w:val="0"/>
              <w:spacing w:before="0" w:after="283"/>
              <w:jc w:val="left"/>
              <w:rPr/>
            </w:pPr>
            <w:r>
              <w:rPr/>
              <w:t> </w:t>
            </w:r>
          </w:p>
        </w:tc>
        <w:tc>
          <w:tcPr>
            <w:tcW w:w="1283" w:type="dxa"/>
            <w:tcBorders/>
            <w:shd w:fill="EEEEEE" w:val="clear"/>
            <w:vAlign w:val="center"/>
          </w:tcPr>
          <w:p>
            <w:pPr>
              <w:pStyle w:val="TableContents"/>
              <w:bidi w:val="0"/>
              <w:spacing w:before="0" w:after="283"/>
              <w:jc w:val="right"/>
              <w:rPr/>
            </w:pPr>
            <w:r>
              <w:rPr/>
              <w:t>25,263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25,263</w:t>
            </w:r>
          </w:p>
        </w:tc>
        <w:tc>
          <w:tcPr>
            <w:tcW w:w="75"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firstLine="144"/>
        <w:jc w:val="both"/>
        <w:rPr>
          <w:caps w:val="false"/>
          <w:smallCaps w:val="false"/>
        </w:rPr>
      </w:pPr>
      <w:bookmarkStart w:id="1055" w:name="xdx_8A8_zOvsKyO89PUg"/>
      <w:bookmarkEnd w:id="1055"/>
      <w:r>
        <w:rPr>
          <w:caps w:val="false"/>
          <w:smallCaps w:val="false"/>
        </w:rPr>
        <w:t> </w:t>
      </w:r>
    </w:p>
    <w:p>
      <w:pPr>
        <w:pStyle w:val="TextBody"/>
        <w:bidi w:val="0"/>
        <w:spacing w:before="0" w:after="0"/>
        <w:ind w:left="0" w:right="0" w:firstLine="144"/>
        <w:jc w:val="both"/>
        <w:rPr>
          <w:caps w:val="false"/>
          <w:smallCaps w:val="false"/>
        </w:rPr>
      </w:pPr>
      <w:bookmarkStart w:id="1056" w:name="xdx_237_zRI9UaA4jzGg"/>
      <w:bookmarkEnd w:id="1056"/>
      <w:r>
        <w:rPr>
          <w:caps w:val="false"/>
          <w:smallCaps w:val="false"/>
        </w:rPr>
        <w:t> </w:t>
      </w:r>
    </w:p>
    <w:p>
      <w:pPr>
        <w:pStyle w:val="TextBody"/>
        <w:bidi w:val="0"/>
        <w:spacing w:before="0" w:after="0"/>
        <w:ind w:left="0" w:right="0" w:firstLine="144"/>
        <w:jc w:val="both"/>
        <w:rPr>
          <w:caps w:val="false"/>
          <w:smallCaps w:val="false"/>
        </w:rPr>
      </w:pPr>
      <w:bookmarkStart w:id="1057" w:name="xdx_235_z4LhfjumS6lf"/>
      <w:bookmarkEnd w:id="1057"/>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144"/>
        <w:jc w:val="both"/>
        <w:rPr>
          <w:caps w:val="false"/>
          <w:smallCaps w:val="false"/>
        </w:rPr>
      </w:pPr>
      <w:bookmarkStart w:id="1058" w:name="xdx_235_zcmeGeV86Ea3"/>
      <w:bookmarkEnd w:id="1058"/>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059" w:name="xdx_23F_zDvvzfHsvhC6"/>
      <w:bookmarkEnd w:id="1059"/>
      <w:r>
        <w:rPr>
          <w:rFonts w:ascii="Times New Roman;Times;Serif" w:hAnsi="Times New Roman;Times;Serif"/>
          <w:b/>
          <w:i w:val="false"/>
          <w:caps w:val="false"/>
          <w:smallCaps w:val="false"/>
          <w:sz w:val="20"/>
        </w:rPr>
        <w:t>CONSUMER PORTFOLIO SERVICES,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60" w:name="xdx_23F_zylEEvRzlsSa"/>
      <w:bookmarkStart w:id="1061" w:name="xdx_239_zNXbY6mF9IEa"/>
      <w:bookmarkEnd w:id="1060"/>
      <w:bookmarkEnd w:id="1061"/>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bookmarkStart w:id="1062" w:name="xdx_230_zpbZJWzypCH7"/>
      <w:bookmarkEnd w:id="1062"/>
      <w:r>
        <w:rPr>
          <w:caps w:val="false"/>
          <w:smallCaps w:val="false"/>
        </w:rPr>
        <w:t> </w:t>
      </w:r>
    </w:p>
    <w:p>
      <w:pPr>
        <w:pStyle w:val="TextBody"/>
        <w:bidi w:val="0"/>
        <w:spacing w:before="0" w:after="0"/>
        <w:ind w:left="0" w:right="0" w:hanging="0"/>
        <w:jc w:val="center"/>
        <w:rPr>
          <w:caps w:val="false"/>
          <w:smallCaps w:val="false"/>
        </w:rPr>
      </w:pPr>
      <w:bookmarkStart w:id="1063" w:name="xdx_233_zV5oLKD75yhi"/>
      <w:bookmarkEnd w:id="1063"/>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1064" w:name="xdx_806_eus-gaap--SubsequentEventsTextBl"/>
      <w:bookmarkEnd w:id="1064"/>
      <w:r>
        <w:rPr>
          <w:rFonts w:ascii="Times New Roman;Times;Serif" w:hAnsi="Times New Roman;Times;Serif"/>
          <w:b/>
          <w:i/>
          <w:caps w:val="false"/>
          <w:smallCaps w:val="false"/>
          <w:sz w:val="20"/>
        </w:rPr>
        <w:t xml:space="preserve">(10) </w:t>
      </w:r>
      <w:bookmarkStart w:id="1065" w:name="xdx_827_zSSkIRF8SQJc"/>
      <w:bookmarkEnd w:id="1065"/>
      <w:r>
        <w:rPr>
          <w:rFonts w:ascii="Times New Roman;Times;Serif" w:hAnsi="Times New Roman;Times;Serif"/>
          <w:b/>
          <w:i/>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2023 we executed our fourth securitization of 2023. In the transaction, qualified institutional buyers purchased $286.1 million of asset-backed notes secured by $306.7 million in automobile receivables originated by CPS. The sold notes, issued by CPS Auto Receivables Trust 2023-D, consist of five classes. Ratings of the notes were provided by Standard &amp; Poor’s and DBRS Morningstar, and were based on the structure of the transaction, the historical performance of similar receivables and CPS’s experience as a servicer. The weighted average yield on the notes is approximately 7.89%.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2023-D transaction has initial credit enhancement consisting of a cash deposit equal to 1.00% of the original receivable pool balance and overcollateralization of 6.70%. The transaction agreements require accelerated payment of principal on the notes to reach overcollateralization of the lesser of 9.70% of the original receivable pool balance, or 26.75% of the then outstanding pool balance. The transaction was a private offering of securities, not registered under the Securities Act of 1933, or any state securities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066" w:name="xdx_815_zk78ssHdNGRk"/>
      <w:bookmarkEnd w:id="1066"/>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w:t>
      </w:r>
      <w:bookmarkStart w:id="1067" w:name="q3_010"/>
      <w:bookmarkEnd w:id="1067"/>
      <w:r>
        <w:rPr>
          <w:rFonts w:ascii="Times New Roman;Times;Serif" w:hAnsi="Times New Roman;Times;Serif"/>
          <w:b/>
          <w:i/>
          <w:caps w:val="false"/>
          <w:smallCaps w:val="false"/>
          <w:sz w:val="20"/>
        </w:rPr>
        <w:t>.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specialty finance company.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the customers of dealers who have limited credit histories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also originate vehicle purchase money loans by lending directly to consumers and have (i) acquired installment purchase contracts in four merger and acquisition transactions, and (ii) purchased immaterial amounts of vehicle purchase money loans from non-affiliated lenders. In this report, we refer to all of such contracts and loans as "automobile contracts."</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and began our operations in March 1991. From inception through September 30, 2023, we have originated a total of approximately $21.0 billion of automobile contracts, primarily by purchasing retail installment sales contracts from dealers, and to a lesser degree, by originating loans secured by automobiles directly with consumers. In addition, we acquired a total of approximately $822.3 million of automobile contracts in mergers and acquisitions in 2002, 2003, 2004 and 2011. Recent contract purchase volumes and managed portfolio levels are shown in the table below:</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 Purchases and Outstanding Managed Portfolio</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67"/>
        <w:gridCol w:w="60"/>
        <w:gridCol w:w="172"/>
        <w:gridCol w:w="2851"/>
        <w:gridCol w:w="60"/>
        <w:gridCol w:w="60"/>
        <w:gridCol w:w="187"/>
        <w:gridCol w:w="3071"/>
        <w:gridCol w:w="77"/>
      </w:tblGrid>
      <w:tr>
        <w:trPr/>
        <w:tc>
          <w:tcPr>
            <w:tcW w:w="36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01" w:type="dxa"/>
            <w:gridSpan w:val="6"/>
            <w:tcBorders>
              <w:bottom w:val="single" w:sz="8" w:space="0" w:color="000000"/>
            </w:tcBorders>
            <w:tcMar>
              <w:bottom w:w="28" w:type="dxa"/>
            </w:tcMar>
            <w:vAlign w:val="center"/>
          </w:tcPr>
          <w:p>
            <w:pPr>
              <w:pStyle w:val="TableContents"/>
              <w:bidi w:val="0"/>
              <w:spacing w:before="0" w:after="283"/>
              <w:jc w:val="center"/>
              <w:rPr>
                <w:i/>
              </w:rPr>
            </w:pPr>
            <w:r>
              <w:rPr>
                <w:i/>
              </w:rPr>
              <w:t>$ in thousands</w:t>
            </w:r>
          </w:p>
        </w:tc>
        <w:tc>
          <w:tcPr>
            <w:tcW w:w="77" w:type="dxa"/>
            <w:tcBorders/>
            <w:vAlign w:val="center"/>
          </w:tcPr>
          <w:p>
            <w:pPr>
              <w:pStyle w:val="TableContents"/>
              <w:bidi w:val="0"/>
              <w:spacing w:before="0" w:after="283"/>
              <w:jc w:val="left"/>
              <w:rPr/>
            </w:pPr>
            <w:r>
              <w:rPr/>
              <w:t> </w:t>
            </w:r>
          </w:p>
        </w:tc>
      </w:tr>
      <w:tr>
        <w:trPr/>
        <w:tc>
          <w:tcPr>
            <w:tcW w:w="3667" w:type="dxa"/>
            <w:tcBorders>
              <w:bottom w:val="single" w:sz="8" w:space="0" w:color="000000"/>
            </w:tcBorders>
            <w:tcMar>
              <w:bottom w:w="28" w:type="dxa"/>
            </w:tcMar>
            <w:vAlign w:val="center"/>
          </w:tcPr>
          <w:p>
            <w:pPr>
              <w:pStyle w:val="TableContents"/>
              <w:bidi w:val="0"/>
              <w:spacing w:before="0" w:after="283"/>
              <w:jc w:val="center"/>
              <w:rPr>
                <w:b/>
              </w:rPr>
            </w:pPr>
            <w:r>
              <w:rPr>
                <w:b/>
              </w:rPr>
              <w:t>Period</w:t>
            </w:r>
          </w:p>
        </w:tc>
        <w:tc>
          <w:tcPr>
            <w:tcW w:w="60" w:type="dxa"/>
            <w:tcBorders/>
            <w:vAlign w:val="center"/>
          </w:tcPr>
          <w:p>
            <w:pPr>
              <w:pStyle w:val="TableContents"/>
              <w:bidi w:val="0"/>
              <w:spacing w:before="0" w:after="283"/>
              <w:jc w:val="left"/>
              <w:rPr/>
            </w:pPr>
            <w:r>
              <w:rPr/>
              <w:t> </w:t>
            </w:r>
          </w:p>
        </w:tc>
        <w:tc>
          <w:tcPr>
            <w:tcW w:w="30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Contracts Purchased in Period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Managed Portfolio at Period End</w:t>
            </w:r>
          </w:p>
        </w:tc>
        <w:tc>
          <w:tcPr>
            <w:tcW w:w="77" w:type="dxa"/>
            <w:tcBorders/>
            <w:vAlign w:val="center"/>
          </w:tcPr>
          <w:p>
            <w:pPr>
              <w:pStyle w:val="TableContents"/>
              <w:bidi w:val="0"/>
              <w:spacing w:before="0" w:after="283"/>
              <w:jc w:val="left"/>
              <w:rPr/>
            </w:pPr>
            <w:r>
              <w:rPr/>
              <w:t> </w:t>
            </w:r>
          </w:p>
        </w:tc>
      </w:tr>
      <w:tr>
        <w:trPr/>
        <w:tc>
          <w:tcPr>
            <w:tcW w:w="3667" w:type="dxa"/>
            <w:tcBorders/>
            <w:shd w:fill="EEEEEE" w:val="clear"/>
            <w:vAlign w:val="center"/>
          </w:tcPr>
          <w:p>
            <w:pPr>
              <w:pStyle w:val="TableContents"/>
              <w:bidi w:val="0"/>
              <w:spacing w:before="0" w:after="283"/>
              <w:jc w:val="center"/>
              <w:rPr/>
            </w:pPr>
            <w:r>
              <w:rPr/>
              <w:t>2017</w:t>
            </w:r>
          </w:p>
        </w:tc>
        <w:tc>
          <w:tcPr>
            <w:tcW w:w="60" w:type="dxa"/>
            <w:tcBorders/>
            <w:shd w:fill="EEEEEE" w:val="clear"/>
            <w:vAlign w:val="center"/>
          </w:tcPr>
          <w:p>
            <w:pPr>
              <w:pStyle w:val="TableContents"/>
              <w:bidi w:val="0"/>
              <w:spacing w:before="0" w:after="283"/>
              <w:jc w:val="left"/>
              <w:rPr/>
            </w:pPr>
            <w:r>
              <w:rPr/>
              <w:t> </w:t>
            </w:r>
          </w:p>
        </w:tc>
        <w:tc>
          <w:tcPr>
            <w:tcW w:w="172" w:type="dxa"/>
            <w:tcBorders/>
            <w:shd w:fill="EEEEEE" w:val="clear"/>
            <w:vAlign w:val="center"/>
          </w:tcPr>
          <w:p>
            <w:pPr>
              <w:pStyle w:val="TableContents"/>
              <w:bidi w:val="0"/>
              <w:spacing w:before="0" w:after="283"/>
              <w:jc w:val="left"/>
              <w:rPr/>
            </w:pPr>
            <w:r>
              <w:rPr/>
              <w:t> </w:t>
            </w:r>
          </w:p>
        </w:tc>
        <w:tc>
          <w:tcPr>
            <w:tcW w:w="2851" w:type="dxa"/>
            <w:tcBorders/>
            <w:shd w:fill="EEEEEE" w:val="clear"/>
            <w:vAlign w:val="center"/>
          </w:tcPr>
          <w:p>
            <w:pPr>
              <w:pStyle w:val="TableContents"/>
              <w:bidi w:val="0"/>
              <w:spacing w:before="0" w:after="283"/>
              <w:jc w:val="right"/>
              <w:rPr/>
            </w:pPr>
            <w:r>
              <w:rPr/>
              <w:t>859,069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7" w:type="dxa"/>
            <w:tcBorders/>
            <w:shd w:fill="EEEEEE" w:val="clear"/>
            <w:vAlign w:val="center"/>
          </w:tcPr>
          <w:p>
            <w:pPr>
              <w:pStyle w:val="TableContents"/>
              <w:bidi w:val="0"/>
              <w:spacing w:before="0" w:after="283"/>
              <w:jc w:val="left"/>
              <w:rPr/>
            </w:pPr>
            <w:r>
              <w:rPr/>
              <w:t> </w:t>
            </w:r>
          </w:p>
        </w:tc>
        <w:tc>
          <w:tcPr>
            <w:tcW w:w="3071" w:type="dxa"/>
            <w:tcBorders/>
            <w:shd w:fill="EEEEEE" w:val="clear"/>
            <w:vAlign w:val="center"/>
          </w:tcPr>
          <w:p>
            <w:pPr>
              <w:pStyle w:val="TableContents"/>
              <w:bidi w:val="0"/>
              <w:spacing w:before="0" w:after="283"/>
              <w:jc w:val="right"/>
              <w:rPr/>
            </w:pPr>
            <w:r>
              <w:rPr/>
              <w:t>2,333,530</w:t>
            </w:r>
          </w:p>
        </w:tc>
        <w:tc>
          <w:tcPr>
            <w:tcW w:w="77" w:type="dxa"/>
            <w:tcBorders/>
            <w:shd w:fill="EEEEEE" w:val="clear"/>
            <w:vAlign w:val="center"/>
          </w:tcPr>
          <w:p>
            <w:pPr>
              <w:pStyle w:val="TableContents"/>
              <w:bidi w:val="0"/>
              <w:spacing w:before="0" w:after="283"/>
              <w:jc w:val="left"/>
              <w:rPr/>
            </w:pPr>
            <w:r>
              <w:rPr/>
              <w:t> </w:t>
            </w:r>
          </w:p>
        </w:tc>
      </w:tr>
      <w:tr>
        <w:trPr/>
        <w:tc>
          <w:tcPr>
            <w:tcW w:w="3667" w:type="dxa"/>
            <w:tcBorders/>
            <w:shd w:fill="FFFFFF" w:val="clear"/>
            <w:vAlign w:val="center"/>
          </w:tcPr>
          <w:p>
            <w:pPr>
              <w:pStyle w:val="TableContents"/>
              <w:bidi w:val="0"/>
              <w:spacing w:before="0" w:after="283"/>
              <w:jc w:val="center"/>
              <w:rPr/>
            </w:pPr>
            <w:r>
              <w:rPr/>
              <w:t>2018</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2851" w:type="dxa"/>
            <w:tcBorders/>
            <w:shd w:fill="FFFFFF" w:val="clear"/>
            <w:vAlign w:val="center"/>
          </w:tcPr>
          <w:p>
            <w:pPr>
              <w:pStyle w:val="TableContents"/>
              <w:bidi w:val="0"/>
              <w:spacing w:before="0" w:after="283"/>
              <w:jc w:val="right"/>
              <w:rPr/>
            </w:pPr>
            <w:r>
              <w:rPr/>
              <w:t>902,416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3071" w:type="dxa"/>
            <w:tcBorders/>
            <w:shd w:fill="FFFFFF" w:val="clear"/>
            <w:vAlign w:val="center"/>
          </w:tcPr>
          <w:p>
            <w:pPr>
              <w:pStyle w:val="TableContents"/>
              <w:bidi w:val="0"/>
              <w:spacing w:before="0" w:after="283"/>
              <w:jc w:val="right"/>
              <w:rPr/>
            </w:pPr>
            <w:r>
              <w:rPr/>
              <w:t>2,380,847</w:t>
            </w:r>
          </w:p>
        </w:tc>
        <w:tc>
          <w:tcPr>
            <w:tcW w:w="77" w:type="dxa"/>
            <w:tcBorders/>
            <w:shd w:fill="FFFFFF" w:val="clear"/>
            <w:vAlign w:val="center"/>
          </w:tcPr>
          <w:p>
            <w:pPr>
              <w:pStyle w:val="TableContents"/>
              <w:bidi w:val="0"/>
              <w:spacing w:before="0" w:after="283"/>
              <w:jc w:val="left"/>
              <w:rPr/>
            </w:pPr>
            <w:r>
              <w:rPr/>
              <w:t> </w:t>
            </w:r>
          </w:p>
        </w:tc>
      </w:tr>
      <w:tr>
        <w:trPr/>
        <w:tc>
          <w:tcPr>
            <w:tcW w:w="3667" w:type="dxa"/>
            <w:tcBorders/>
            <w:shd w:fill="EEEEEE" w:val="clear"/>
            <w:vAlign w:val="center"/>
          </w:tcPr>
          <w:p>
            <w:pPr>
              <w:pStyle w:val="TableContents"/>
              <w:bidi w:val="0"/>
              <w:spacing w:before="0" w:after="283"/>
              <w:jc w:val="center"/>
              <w:rPr/>
            </w:pPr>
            <w:r>
              <w:rPr/>
              <w:t>2019</w:t>
            </w:r>
          </w:p>
        </w:tc>
        <w:tc>
          <w:tcPr>
            <w:tcW w:w="60" w:type="dxa"/>
            <w:tcBorders/>
            <w:shd w:fill="EEEEEE" w:val="clear"/>
            <w:vAlign w:val="center"/>
          </w:tcPr>
          <w:p>
            <w:pPr>
              <w:pStyle w:val="TableContents"/>
              <w:bidi w:val="0"/>
              <w:spacing w:before="0" w:after="283"/>
              <w:jc w:val="left"/>
              <w:rPr/>
            </w:pPr>
            <w:r>
              <w:rPr/>
              <w:t> </w:t>
            </w:r>
          </w:p>
        </w:tc>
        <w:tc>
          <w:tcPr>
            <w:tcW w:w="172" w:type="dxa"/>
            <w:tcBorders/>
            <w:shd w:fill="EEEEEE" w:val="clear"/>
            <w:vAlign w:val="center"/>
          </w:tcPr>
          <w:p>
            <w:pPr>
              <w:pStyle w:val="TableContents"/>
              <w:bidi w:val="0"/>
              <w:spacing w:before="0" w:after="283"/>
              <w:jc w:val="left"/>
              <w:rPr/>
            </w:pPr>
            <w:r>
              <w:rPr/>
              <w:t> </w:t>
            </w:r>
          </w:p>
        </w:tc>
        <w:tc>
          <w:tcPr>
            <w:tcW w:w="2851" w:type="dxa"/>
            <w:tcBorders/>
            <w:shd w:fill="EEEEEE" w:val="clear"/>
            <w:vAlign w:val="center"/>
          </w:tcPr>
          <w:p>
            <w:pPr>
              <w:pStyle w:val="TableContents"/>
              <w:bidi w:val="0"/>
              <w:spacing w:before="0" w:after="283"/>
              <w:jc w:val="right"/>
              <w:rPr/>
            </w:pPr>
            <w:r>
              <w:rPr/>
              <w:t>1,002,782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7" w:type="dxa"/>
            <w:tcBorders/>
            <w:shd w:fill="EEEEEE" w:val="clear"/>
            <w:vAlign w:val="center"/>
          </w:tcPr>
          <w:p>
            <w:pPr>
              <w:pStyle w:val="TableContents"/>
              <w:bidi w:val="0"/>
              <w:spacing w:before="0" w:after="283"/>
              <w:jc w:val="left"/>
              <w:rPr/>
            </w:pPr>
            <w:r>
              <w:rPr/>
              <w:t> </w:t>
            </w:r>
          </w:p>
        </w:tc>
        <w:tc>
          <w:tcPr>
            <w:tcW w:w="3071" w:type="dxa"/>
            <w:tcBorders/>
            <w:shd w:fill="EEEEEE" w:val="clear"/>
            <w:vAlign w:val="center"/>
          </w:tcPr>
          <w:p>
            <w:pPr>
              <w:pStyle w:val="TableContents"/>
              <w:bidi w:val="0"/>
              <w:spacing w:before="0" w:after="283"/>
              <w:jc w:val="right"/>
              <w:rPr/>
            </w:pPr>
            <w:r>
              <w:rPr/>
              <w:t>2,416,042</w:t>
            </w:r>
          </w:p>
        </w:tc>
        <w:tc>
          <w:tcPr>
            <w:tcW w:w="77" w:type="dxa"/>
            <w:tcBorders/>
            <w:shd w:fill="EEEEEE" w:val="clear"/>
            <w:vAlign w:val="center"/>
          </w:tcPr>
          <w:p>
            <w:pPr>
              <w:pStyle w:val="TableContents"/>
              <w:bidi w:val="0"/>
              <w:spacing w:before="0" w:after="283"/>
              <w:jc w:val="left"/>
              <w:rPr/>
            </w:pPr>
            <w:r>
              <w:rPr/>
              <w:t> </w:t>
            </w:r>
          </w:p>
        </w:tc>
      </w:tr>
      <w:tr>
        <w:trPr/>
        <w:tc>
          <w:tcPr>
            <w:tcW w:w="3667" w:type="dxa"/>
            <w:tcBorders/>
            <w:shd w:fill="FFFFFF" w:val="clear"/>
            <w:vAlign w:val="center"/>
          </w:tcPr>
          <w:p>
            <w:pPr>
              <w:pStyle w:val="TableContents"/>
              <w:bidi w:val="0"/>
              <w:spacing w:before="0" w:after="283"/>
              <w:jc w:val="center"/>
              <w:rPr/>
            </w:pPr>
            <w:r>
              <w:rPr/>
              <w:t>2020</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2851" w:type="dxa"/>
            <w:tcBorders/>
            <w:shd w:fill="FFFFFF" w:val="clear"/>
            <w:vAlign w:val="center"/>
          </w:tcPr>
          <w:p>
            <w:pPr>
              <w:pStyle w:val="TableContents"/>
              <w:bidi w:val="0"/>
              <w:spacing w:before="0" w:after="283"/>
              <w:jc w:val="right"/>
              <w:rPr/>
            </w:pPr>
            <w:r>
              <w:rPr/>
              <w:t>742,584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3071" w:type="dxa"/>
            <w:tcBorders/>
            <w:shd w:fill="FFFFFF" w:val="clear"/>
            <w:vAlign w:val="center"/>
          </w:tcPr>
          <w:p>
            <w:pPr>
              <w:pStyle w:val="TableContents"/>
              <w:bidi w:val="0"/>
              <w:spacing w:before="0" w:after="283"/>
              <w:jc w:val="right"/>
              <w:rPr/>
            </w:pPr>
            <w:r>
              <w:rPr/>
              <w:t>2,174,972</w:t>
            </w:r>
          </w:p>
        </w:tc>
        <w:tc>
          <w:tcPr>
            <w:tcW w:w="77" w:type="dxa"/>
            <w:tcBorders/>
            <w:shd w:fill="FFFFFF" w:val="clear"/>
            <w:vAlign w:val="center"/>
          </w:tcPr>
          <w:p>
            <w:pPr>
              <w:pStyle w:val="TableContents"/>
              <w:bidi w:val="0"/>
              <w:spacing w:before="0" w:after="283"/>
              <w:jc w:val="left"/>
              <w:rPr/>
            </w:pPr>
            <w:r>
              <w:rPr/>
              <w:t> </w:t>
            </w:r>
          </w:p>
        </w:tc>
      </w:tr>
      <w:tr>
        <w:trPr/>
        <w:tc>
          <w:tcPr>
            <w:tcW w:w="3667" w:type="dxa"/>
            <w:tcBorders/>
            <w:shd w:fill="EEEEEE" w:val="clear"/>
            <w:vAlign w:val="center"/>
          </w:tcPr>
          <w:p>
            <w:pPr>
              <w:pStyle w:val="TableContents"/>
              <w:bidi w:val="0"/>
              <w:spacing w:before="0" w:after="283"/>
              <w:jc w:val="center"/>
              <w:rPr/>
            </w:pPr>
            <w:r>
              <w:rPr/>
              <w:t>2021</w:t>
            </w:r>
          </w:p>
        </w:tc>
        <w:tc>
          <w:tcPr>
            <w:tcW w:w="60" w:type="dxa"/>
            <w:tcBorders/>
            <w:shd w:fill="EEEEEE" w:val="clear"/>
            <w:vAlign w:val="center"/>
          </w:tcPr>
          <w:p>
            <w:pPr>
              <w:pStyle w:val="TableContents"/>
              <w:bidi w:val="0"/>
              <w:spacing w:before="0" w:after="283"/>
              <w:jc w:val="left"/>
              <w:rPr/>
            </w:pPr>
            <w:r>
              <w:rPr/>
              <w:t> </w:t>
            </w:r>
          </w:p>
        </w:tc>
        <w:tc>
          <w:tcPr>
            <w:tcW w:w="172" w:type="dxa"/>
            <w:tcBorders/>
            <w:shd w:fill="EEEEEE" w:val="clear"/>
            <w:vAlign w:val="center"/>
          </w:tcPr>
          <w:p>
            <w:pPr>
              <w:pStyle w:val="TableContents"/>
              <w:bidi w:val="0"/>
              <w:spacing w:before="0" w:after="283"/>
              <w:jc w:val="left"/>
              <w:rPr/>
            </w:pPr>
            <w:r>
              <w:rPr/>
              <w:t> </w:t>
            </w:r>
          </w:p>
        </w:tc>
        <w:tc>
          <w:tcPr>
            <w:tcW w:w="2851" w:type="dxa"/>
            <w:tcBorders/>
            <w:shd w:fill="EEEEEE" w:val="clear"/>
            <w:vAlign w:val="center"/>
          </w:tcPr>
          <w:p>
            <w:pPr>
              <w:pStyle w:val="TableContents"/>
              <w:bidi w:val="0"/>
              <w:spacing w:before="0" w:after="283"/>
              <w:jc w:val="right"/>
              <w:rPr/>
            </w:pPr>
            <w:r>
              <w:rPr/>
              <w:t>1,146,321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7" w:type="dxa"/>
            <w:tcBorders/>
            <w:shd w:fill="EEEEEE" w:val="clear"/>
            <w:vAlign w:val="center"/>
          </w:tcPr>
          <w:p>
            <w:pPr>
              <w:pStyle w:val="TableContents"/>
              <w:bidi w:val="0"/>
              <w:spacing w:before="0" w:after="283"/>
              <w:jc w:val="left"/>
              <w:rPr/>
            </w:pPr>
            <w:r>
              <w:rPr/>
              <w:t> </w:t>
            </w:r>
          </w:p>
        </w:tc>
        <w:tc>
          <w:tcPr>
            <w:tcW w:w="3071" w:type="dxa"/>
            <w:tcBorders/>
            <w:shd w:fill="EEEEEE" w:val="clear"/>
            <w:vAlign w:val="center"/>
          </w:tcPr>
          <w:p>
            <w:pPr>
              <w:pStyle w:val="TableContents"/>
              <w:bidi w:val="0"/>
              <w:spacing w:before="0" w:after="283"/>
              <w:jc w:val="right"/>
              <w:rPr/>
            </w:pPr>
            <w:r>
              <w:rPr/>
              <w:t>2,249,069</w:t>
            </w:r>
          </w:p>
        </w:tc>
        <w:tc>
          <w:tcPr>
            <w:tcW w:w="77" w:type="dxa"/>
            <w:tcBorders/>
            <w:shd w:fill="EEEEEE" w:val="clear"/>
            <w:vAlign w:val="center"/>
          </w:tcPr>
          <w:p>
            <w:pPr>
              <w:pStyle w:val="TableContents"/>
              <w:bidi w:val="0"/>
              <w:spacing w:before="0" w:after="283"/>
              <w:jc w:val="left"/>
              <w:rPr/>
            </w:pPr>
            <w:r>
              <w:rPr/>
              <w:t> </w:t>
            </w:r>
          </w:p>
        </w:tc>
      </w:tr>
      <w:tr>
        <w:trPr/>
        <w:tc>
          <w:tcPr>
            <w:tcW w:w="3667" w:type="dxa"/>
            <w:tcBorders/>
            <w:shd w:fill="FFFFFF" w:val="clear"/>
            <w:vAlign w:val="center"/>
          </w:tcPr>
          <w:p>
            <w:pPr>
              <w:pStyle w:val="TableContents"/>
              <w:bidi w:val="0"/>
              <w:spacing w:before="0" w:after="283"/>
              <w:jc w:val="center"/>
              <w:rPr/>
            </w:pPr>
            <w:r>
              <w:rPr/>
              <w:t>2022</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2851" w:type="dxa"/>
            <w:tcBorders/>
            <w:shd w:fill="FFFFFF" w:val="clear"/>
            <w:vAlign w:val="center"/>
          </w:tcPr>
          <w:p>
            <w:pPr>
              <w:pStyle w:val="TableContents"/>
              <w:bidi w:val="0"/>
              <w:spacing w:before="0" w:after="283"/>
              <w:jc w:val="right"/>
              <w:rPr/>
            </w:pPr>
            <w:r>
              <w:rPr/>
              <w:t>1,845,385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3071" w:type="dxa"/>
            <w:tcBorders/>
            <w:shd w:fill="FFFFFF" w:val="clear"/>
            <w:vAlign w:val="center"/>
          </w:tcPr>
          <w:p>
            <w:pPr>
              <w:pStyle w:val="TableContents"/>
              <w:bidi w:val="0"/>
              <w:spacing w:before="0" w:after="283"/>
              <w:jc w:val="right"/>
              <w:rPr/>
            </w:pPr>
            <w:r>
              <w:rPr/>
              <w:t>3,001,308</w:t>
            </w:r>
          </w:p>
        </w:tc>
        <w:tc>
          <w:tcPr>
            <w:tcW w:w="77" w:type="dxa"/>
            <w:tcBorders/>
            <w:shd w:fill="FFFFFF" w:val="clear"/>
            <w:vAlign w:val="center"/>
          </w:tcPr>
          <w:p>
            <w:pPr>
              <w:pStyle w:val="TableContents"/>
              <w:bidi w:val="0"/>
              <w:spacing w:before="0" w:after="283"/>
              <w:jc w:val="left"/>
              <w:rPr/>
            </w:pPr>
            <w:r>
              <w:rPr/>
              <w:t> </w:t>
            </w:r>
          </w:p>
        </w:tc>
      </w:tr>
      <w:tr>
        <w:trPr/>
        <w:tc>
          <w:tcPr>
            <w:tcW w:w="3667" w:type="dxa"/>
            <w:tcBorders/>
            <w:shd w:fill="EEEEEE" w:val="clear"/>
            <w:vAlign w:val="center"/>
          </w:tcPr>
          <w:p>
            <w:pPr>
              <w:pStyle w:val="TableContents"/>
              <w:bidi w:val="0"/>
              <w:spacing w:before="0" w:after="283"/>
              <w:jc w:val="left"/>
              <w:rPr/>
            </w:pPr>
            <w:r>
              <w:rPr/>
              <w:t>Nine months ended September 30, 2023</w:t>
            </w:r>
          </w:p>
        </w:tc>
        <w:tc>
          <w:tcPr>
            <w:tcW w:w="60" w:type="dxa"/>
            <w:tcBorders/>
            <w:shd w:fill="EEEEEE" w:val="clear"/>
            <w:vAlign w:val="center"/>
          </w:tcPr>
          <w:p>
            <w:pPr>
              <w:pStyle w:val="TableContents"/>
              <w:bidi w:val="0"/>
              <w:spacing w:before="0" w:after="283"/>
              <w:jc w:val="left"/>
              <w:rPr/>
            </w:pPr>
            <w:r>
              <w:rPr/>
              <w:t> </w:t>
            </w:r>
          </w:p>
        </w:tc>
        <w:tc>
          <w:tcPr>
            <w:tcW w:w="172" w:type="dxa"/>
            <w:tcBorders/>
            <w:shd w:fill="EEEEEE" w:val="clear"/>
            <w:vAlign w:val="center"/>
          </w:tcPr>
          <w:p>
            <w:pPr>
              <w:pStyle w:val="TableContents"/>
              <w:bidi w:val="0"/>
              <w:spacing w:before="0" w:after="283"/>
              <w:jc w:val="left"/>
              <w:rPr/>
            </w:pPr>
            <w:r>
              <w:rPr/>
              <w:t> </w:t>
            </w:r>
          </w:p>
        </w:tc>
        <w:tc>
          <w:tcPr>
            <w:tcW w:w="2851" w:type="dxa"/>
            <w:tcBorders/>
            <w:shd w:fill="EEEEEE" w:val="clear"/>
            <w:vAlign w:val="center"/>
          </w:tcPr>
          <w:p>
            <w:pPr>
              <w:pStyle w:val="TableContents"/>
              <w:bidi w:val="0"/>
              <w:spacing w:before="0" w:after="283"/>
              <w:jc w:val="right"/>
              <w:rPr/>
            </w:pPr>
            <w:r>
              <w:rPr/>
              <w:t>1,055,957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7" w:type="dxa"/>
            <w:tcBorders/>
            <w:shd w:fill="EEEEEE" w:val="clear"/>
            <w:vAlign w:val="center"/>
          </w:tcPr>
          <w:p>
            <w:pPr>
              <w:pStyle w:val="TableContents"/>
              <w:bidi w:val="0"/>
              <w:spacing w:before="0" w:after="283"/>
              <w:jc w:val="left"/>
              <w:rPr/>
            </w:pPr>
            <w:r>
              <w:rPr/>
              <w:t> </w:t>
            </w:r>
          </w:p>
        </w:tc>
        <w:tc>
          <w:tcPr>
            <w:tcW w:w="3071" w:type="dxa"/>
            <w:tcBorders/>
            <w:shd w:fill="EEEEEE" w:val="clear"/>
            <w:vAlign w:val="center"/>
          </w:tcPr>
          <w:p>
            <w:pPr>
              <w:pStyle w:val="TableContents"/>
              <w:bidi w:val="0"/>
              <w:spacing w:before="0" w:after="283"/>
              <w:jc w:val="right"/>
              <w:rPr/>
            </w:pPr>
            <w:r>
              <w:rPr/>
              <w:t>3,181,758</w:t>
            </w:r>
          </w:p>
        </w:tc>
        <w:tc>
          <w:tcPr>
            <w:tcW w:w="77"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2021 we began purchasing some contracts for immediate sale to a third-party to whom we refer applications that don’t meet our lending criteria. We service all such contracts on behalf of the third-party. We earn fees for originating the receivable and also servicing fees on active accounts in the third-party portfolio. For the nine months ended September 30, 2023, we originated $92.0 million under this third-party program. As of September 30, 2023, our managed portfolio includes $238.4 million of such third-party receivables.</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in Las Vegas, Nevada. Most of our operational and administrative functions take place in Irvine, California. Credit and underwriting functions are performed primarily in that California branch with certain of these functions also performed in our Florida and Nevada branches. We service our automobile contracts from our California, Nevada, Virginia, Florida and Illinois branches.</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programs we offer to dealers and consumers are intended to serve a wide range of sub-prime customers, primarily through franchised new car dealers. We originate automobile contracts with the intention of financing them on a long-term basis through securitizations. Securitizations are transactions in which we sell a specified pool of contracts to a special purpose subsidiary of ours, which in turn issues asset-backed securities to fund the purchase of the pool of contracts from us.</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44"/>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Securitization and Warehouse Credit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be purchased by institutional investors. Depending on the structure, these transactions may be accounted for under generally accepted accounting principles as sales of the automobile contracts or as secured financings. All of our active securitizations are structured as secured financings.</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structured to be treated as a secured financing for accounting purposes, the subsidiary is consolidated with us. Accordingly, the sold automobile contracts and the related debt appear as assets and liabilities, respectively, on our consolidated balance sheet. We then periodically (i) recognize interest and fee income on the contracts, and (ii) recognize interest expense on the securities issued in the transaction. For automobile contracts acquired after 2017 we take account of estimated credit losses in our computation of a level yield used to determine recognition of interest on the contracts. For contracts acquired before 2018, we adopted CECL on January 1, 2020 and we may, as circumstances warrant, record or reverse expense provisions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1994 we have conducted 98 term securitizations of automobile contracts that we originated. As of September 30, 2023, 18 of those securitizations are active and all are structured as secured financings. We have generally conducted our securitizations on a quarterly basis, near the end of each calendar quarter, resulting in four securitizations per calendar year. However, in 2020, we closed only three term securitization transactions in that calendar year rather than four.</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recent history of term securitizations is summarized in the table below:</w:t>
      </w:r>
    </w:p>
    <w:p>
      <w:pPr>
        <w:pStyle w:val="TextBody"/>
        <w:bidi w:val="0"/>
        <w:spacing w:before="0" w:after="0"/>
        <w:ind w:left="0" w:right="0" w:firstLine="144"/>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Asset-Backed Term Securitizations</w:t>
      </w:r>
    </w:p>
    <w:p>
      <w:pPr>
        <w:pStyle w:val="TextBody"/>
        <w:bidi w:val="0"/>
        <w:spacing w:before="0" w:after="0"/>
        <w:ind w:left="0" w:right="0" w:firstLine="144"/>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38"/>
        <w:gridCol w:w="60"/>
        <w:gridCol w:w="2915"/>
        <w:gridCol w:w="60"/>
        <w:gridCol w:w="481"/>
        <w:gridCol w:w="3374"/>
        <w:gridCol w:w="77"/>
      </w:tblGrid>
      <w:tr>
        <w:trPr/>
        <w:tc>
          <w:tcPr>
            <w:tcW w:w="32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07" w:type="dxa"/>
            <w:gridSpan w:val="5"/>
            <w:tcBorders>
              <w:bottom w:val="single" w:sz="8" w:space="0" w:color="000000"/>
            </w:tcBorders>
            <w:tcMar>
              <w:bottom w:w="28" w:type="dxa"/>
            </w:tcMar>
            <w:vAlign w:val="center"/>
          </w:tcPr>
          <w:p>
            <w:pPr>
              <w:pStyle w:val="TableContents"/>
              <w:bidi w:val="0"/>
              <w:spacing w:before="0" w:after="283"/>
              <w:jc w:val="center"/>
              <w:rPr>
                <w:i/>
              </w:rPr>
            </w:pPr>
            <w:r>
              <w:rPr>
                <w:i/>
              </w:rPr>
              <w:t>$ in thousands</w:t>
            </w:r>
          </w:p>
        </w:tc>
      </w:tr>
      <w:tr>
        <w:trPr/>
        <w:tc>
          <w:tcPr>
            <w:tcW w:w="3238" w:type="dxa"/>
            <w:tcBorders>
              <w:bottom w:val="single" w:sz="8" w:space="0" w:color="000000"/>
            </w:tcBorders>
            <w:tcMar>
              <w:bottom w:w="28" w:type="dxa"/>
            </w:tcMar>
            <w:vAlign w:val="center"/>
          </w:tcPr>
          <w:p>
            <w:pPr>
              <w:pStyle w:val="TableContents"/>
              <w:bidi w:val="0"/>
              <w:spacing w:before="0" w:after="283"/>
              <w:jc w:val="center"/>
              <w:rPr>
                <w:b/>
              </w:rPr>
            </w:pPr>
            <w:r>
              <w:rPr>
                <w:b/>
              </w:rPr>
              <w:t>Period</w:t>
            </w:r>
          </w:p>
        </w:tc>
        <w:tc>
          <w:tcPr>
            <w:tcW w:w="60" w:type="dxa"/>
            <w:tcBorders/>
            <w:vAlign w:val="center"/>
          </w:tcPr>
          <w:p>
            <w:pPr>
              <w:pStyle w:val="TableContents"/>
              <w:bidi w:val="0"/>
              <w:spacing w:before="0" w:after="283"/>
              <w:jc w:val="left"/>
              <w:rPr/>
            </w:pPr>
            <w:r>
              <w:rPr/>
              <w:t> </w:t>
            </w:r>
          </w:p>
        </w:tc>
        <w:tc>
          <w:tcPr>
            <w:tcW w:w="2915" w:type="dxa"/>
            <w:tcBorders>
              <w:bottom w:val="single" w:sz="8" w:space="0" w:color="000000"/>
            </w:tcBorders>
            <w:tcMar>
              <w:bottom w:w="28" w:type="dxa"/>
            </w:tcMar>
            <w:vAlign w:val="center"/>
          </w:tcPr>
          <w:p>
            <w:pPr>
              <w:pStyle w:val="TableContents"/>
              <w:bidi w:val="0"/>
              <w:spacing w:before="0" w:after="283"/>
              <w:jc w:val="center"/>
              <w:rPr>
                <w:b/>
              </w:rPr>
            </w:pPr>
            <w:r>
              <w:rPr>
                <w:b/>
              </w:rPr>
              <w:t>Number of Term Securitizations</w:t>
            </w:r>
          </w:p>
        </w:tc>
        <w:tc>
          <w:tcPr>
            <w:tcW w:w="60" w:type="dxa"/>
            <w:tcBorders/>
            <w:vAlign w:val="center"/>
          </w:tcPr>
          <w:p>
            <w:pPr>
              <w:pStyle w:val="TableContents"/>
              <w:bidi w:val="0"/>
              <w:spacing w:before="0" w:after="283"/>
              <w:jc w:val="left"/>
              <w:rPr/>
            </w:pPr>
            <w:r>
              <w:rPr/>
              <w:t> </w:t>
            </w:r>
          </w:p>
        </w:tc>
        <w:tc>
          <w:tcPr>
            <w:tcW w:w="38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Receivables Pledged in Term Securitizations</w:t>
            </w:r>
          </w:p>
        </w:tc>
        <w:tc>
          <w:tcPr>
            <w:tcW w:w="77" w:type="dxa"/>
            <w:tcBorders/>
            <w:vAlign w:val="center"/>
          </w:tcPr>
          <w:p>
            <w:pPr>
              <w:pStyle w:val="TableContents"/>
              <w:bidi w:val="0"/>
              <w:spacing w:before="0" w:after="283"/>
              <w:jc w:val="left"/>
              <w:rPr/>
            </w:pPr>
            <w:r>
              <w:rPr/>
              <w:t> </w:t>
            </w:r>
          </w:p>
        </w:tc>
      </w:tr>
      <w:tr>
        <w:trPr/>
        <w:tc>
          <w:tcPr>
            <w:tcW w:w="3238" w:type="dxa"/>
            <w:tcBorders/>
            <w:shd w:fill="EEEEEE" w:val="clear"/>
            <w:vAlign w:val="center"/>
          </w:tcPr>
          <w:p>
            <w:pPr>
              <w:pStyle w:val="TableContents"/>
              <w:bidi w:val="0"/>
              <w:spacing w:before="0" w:after="283"/>
              <w:jc w:val="center"/>
              <w:rPr/>
            </w:pPr>
            <w:r>
              <w:rPr/>
              <w:t>2017</w:t>
            </w:r>
          </w:p>
        </w:tc>
        <w:tc>
          <w:tcPr>
            <w:tcW w:w="60" w:type="dxa"/>
            <w:tcBorders/>
            <w:shd w:fill="EEEEEE" w:val="clear"/>
            <w:vAlign w:val="center"/>
          </w:tcPr>
          <w:p>
            <w:pPr>
              <w:pStyle w:val="TableContents"/>
              <w:bidi w:val="0"/>
              <w:spacing w:before="0" w:after="283"/>
              <w:jc w:val="left"/>
              <w:rPr/>
            </w:pPr>
            <w:r>
              <w:rPr/>
              <w:t> </w:t>
            </w:r>
          </w:p>
        </w:tc>
        <w:tc>
          <w:tcPr>
            <w:tcW w:w="2915" w:type="dxa"/>
            <w:tcBorders/>
            <w:shd w:fill="EEEEEE" w:val="clear"/>
            <w:vAlign w:val="center"/>
          </w:tcPr>
          <w:p>
            <w:pPr>
              <w:pStyle w:val="TableContents"/>
              <w:bidi w:val="0"/>
              <w:spacing w:before="0" w:after="283"/>
              <w:jc w:val="center"/>
              <w:rPr/>
            </w:pPr>
            <w:r>
              <w:rPr/>
              <w:t>4</w:t>
            </w:r>
          </w:p>
        </w:tc>
        <w:tc>
          <w:tcPr>
            <w:tcW w:w="60" w:type="dxa"/>
            <w:tcBorders/>
            <w:shd w:fill="EEEEEE" w:val="clear"/>
            <w:vAlign w:val="center"/>
          </w:tcPr>
          <w:p>
            <w:pPr>
              <w:pStyle w:val="TableContents"/>
              <w:bidi w:val="0"/>
              <w:spacing w:before="0" w:after="283"/>
              <w:jc w:val="left"/>
              <w:rPr/>
            </w:pPr>
            <w:r>
              <w:rPr/>
              <w:t> </w:t>
            </w:r>
          </w:p>
        </w:tc>
        <w:tc>
          <w:tcPr>
            <w:tcW w:w="481" w:type="dxa"/>
            <w:tcBorders/>
            <w:shd w:fill="EEEEEE" w:val="clear"/>
            <w:vAlign w:val="center"/>
          </w:tcPr>
          <w:p>
            <w:pPr>
              <w:pStyle w:val="TableContents"/>
              <w:bidi w:val="0"/>
              <w:spacing w:before="0" w:after="283"/>
              <w:jc w:val="left"/>
              <w:rPr/>
            </w:pPr>
            <w:r>
              <w:rPr/>
              <w:t>$</w:t>
            </w:r>
          </w:p>
        </w:tc>
        <w:tc>
          <w:tcPr>
            <w:tcW w:w="3374" w:type="dxa"/>
            <w:tcBorders/>
            <w:shd w:fill="EEEEEE" w:val="clear"/>
            <w:vAlign w:val="center"/>
          </w:tcPr>
          <w:p>
            <w:pPr>
              <w:pStyle w:val="TableContents"/>
              <w:bidi w:val="0"/>
              <w:spacing w:before="0" w:after="283"/>
              <w:jc w:val="right"/>
              <w:rPr/>
            </w:pPr>
            <w:r>
              <w:rPr/>
              <w:t>870,000</w:t>
            </w:r>
          </w:p>
        </w:tc>
        <w:tc>
          <w:tcPr>
            <w:tcW w:w="77" w:type="dxa"/>
            <w:tcBorders/>
            <w:shd w:fill="EEEEEE" w:val="clear"/>
            <w:vAlign w:val="center"/>
          </w:tcPr>
          <w:p>
            <w:pPr>
              <w:pStyle w:val="TableContents"/>
              <w:bidi w:val="0"/>
              <w:spacing w:before="0" w:after="283"/>
              <w:jc w:val="left"/>
              <w:rPr/>
            </w:pPr>
            <w:r>
              <w:rPr/>
              <w:t> </w:t>
            </w:r>
          </w:p>
        </w:tc>
      </w:tr>
      <w:tr>
        <w:trPr/>
        <w:tc>
          <w:tcPr>
            <w:tcW w:w="3238" w:type="dxa"/>
            <w:tcBorders/>
            <w:shd w:fill="FFFFFF" w:val="clear"/>
            <w:vAlign w:val="center"/>
          </w:tcPr>
          <w:p>
            <w:pPr>
              <w:pStyle w:val="TableContents"/>
              <w:bidi w:val="0"/>
              <w:spacing w:before="0" w:after="283"/>
              <w:jc w:val="center"/>
              <w:rPr/>
            </w:pPr>
            <w:r>
              <w:rPr/>
              <w:t>2018</w:t>
            </w:r>
          </w:p>
        </w:tc>
        <w:tc>
          <w:tcPr>
            <w:tcW w:w="60" w:type="dxa"/>
            <w:tcBorders/>
            <w:shd w:fill="FFFFFF" w:val="clear"/>
            <w:vAlign w:val="center"/>
          </w:tcPr>
          <w:p>
            <w:pPr>
              <w:pStyle w:val="TableContents"/>
              <w:bidi w:val="0"/>
              <w:spacing w:before="0" w:after="283"/>
              <w:jc w:val="left"/>
              <w:rPr/>
            </w:pPr>
            <w:r>
              <w:rPr/>
              <w:t> </w:t>
            </w:r>
          </w:p>
        </w:tc>
        <w:tc>
          <w:tcPr>
            <w:tcW w:w="2915" w:type="dxa"/>
            <w:tcBorders/>
            <w:shd w:fill="FFFFFF" w:val="clear"/>
            <w:vAlign w:val="center"/>
          </w:tcPr>
          <w:p>
            <w:pPr>
              <w:pStyle w:val="TableContents"/>
              <w:bidi w:val="0"/>
              <w:spacing w:before="0" w:after="283"/>
              <w:jc w:val="center"/>
              <w:rPr/>
            </w:pPr>
            <w:r>
              <w:rPr/>
              <w:t>4</w:t>
            </w:r>
          </w:p>
        </w:tc>
        <w:tc>
          <w:tcPr>
            <w:tcW w:w="60"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left"/>
              <w:rPr/>
            </w:pPr>
            <w:r>
              <w:rPr/>
              <w:t> </w:t>
            </w:r>
          </w:p>
        </w:tc>
        <w:tc>
          <w:tcPr>
            <w:tcW w:w="3374" w:type="dxa"/>
            <w:tcBorders/>
            <w:shd w:fill="FFFFFF" w:val="clear"/>
            <w:vAlign w:val="center"/>
          </w:tcPr>
          <w:p>
            <w:pPr>
              <w:pStyle w:val="TableContents"/>
              <w:bidi w:val="0"/>
              <w:spacing w:before="0" w:after="283"/>
              <w:jc w:val="right"/>
              <w:rPr/>
            </w:pPr>
            <w:r>
              <w:rPr/>
              <w:t>883,452</w:t>
            </w:r>
          </w:p>
        </w:tc>
        <w:tc>
          <w:tcPr>
            <w:tcW w:w="77" w:type="dxa"/>
            <w:tcBorders/>
            <w:shd w:fill="FFFFFF" w:val="clear"/>
            <w:vAlign w:val="center"/>
          </w:tcPr>
          <w:p>
            <w:pPr>
              <w:pStyle w:val="TableContents"/>
              <w:bidi w:val="0"/>
              <w:spacing w:before="0" w:after="283"/>
              <w:jc w:val="left"/>
              <w:rPr/>
            </w:pPr>
            <w:r>
              <w:rPr/>
              <w:t> </w:t>
            </w:r>
          </w:p>
        </w:tc>
      </w:tr>
      <w:tr>
        <w:trPr/>
        <w:tc>
          <w:tcPr>
            <w:tcW w:w="3238" w:type="dxa"/>
            <w:tcBorders/>
            <w:shd w:fill="EEEEEE" w:val="clear"/>
            <w:vAlign w:val="center"/>
          </w:tcPr>
          <w:p>
            <w:pPr>
              <w:pStyle w:val="TableContents"/>
              <w:bidi w:val="0"/>
              <w:spacing w:before="0" w:after="283"/>
              <w:jc w:val="center"/>
              <w:rPr/>
            </w:pPr>
            <w:r>
              <w:rPr/>
              <w:t>2019</w:t>
            </w:r>
          </w:p>
        </w:tc>
        <w:tc>
          <w:tcPr>
            <w:tcW w:w="60" w:type="dxa"/>
            <w:tcBorders/>
            <w:shd w:fill="EEEEEE" w:val="clear"/>
            <w:vAlign w:val="center"/>
          </w:tcPr>
          <w:p>
            <w:pPr>
              <w:pStyle w:val="TableContents"/>
              <w:bidi w:val="0"/>
              <w:spacing w:before="0" w:after="283"/>
              <w:jc w:val="left"/>
              <w:rPr/>
            </w:pPr>
            <w:r>
              <w:rPr/>
              <w:t> </w:t>
            </w:r>
          </w:p>
        </w:tc>
        <w:tc>
          <w:tcPr>
            <w:tcW w:w="2915" w:type="dxa"/>
            <w:tcBorders/>
            <w:shd w:fill="EEEEEE" w:val="clear"/>
            <w:vAlign w:val="center"/>
          </w:tcPr>
          <w:p>
            <w:pPr>
              <w:pStyle w:val="TableContents"/>
              <w:bidi w:val="0"/>
              <w:spacing w:before="0" w:after="283"/>
              <w:jc w:val="center"/>
              <w:rPr/>
            </w:pPr>
            <w:r>
              <w:rPr/>
              <w:t>4</w:t>
            </w:r>
          </w:p>
        </w:tc>
        <w:tc>
          <w:tcPr>
            <w:tcW w:w="60" w:type="dxa"/>
            <w:tcBorders/>
            <w:shd w:fill="EEEEEE" w:val="clear"/>
            <w:vAlign w:val="center"/>
          </w:tcPr>
          <w:p>
            <w:pPr>
              <w:pStyle w:val="TableContents"/>
              <w:bidi w:val="0"/>
              <w:spacing w:before="0" w:after="283"/>
              <w:jc w:val="left"/>
              <w:rPr/>
            </w:pPr>
            <w:r>
              <w:rPr/>
              <w:t> </w:t>
            </w:r>
          </w:p>
        </w:tc>
        <w:tc>
          <w:tcPr>
            <w:tcW w:w="481" w:type="dxa"/>
            <w:tcBorders/>
            <w:shd w:fill="EEEEEE" w:val="clear"/>
            <w:vAlign w:val="center"/>
          </w:tcPr>
          <w:p>
            <w:pPr>
              <w:pStyle w:val="TableContents"/>
              <w:bidi w:val="0"/>
              <w:spacing w:before="0" w:after="283"/>
              <w:jc w:val="left"/>
              <w:rPr/>
            </w:pPr>
            <w:r>
              <w:rPr/>
              <w:t> </w:t>
            </w:r>
          </w:p>
        </w:tc>
        <w:tc>
          <w:tcPr>
            <w:tcW w:w="3374" w:type="dxa"/>
            <w:tcBorders/>
            <w:shd w:fill="EEEEEE" w:val="clear"/>
            <w:vAlign w:val="center"/>
          </w:tcPr>
          <w:p>
            <w:pPr>
              <w:pStyle w:val="TableContents"/>
              <w:bidi w:val="0"/>
              <w:spacing w:before="0" w:after="283"/>
              <w:jc w:val="right"/>
              <w:rPr/>
            </w:pPr>
            <w:r>
              <w:rPr/>
              <w:t>1,014,124</w:t>
            </w:r>
          </w:p>
        </w:tc>
        <w:tc>
          <w:tcPr>
            <w:tcW w:w="77" w:type="dxa"/>
            <w:tcBorders/>
            <w:shd w:fill="EEEEEE" w:val="clear"/>
            <w:vAlign w:val="center"/>
          </w:tcPr>
          <w:p>
            <w:pPr>
              <w:pStyle w:val="TableContents"/>
              <w:bidi w:val="0"/>
              <w:spacing w:before="0" w:after="283"/>
              <w:jc w:val="left"/>
              <w:rPr/>
            </w:pPr>
            <w:r>
              <w:rPr/>
              <w:t> </w:t>
            </w:r>
          </w:p>
        </w:tc>
      </w:tr>
      <w:tr>
        <w:trPr/>
        <w:tc>
          <w:tcPr>
            <w:tcW w:w="3238" w:type="dxa"/>
            <w:tcBorders/>
            <w:shd w:fill="FFFFFF" w:val="clear"/>
            <w:vAlign w:val="center"/>
          </w:tcPr>
          <w:p>
            <w:pPr>
              <w:pStyle w:val="TableContents"/>
              <w:bidi w:val="0"/>
              <w:spacing w:before="0" w:after="283"/>
              <w:jc w:val="center"/>
              <w:rPr/>
            </w:pPr>
            <w:r>
              <w:rPr/>
              <w:t>2020</w:t>
            </w:r>
          </w:p>
        </w:tc>
        <w:tc>
          <w:tcPr>
            <w:tcW w:w="60" w:type="dxa"/>
            <w:tcBorders/>
            <w:shd w:fill="FFFFFF" w:val="clear"/>
            <w:vAlign w:val="center"/>
          </w:tcPr>
          <w:p>
            <w:pPr>
              <w:pStyle w:val="TableContents"/>
              <w:bidi w:val="0"/>
              <w:spacing w:before="0" w:after="283"/>
              <w:jc w:val="left"/>
              <w:rPr/>
            </w:pPr>
            <w:r>
              <w:rPr/>
              <w:t> </w:t>
            </w:r>
          </w:p>
        </w:tc>
        <w:tc>
          <w:tcPr>
            <w:tcW w:w="2915" w:type="dxa"/>
            <w:tcBorders/>
            <w:shd w:fill="FFFFFF" w:val="clear"/>
            <w:vAlign w:val="center"/>
          </w:tcPr>
          <w:p>
            <w:pPr>
              <w:pStyle w:val="TableContents"/>
              <w:bidi w:val="0"/>
              <w:spacing w:before="0" w:after="283"/>
              <w:jc w:val="center"/>
              <w:rPr/>
            </w:pPr>
            <w:r>
              <w:rPr/>
              <w:t>3</w:t>
            </w:r>
          </w:p>
        </w:tc>
        <w:tc>
          <w:tcPr>
            <w:tcW w:w="60"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left"/>
              <w:rPr/>
            </w:pPr>
            <w:r>
              <w:rPr/>
              <w:t> </w:t>
            </w:r>
          </w:p>
        </w:tc>
        <w:tc>
          <w:tcPr>
            <w:tcW w:w="3374" w:type="dxa"/>
            <w:tcBorders/>
            <w:shd w:fill="FFFFFF" w:val="clear"/>
            <w:vAlign w:val="center"/>
          </w:tcPr>
          <w:p>
            <w:pPr>
              <w:pStyle w:val="TableContents"/>
              <w:bidi w:val="0"/>
              <w:spacing w:before="0" w:after="283"/>
              <w:jc w:val="right"/>
              <w:rPr/>
            </w:pPr>
            <w:r>
              <w:rPr/>
              <w:t>741,867</w:t>
            </w:r>
          </w:p>
        </w:tc>
        <w:tc>
          <w:tcPr>
            <w:tcW w:w="77" w:type="dxa"/>
            <w:tcBorders/>
            <w:shd w:fill="FFFFFF" w:val="clear"/>
            <w:vAlign w:val="center"/>
          </w:tcPr>
          <w:p>
            <w:pPr>
              <w:pStyle w:val="TableContents"/>
              <w:bidi w:val="0"/>
              <w:spacing w:before="0" w:after="283"/>
              <w:jc w:val="left"/>
              <w:rPr/>
            </w:pPr>
            <w:r>
              <w:rPr/>
              <w:t> </w:t>
            </w:r>
          </w:p>
        </w:tc>
      </w:tr>
      <w:tr>
        <w:trPr/>
        <w:tc>
          <w:tcPr>
            <w:tcW w:w="3238" w:type="dxa"/>
            <w:tcBorders/>
            <w:shd w:fill="EEEEEE" w:val="clear"/>
            <w:vAlign w:val="center"/>
          </w:tcPr>
          <w:p>
            <w:pPr>
              <w:pStyle w:val="TableContents"/>
              <w:bidi w:val="0"/>
              <w:spacing w:before="0" w:after="283"/>
              <w:jc w:val="center"/>
              <w:rPr/>
            </w:pPr>
            <w:r>
              <w:rPr/>
              <w:t>2021</w:t>
            </w:r>
          </w:p>
        </w:tc>
        <w:tc>
          <w:tcPr>
            <w:tcW w:w="60" w:type="dxa"/>
            <w:tcBorders/>
            <w:shd w:fill="EEEEEE" w:val="clear"/>
            <w:vAlign w:val="center"/>
          </w:tcPr>
          <w:p>
            <w:pPr>
              <w:pStyle w:val="TableContents"/>
              <w:bidi w:val="0"/>
              <w:spacing w:before="0" w:after="283"/>
              <w:jc w:val="left"/>
              <w:rPr/>
            </w:pPr>
            <w:r>
              <w:rPr/>
              <w:t> </w:t>
            </w:r>
          </w:p>
        </w:tc>
        <w:tc>
          <w:tcPr>
            <w:tcW w:w="2915" w:type="dxa"/>
            <w:tcBorders/>
            <w:shd w:fill="EEEEEE" w:val="clear"/>
            <w:vAlign w:val="center"/>
          </w:tcPr>
          <w:p>
            <w:pPr>
              <w:pStyle w:val="TableContents"/>
              <w:bidi w:val="0"/>
              <w:spacing w:before="0" w:after="283"/>
              <w:jc w:val="center"/>
              <w:rPr/>
            </w:pPr>
            <w:r>
              <w:rPr/>
              <w:t>4</w:t>
            </w:r>
          </w:p>
        </w:tc>
        <w:tc>
          <w:tcPr>
            <w:tcW w:w="60" w:type="dxa"/>
            <w:tcBorders/>
            <w:shd w:fill="EEEEEE" w:val="clear"/>
            <w:vAlign w:val="center"/>
          </w:tcPr>
          <w:p>
            <w:pPr>
              <w:pStyle w:val="TableContents"/>
              <w:bidi w:val="0"/>
              <w:spacing w:before="0" w:after="283"/>
              <w:jc w:val="left"/>
              <w:rPr/>
            </w:pPr>
            <w:r>
              <w:rPr/>
              <w:t> </w:t>
            </w:r>
          </w:p>
        </w:tc>
        <w:tc>
          <w:tcPr>
            <w:tcW w:w="481" w:type="dxa"/>
            <w:tcBorders/>
            <w:shd w:fill="EEEEEE" w:val="clear"/>
            <w:vAlign w:val="center"/>
          </w:tcPr>
          <w:p>
            <w:pPr>
              <w:pStyle w:val="TableContents"/>
              <w:bidi w:val="0"/>
              <w:spacing w:before="0" w:after="283"/>
              <w:jc w:val="left"/>
              <w:rPr/>
            </w:pPr>
            <w:r>
              <w:rPr/>
              <w:t> </w:t>
            </w:r>
          </w:p>
        </w:tc>
        <w:tc>
          <w:tcPr>
            <w:tcW w:w="3374" w:type="dxa"/>
            <w:tcBorders/>
            <w:shd w:fill="EEEEEE" w:val="clear"/>
            <w:vAlign w:val="center"/>
          </w:tcPr>
          <w:p>
            <w:pPr>
              <w:pStyle w:val="TableContents"/>
              <w:bidi w:val="0"/>
              <w:spacing w:before="0" w:after="283"/>
              <w:jc w:val="right"/>
              <w:rPr/>
            </w:pPr>
            <w:r>
              <w:rPr/>
              <w:t>1,145,002</w:t>
            </w:r>
          </w:p>
        </w:tc>
        <w:tc>
          <w:tcPr>
            <w:tcW w:w="77" w:type="dxa"/>
            <w:tcBorders/>
            <w:shd w:fill="EEEEEE" w:val="clear"/>
            <w:vAlign w:val="center"/>
          </w:tcPr>
          <w:p>
            <w:pPr>
              <w:pStyle w:val="TableContents"/>
              <w:bidi w:val="0"/>
              <w:spacing w:before="0" w:after="283"/>
              <w:jc w:val="left"/>
              <w:rPr/>
            </w:pPr>
            <w:r>
              <w:rPr/>
              <w:t> </w:t>
            </w:r>
          </w:p>
        </w:tc>
      </w:tr>
      <w:tr>
        <w:trPr/>
        <w:tc>
          <w:tcPr>
            <w:tcW w:w="3238" w:type="dxa"/>
            <w:tcBorders/>
            <w:shd w:fill="FFFFFF" w:val="clear"/>
            <w:vAlign w:val="center"/>
          </w:tcPr>
          <w:p>
            <w:pPr>
              <w:pStyle w:val="TableContents"/>
              <w:bidi w:val="0"/>
              <w:spacing w:before="0" w:after="283"/>
              <w:jc w:val="center"/>
              <w:rPr/>
            </w:pPr>
            <w:r>
              <w:rPr/>
              <w:t>2022</w:t>
            </w:r>
          </w:p>
        </w:tc>
        <w:tc>
          <w:tcPr>
            <w:tcW w:w="60" w:type="dxa"/>
            <w:tcBorders/>
            <w:shd w:fill="FFFFFF" w:val="clear"/>
            <w:vAlign w:val="center"/>
          </w:tcPr>
          <w:p>
            <w:pPr>
              <w:pStyle w:val="TableContents"/>
              <w:bidi w:val="0"/>
              <w:spacing w:before="0" w:after="283"/>
              <w:jc w:val="left"/>
              <w:rPr/>
            </w:pPr>
            <w:r>
              <w:rPr/>
              <w:t> </w:t>
            </w:r>
          </w:p>
        </w:tc>
        <w:tc>
          <w:tcPr>
            <w:tcW w:w="2915" w:type="dxa"/>
            <w:tcBorders/>
            <w:shd w:fill="FFFFFF" w:val="clear"/>
            <w:vAlign w:val="center"/>
          </w:tcPr>
          <w:p>
            <w:pPr>
              <w:pStyle w:val="TableContents"/>
              <w:bidi w:val="0"/>
              <w:spacing w:before="0" w:after="283"/>
              <w:jc w:val="center"/>
              <w:rPr/>
            </w:pPr>
            <w:r>
              <w:rPr/>
              <w:t>4</w:t>
            </w:r>
          </w:p>
        </w:tc>
        <w:tc>
          <w:tcPr>
            <w:tcW w:w="60"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left"/>
              <w:rPr/>
            </w:pPr>
            <w:r>
              <w:rPr/>
              <w:t> </w:t>
            </w:r>
          </w:p>
        </w:tc>
        <w:tc>
          <w:tcPr>
            <w:tcW w:w="3374" w:type="dxa"/>
            <w:tcBorders/>
            <w:shd w:fill="FFFFFF" w:val="clear"/>
            <w:vAlign w:val="center"/>
          </w:tcPr>
          <w:p>
            <w:pPr>
              <w:pStyle w:val="TableContents"/>
              <w:bidi w:val="0"/>
              <w:spacing w:before="0" w:after="283"/>
              <w:jc w:val="right"/>
              <w:rPr/>
            </w:pPr>
            <w:r>
              <w:rPr/>
              <w:t>1,537,383</w:t>
            </w:r>
          </w:p>
        </w:tc>
        <w:tc>
          <w:tcPr>
            <w:tcW w:w="77" w:type="dxa"/>
            <w:tcBorders/>
            <w:shd w:fill="FFFFFF" w:val="clear"/>
            <w:vAlign w:val="center"/>
          </w:tcPr>
          <w:p>
            <w:pPr>
              <w:pStyle w:val="TableContents"/>
              <w:bidi w:val="0"/>
              <w:spacing w:before="0" w:after="283"/>
              <w:jc w:val="left"/>
              <w:rPr/>
            </w:pPr>
            <w:r>
              <w:rPr/>
              <w:t> </w:t>
            </w:r>
          </w:p>
        </w:tc>
      </w:tr>
      <w:tr>
        <w:trPr/>
        <w:tc>
          <w:tcPr>
            <w:tcW w:w="3238" w:type="dxa"/>
            <w:tcBorders/>
            <w:shd w:fill="EEEEEE" w:val="clear"/>
            <w:vAlign w:val="center"/>
          </w:tcPr>
          <w:p>
            <w:pPr>
              <w:pStyle w:val="TableContents"/>
              <w:bidi w:val="0"/>
              <w:spacing w:before="0" w:after="283"/>
              <w:jc w:val="center"/>
              <w:rPr/>
            </w:pPr>
            <w:r>
              <w:rPr/>
              <w:t>Nine months ended September 30, 2023</w:t>
            </w:r>
          </w:p>
        </w:tc>
        <w:tc>
          <w:tcPr>
            <w:tcW w:w="60" w:type="dxa"/>
            <w:tcBorders/>
            <w:shd w:fill="EEEEEE" w:val="clear"/>
            <w:vAlign w:val="center"/>
          </w:tcPr>
          <w:p>
            <w:pPr>
              <w:pStyle w:val="TableContents"/>
              <w:bidi w:val="0"/>
              <w:spacing w:before="0" w:after="283"/>
              <w:jc w:val="left"/>
              <w:rPr/>
            </w:pPr>
            <w:r>
              <w:rPr/>
              <w:t> </w:t>
            </w:r>
          </w:p>
        </w:tc>
        <w:tc>
          <w:tcPr>
            <w:tcW w:w="2915" w:type="dxa"/>
            <w:tcBorders/>
            <w:shd w:fill="EEEEEE" w:val="clear"/>
            <w:vAlign w:val="center"/>
          </w:tcPr>
          <w:p>
            <w:pPr>
              <w:pStyle w:val="TableContents"/>
              <w:bidi w:val="0"/>
              <w:spacing w:before="0" w:after="283"/>
              <w:jc w:val="center"/>
              <w:rPr/>
            </w:pPr>
            <w:r>
              <w:rPr/>
              <w:t>3</w:t>
            </w:r>
          </w:p>
        </w:tc>
        <w:tc>
          <w:tcPr>
            <w:tcW w:w="60" w:type="dxa"/>
            <w:tcBorders/>
            <w:shd w:fill="EEEEEE" w:val="clear"/>
            <w:vAlign w:val="center"/>
          </w:tcPr>
          <w:p>
            <w:pPr>
              <w:pStyle w:val="TableContents"/>
              <w:bidi w:val="0"/>
              <w:spacing w:before="0" w:after="283"/>
              <w:jc w:val="left"/>
              <w:rPr/>
            </w:pPr>
            <w:r>
              <w:rPr/>
              <w:t> </w:t>
            </w:r>
          </w:p>
        </w:tc>
        <w:tc>
          <w:tcPr>
            <w:tcW w:w="481" w:type="dxa"/>
            <w:tcBorders/>
            <w:shd w:fill="EEEEEE" w:val="clear"/>
            <w:vAlign w:val="center"/>
          </w:tcPr>
          <w:p>
            <w:pPr>
              <w:pStyle w:val="TableContents"/>
              <w:bidi w:val="0"/>
              <w:spacing w:before="0" w:after="283"/>
              <w:jc w:val="left"/>
              <w:rPr/>
            </w:pPr>
            <w:r>
              <w:rPr/>
              <w:t> </w:t>
            </w:r>
          </w:p>
        </w:tc>
        <w:tc>
          <w:tcPr>
            <w:tcW w:w="3374" w:type="dxa"/>
            <w:tcBorders/>
            <w:shd w:fill="EEEEEE" w:val="clear"/>
            <w:vAlign w:val="center"/>
          </w:tcPr>
          <w:p>
            <w:pPr>
              <w:pStyle w:val="TableContents"/>
              <w:bidi w:val="0"/>
              <w:spacing w:before="0" w:after="283"/>
              <w:jc w:val="right"/>
              <w:rPr/>
            </w:pPr>
            <w:r>
              <w:rPr/>
              <w:t>1,045,425</w:t>
            </w:r>
          </w:p>
        </w:tc>
        <w:tc>
          <w:tcPr>
            <w:tcW w:w="77"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prior to a securitization transaction we fund our automobile contract purchases primarily with proceeds from warehouse credit facilities. We currently have short-term funding capacity of $400 million over two credit facilities. The first credit facility was established in May 2012. This facility was most recently renewed in July 2022, extending the revolving period to July 2024, with an optional amortization period through July 2025. In addition, the capacity was doubled from $100 million to $200 million at the July 2022 renewal.</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2015, we entered into another $100 million facility. This facility was most recently renewed in January 2022, extending the revolving period to January 2024, followed by an amortization period to January 2026. In June 2022, we doubled the capacity for this facility from $100 million to $200 million.</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8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securitization and in our warehouse credit facilities, we are required to make certain representations and warranties, which are generally similar to the representations and warranties made by dealers in connection with our purchase of the automobile contracts. If we breach any of our representations or warranties, we will be obligated to repurchase the automobile contract at a price equal to the principal balance plus accrued and unpaid interest. We may then be entitled under the terms of our dealer agreement to require the selling dealer to repurchase the contract at a price equal to our purchase price, less any principal payments made by the customer. Subject to any recourse against dealers, we will bear the risk of loss on repossession and resale of vehicles under automobile contracts that we repurchase.</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securitization, the related special purpose subsidiary may be unable to release excess cash to us if the credit performance of the securitized automobile contracts falls short of pre-determined standards. Such releases represent a material portion of the cash that we use to fund our operations. An unexpected deterioration in the performance of securitized automobile contracts could therefore have a material adverse effect on both our liquidity and results of operations.</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we originate and service for third-parties are not pledged to our warehouse facilities or included in our securitizations.</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Financial Covenants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September 30, 2023, we were in compliance with all such covenants.</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Comparison of Operating Results for the three months ended September 30, 2023 with the three months ended September 30,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Revenues</w:t>
      </w:r>
      <w:r>
        <w:rPr>
          <w:rFonts w:ascii="Times New Roman;Times;Serif" w:hAnsi="Times New Roman;Times;Serif"/>
          <w:b w:val="false"/>
          <w:i w:val="false"/>
          <w:caps w:val="false"/>
          <w:smallCaps w:val="false"/>
          <w:sz w:val="20"/>
        </w:rPr>
        <w:t>.  During the three months ended September 30, 2023, our revenues were $92.1 million, an increase of $1.8 million, or 2.0%, from the prior year revenue of $90.3 million. The primary reason for the increase in revenues is the increase in interest income resulting from the increase in the average outstanding balance of finance receivables measured at fair value. Revenues for the three months ended September 30, 2023 include a $6.0 million mark up to the recorded value of the finance receivables measured at fair value. The marks are estimates based on our evaluation of the appropriate fair value and future earnings rate of existing receivables compared to recently acquired receivables and increases or decreases in our estimates of future net losses. In the current period, our re-evaluation of the fair values of these receivables resulted in a mark up for certain older receivables and a mark down to the fair values of newer receivables. The fair value mark up on the older receivables exceeded the mark down to the newer receivables resulting in a net mark up of $6.0 million. Revenues for the prior year period include an $8.2 million mark up to the fair value portfolio.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for the three months ended September 30, 2023 increased $3.4 million, or 4.3%, to $83.3 million from $79.8 million in the prior year. The primary reason for the increase in interest income is the 10.8% increase in the average balance of our loan portfolio over the prior year period. The interest yield on our total loan portfolio decreased from 12.1% in the prior year period to 11.3% in the current year period. The receivables measured at fair value makes up a larger portion of our total loan portfolio in the current year period is the primary reason for the decrease in total interest yield. The interest yield on receivables measured at fair value is reduced to take account of expected losses and is therefore less than the yield on other finance receivables. The table below shows the average balance and interest yield of our loan portfolio for the three months ended September 30, 2023 and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8930" w:type="dxa"/>
        <w:jc w:val="left"/>
        <w:tblInd w:w="0" w:type="dxa"/>
        <w:tblLayout w:type="fixed"/>
        <w:tblCellMar>
          <w:top w:w="0" w:type="dxa"/>
          <w:left w:w="0" w:type="dxa"/>
          <w:bottom w:w="0" w:type="dxa"/>
          <w:right w:w="0" w:type="dxa"/>
        </w:tblCellMar>
      </w:tblPr>
      <w:tblGrid>
        <w:gridCol w:w="2405"/>
        <w:gridCol w:w="60"/>
        <w:gridCol w:w="140"/>
        <w:gridCol w:w="980"/>
        <w:gridCol w:w="60"/>
        <w:gridCol w:w="60"/>
        <w:gridCol w:w="140"/>
        <w:gridCol w:w="680"/>
        <w:gridCol w:w="60"/>
        <w:gridCol w:w="60"/>
        <w:gridCol w:w="96"/>
        <w:gridCol w:w="704"/>
        <w:gridCol w:w="215"/>
        <w:gridCol w:w="60"/>
        <w:gridCol w:w="140"/>
        <w:gridCol w:w="980"/>
        <w:gridCol w:w="60"/>
        <w:gridCol w:w="60"/>
        <w:gridCol w:w="140"/>
        <w:gridCol w:w="680"/>
        <w:gridCol w:w="60"/>
        <w:gridCol w:w="60"/>
        <w:gridCol w:w="96"/>
        <w:gridCol w:w="704"/>
        <w:gridCol w:w="230"/>
      </w:tblGrid>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35"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230"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8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8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230"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35" w:type="dxa"/>
            <w:gridSpan w:val="22"/>
            <w:tcBorders/>
            <w:vAlign w:val="center"/>
          </w:tcPr>
          <w:p>
            <w:pPr>
              <w:pStyle w:val="TableContents"/>
              <w:bidi w:val="0"/>
              <w:spacing w:before="0" w:after="283"/>
              <w:jc w:val="center"/>
              <w:rPr>
                <w:b/>
              </w:rPr>
            </w:pPr>
            <w:r>
              <w:rPr>
                <w:b/>
              </w:rPr>
              <w:t>(Dollars in thousands)</w:t>
            </w:r>
          </w:p>
        </w:tc>
        <w:tc>
          <w:tcPr>
            <w:tcW w:w="230"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b/>
              </w:rPr>
            </w:pPr>
            <w:r>
              <w:rPr>
                <w:b/>
              </w:rPr>
              <w:t>Interest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b/>
              </w:rPr>
            </w:pPr>
            <w:r>
              <w:rPr>
                <w:b/>
              </w:rPr>
              <w:t>Interest</w:t>
            </w:r>
          </w:p>
        </w:tc>
        <w:tc>
          <w:tcPr>
            <w:tcW w:w="230"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Balance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Yield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Balance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Yield</w:t>
            </w:r>
          </w:p>
        </w:tc>
        <w:tc>
          <w:tcPr>
            <w:tcW w:w="230"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center"/>
              <w:rPr>
                <w:b/>
                <w:u w:val="single"/>
              </w:rPr>
            </w:pPr>
            <w:r>
              <w:rPr>
                <w:b/>
                <w:u w:val="single"/>
              </w:rPr>
              <w:t>Interest Earning Assets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2405" w:type="dxa"/>
            <w:tcBorders/>
            <w:shd w:fill="EEEEEE" w:val="clear"/>
            <w:vAlign w:val="center"/>
          </w:tcPr>
          <w:p>
            <w:pPr>
              <w:pStyle w:val="TableContents"/>
              <w:bidi w:val="0"/>
              <w:spacing w:before="0" w:after="283"/>
              <w:jc w:val="left"/>
              <w:rPr/>
            </w:pPr>
            <w:r>
              <w:rPr/>
              <w:t>Loan Portfolio</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2,934,749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680" w:type="dxa"/>
            <w:tcBorders/>
            <w:shd w:fill="EEEEEE" w:val="clear"/>
            <w:vAlign w:val="center"/>
          </w:tcPr>
          <w:p>
            <w:pPr>
              <w:pStyle w:val="TableContents"/>
              <w:bidi w:val="0"/>
              <w:spacing w:before="0" w:after="283"/>
              <w:jc w:val="right"/>
              <w:rPr/>
            </w:pPr>
            <w:r>
              <w:rPr/>
              <w:t>83,261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6" w:type="dxa"/>
            <w:tcBorders/>
            <w:shd w:fill="EEEEEE" w:val="clear"/>
            <w:vAlign w:val="center"/>
          </w:tcPr>
          <w:p>
            <w:pPr>
              <w:pStyle w:val="TableContents"/>
              <w:bidi w:val="0"/>
              <w:spacing w:before="0" w:after="283"/>
              <w:jc w:val="left"/>
              <w:rPr/>
            </w:pPr>
            <w:r>
              <w:rPr/>
              <w:t> </w:t>
            </w:r>
          </w:p>
        </w:tc>
        <w:tc>
          <w:tcPr>
            <w:tcW w:w="704" w:type="dxa"/>
            <w:tcBorders/>
            <w:shd w:fill="EEEEEE" w:val="clear"/>
            <w:vAlign w:val="center"/>
          </w:tcPr>
          <w:p>
            <w:pPr>
              <w:pStyle w:val="TableContents"/>
              <w:bidi w:val="0"/>
              <w:spacing w:before="0" w:after="283"/>
              <w:jc w:val="right"/>
              <w:rPr/>
            </w:pPr>
            <w:r>
              <w:rPr/>
              <w:t>11.3</w:t>
            </w:r>
          </w:p>
        </w:tc>
        <w:tc>
          <w:tcPr>
            <w:tcW w:w="21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2,648,209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680" w:type="dxa"/>
            <w:tcBorders/>
            <w:shd w:fill="EEEEEE" w:val="clear"/>
            <w:vAlign w:val="center"/>
          </w:tcPr>
          <w:p>
            <w:pPr>
              <w:pStyle w:val="TableContents"/>
              <w:bidi w:val="0"/>
              <w:spacing w:before="0" w:after="283"/>
              <w:jc w:val="right"/>
              <w:rPr/>
            </w:pPr>
            <w:r>
              <w:rPr/>
              <w:t>79,817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6" w:type="dxa"/>
            <w:tcBorders/>
            <w:shd w:fill="EEEEEE" w:val="clear"/>
            <w:vAlign w:val="center"/>
          </w:tcPr>
          <w:p>
            <w:pPr>
              <w:pStyle w:val="TableContents"/>
              <w:bidi w:val="0"/>
              <w:spacing w:before="0" w:after="283"/>
              <w:jc w:val="left"/>
              <w:rPr/>
            </w:pPr>
            <w:r>
              <w:rPr/>
              <w:t> </w:t>
            </w:r>
          </w:p>
        </w:tc>
        <w:tc>
          <w:tcPr>
            <w:tcW w:w="704" w:type="dxa"/>
            <w:tcBorders/>
            <w:shd w:fill="EEEEEE" w:val="clear"/>
            <w:vAlign w:val="center"/>
          </w:tcPr>
          <w:p>
            <w:pPr>
              <w:pStyle w:val="TableContents"/>
              <w:bidi w:val="0"/>
              <w:spacing w:before="0" w:after="283"/>
              <w:jc w:val="right"/>
              <w:rPr/>
            </w:pPr>
            <w:r>
              <w:rPr/>
              <w:t>12.1</w:t>
            </w:r>
          </w:p>
        </w:tc>
        <w:tc>
          <w:tcPr>
            <w:tcW w:w="230" w:type="dxa"/>
            <w:tcBorders/>
            <w:shd w:fill="EEEEEE"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income was $2.8 million for the three months ended September 30, 2023 compared to $2.3 million for the comparable period in 2022. This 22.3% increase was primarily driven by the increase in origination and servicing fees we earned from third party receivables. These fees were $2.5 million for the quarter ended September 30, 2023 compared to $2.0 million in the prior year period. </w:t>
      </w:r>
    </w:p>
    <w:p>
      <w:pPr>
        <w:pStyle w:val="TextBody"/>
        <w:bidi w:val="0"/>
        <w:spacing w:before="0" w:after="0"/>
        <w:ind w:left="0" w:right="0" w:hanging="0"/>
        <w:jc w:val="left"/>
        <w:rPr/>
      </w:pPr>
      <w:r>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Expenses</w:t>
      </w:r>
      <w:r>
        <w:rPr>
          <w:rFonts w:ascii="Times New Roman;Times;Serif" w:hAnsi="Times New Roman;Times;Serif"/>
          <w:b w:val="false"/>
          <w:i w:val="false"/>
          <w:caps w:val="false"/>
          <w:smallCaps w:val="false"/>
          <w:sz w:val="20"/>
        </w:rPr>
        <w:t>.  Our operating expenses consist largely of interest expense, provision for credit losses, employee costs, sales and general and administrative expenses. Provision for credit losses is affected by the balance and credit performance of our portfolio of finance receivables (other than our portfolio of finance receivables measured at fair value, as to which expected credit losses have the effect of reducing the internal rate of return or the recorded value applicable to such receivables). Interest expense is significantly affected by the volume of automobile contracts we purchased during the trailing 12-month period and the use of our warehouse facilities and asset-backed securitizations to finance those contracts.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purchased and serviced.</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expenses consist largely of facilities expenses, telephone and other communication services, credit services, computer services, sales and advertising expenses, and depreciation and amortization.</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were $77.9 million for the three months ended September 30, 2023, compared to $56.0 million for the prior period, an increase of $21.9 million, or 39.1%. The increase is primarily due to increases in interest expense and general and administrative expenses.</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costs were $21.8 million during the three months ended September 30, 2023 compared to $20.7 million for the same quarter in the prior year. The table below summarizes our employees by category as well as contract purchases and units in our managed portfolio as of, and for the three-month periods ended, September 30, 2023 and 2022:</w:t>
      </w:r>
    </w:p>
    <w:p>
      <w:pPr>
        <w:pStyle w:val="TextBody"/>
        <w:bidi w:val="0"/>
        <w:spacing w:before="0" w:after="0"/>
        <w:ind w:left="0" w:right="0" w:firstLine="180"/>
        <w:jc w:val="both"/>
        <w:rPr>
          <w:caps w:val="false"/>
          <w:smallCaps w:val="false"/>
        </w:rPr>
      </w:pPr>
      <w:r>
        <w:rPr>
          <w:caps w:val="false"/>
          <w:smallCaps w:val="false"/>
        </w:rPr>
        <w:t> </w:t>
      </w:r>
    </w:p>
    <w:tbl>
      <w:tblPr>
        <w:tblW w:w="7642" w:type="dxa"/>
        <w:jc w:val="left"/>
        <w:tblInd w:w="0" w:type="dxa"/>
        <w:tblLayout w:type="fixed"/>
        <w:tblCellMar>
          <w:top w:w="0" w:type="dxa"/>
          <w:left w:w="0" w:type="dxa"/>
          <w:bottom w:w="0" w:type="dxa"/>
          <w:right w:w="0" w:type="dxa"/>
        </w:tblCellMar>
      </w:tblPr>
      <w:tblGrid>
        <w:gridCol w:w="3785"/>
        <w:gridCol w:w="60"/>
        <w:gridCol w:w="260"/>
        <w:gridCol w:w="1490"/>
        <w:gridCol w:w="111"/>
        <w:gridCol w:w="111"/>
        <w:gridCol w:w="260"/>
        <w:gridCol w:w="1490"/>
        <w:gridCol w:w="75"/>
      </w:tblGrid>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7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7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22" w:type="dxa"/>
            <w:gridSpan w:val="6"/>
            <w:tcBorders/>
            <w:vAlign w:val="center"/>
          </w:tcPr>
          <w:p>
            <w:pPr>
              <w:pStyle w:val="TableContents"/>
              <w:bidi w:val="0"/>
              <w:spacing w:before="0" w:after="283"/>
              <w:jc w:val="center"/>
              <w:rPr>
                <w:b/>
              </w:rPr>
            </w:pPr>
            <w:r>
              <w:rPr>
                <w:b/>
              </w:rPr>
              <w:t>(Dollars in millions)</w:t>
            </w:r>
          </w:p>
        </w:tc>
        <w:tc>
          <w:tcPr>
            <w:tcW w:w="75" w:type="dxa"/>
            <w:tcBorders/>
            <w:vAlign w:val="center"/>
          </w:tcPr>
          <w:p>
            <w:pPr>
              <w:pStyle w:val="TableContents"/>
              <w:bidi w:val="0"/>
              <w:spacing w:before="0" w:after="283"/>
              <w:jc w:val="left"/>
              <w:rPr/>
            </w:pPr>
            <w:r>
              <w:rPr/>
              <w:t> </w:t>
            </w:r>
          </w:p>
        </w:tc>
      </w:tr>
      <w:tr>
        <w:trPr/>
        <w:tc>
          <w:tcPr>
            <w:tcW w:w="3785" w:type="dxa"/>
            <w:tcBorders/>
            <w:shd w:fill="EEEEEE" w:val="clear"/>
            <w:vAlign w:val="center"/>
          </w:tcPr>
          <w:p>
            <w:pPr>
              <w:pStyle w:val="TableContents"/>
              <w:bidi w:val="0"/>
              <w:spacing w:before="0" w:after="283"/>
              <w:jc w:val="left"/>
              <w:rPr/>
            </w:pPr>
            <w:r>
              <w:rPr/>
              <w:t>Contracts purchased (dollars)</w:t>
            </w:r>
          </w:p>
        </w:tc>
        <w:tc>
          <w:tcPr>
            <w:tcW w:w="60" w:type="dxa"/>
            <w:tcBorders/>
            <w:shd w:fill="EEEEEE" w:val="clear"/>
            <w:vAlign w:val="center"/>
          </w:tcPr>
          <w:p>
            <w:pPr>
              <w:pStyle w:val="TableContents"/>
              <w:bidi w:val="0"/>
              <w:spacing w:before="0" w:after="283"/>
              <w:jc w:val="left"/>
              <w:rPr/>
            </w:pPr>
            <w:r>
              <w:rPr/>
              <w:t> </w:t>
            </w:r>
          </w:p>
        </w:tc>
        <w:tc>
          <w:tcPr>
            <w:tcW w:w="260" w:type="dxa"/>
            <w:tcBorders/>
            <w:shd w:fill="EEEEEE" w:val="clear"/>
            <w:vAlign w:val="center"/>
          </w:tcPr>
          <w:p>
            <w:pPr>
              <w:pStyle w:val="TableContents"/>
              <w:bidi w:val="0"/>
              <w:spacing w:before="0" w:after="283"/>
              <w:jc w:val="left"/>
              <w:rPr/>
            </w:pPr>
            <w:r>
              <w:rPr/>
              <w:t>$</w:t>
            </w:r>
          </w:p>
        </w:tc>
        <w:tc>
          <w:tcPr>
            <w:tcW w:w="1490" w:type="dxa"/>
            <w:tcBorders/>
            <w:shd w:fill="EEEEEE" w:val="clear"/>
            <w:vAlign w:val="center"/>
          </w:tcPr>
          <w:p>
            <w:pPr>
              <w:pStyle w:val="TableContents"/>
              <w:bidi w:val="0"/>
              <w:spacing w:before="0" w:after="283"/>
              <w:jc w:val="right"/>
              <w:rPr/>
            </w:pPr>
            <w:r>
              <w:rPr/>
              <w:t>322.4</w:t>
            </w:r>
          </w:p>
        </w:tc>
        <w:tc>
          <w:tcPr>
            <w:tcW w:w="111" w:type="dxa"/>
            <w:tcBorders/>
            <w:shd w:fill="EEEEEE" w:val="clear"/>
            <w:vAlign w:val="center"/>
          </w:tcPr>
          <w:p>
            <w:pPr>
              <w:pStyle w:val="TableContents"/>
              <w:bidi w:val="0"/>
              <w:spacing w:before="0" w:after="283"/>
              <w:jc w:val="left"/>
              <w:rPr/>
            </w:pPr>
            <w:r>
              <w:rPr/>
              <w:t> </w:t>
            </w:r>
          </w:p>
        </w:tc>
        <w:tc>
          <w:tcPr>
            <w:tcW w:w="111" w:type="dxa"/>
            <w:tcBorders/>
            <w:shd w:fill="EEEEEE" w:val="clear"/>
            <w:vAlign w:val="center"/>
          </w:tcPr>
          <w:p>
            <w:pPr>
              <w:pStyle w:val="TableContents"/>
              <w:bidi w:val="0"/>
              <w:spacing w:before="0" w:after="283"/>
              <w:jc w:val="left"/>
              <w:rPr/>
            </w:pPr>
            <w:r>
              <w:rPr/>
              <w:t> </w:t>
            </w:r>
          </w:p>
        </w:tc>
        <w:tc>
          <w:tcPr>
            <w:tcW w:w="260" w:type="dxa"/>
            <w:tcBorders/>
            <w:shd w:fill="EEEEEE" w:val="clear"/>
            <w:vAlign w:val="center"/>
          </w:tcPr>
          <w:p>
            <w:pPr>
              <w:pStyle w:val="TableContents"/>
              <w:bidi w:val="0"/>
              <w:spacing w:before="0" w:after="283"/>
              <w:jc w:val="left"/>
              <w:rPr/>
            </w:pPr>
            <w:r>
              <w:rPr/>
              <w:t>$</w:t>
            </w:r>
          </w:p>
        </w:tc>
        <w:tc>
          <w:tcPr>
            <w:tcW w:w="1490" w:type="dxa"/>
            <w:tcBorders/>
            <w:shd w:fill="EEEEEE" w:val="clear"/>
            <w:vAlign w:val="center"/>
          </w:tcPr>
          <w:p>
            <w:pPr>
              <w:pStyle w:val="TableContents"/>
              <w:bidi w:val="0"/>
              <w:spacing w:before="0" w:after="283"/>
              <w:jc w:val="right"/>
              <w:rPr/>
            </w:pPr>
            <w:r>
              <w:rPr/>
              <w:t>468.2</w:t>
            </w:r>
          </w:p>
        </w:tc>
        <w:tc>
          <w:tcPr>
            <w:tcW w:w="75" w:type="dxa"/>
            <w:tcBorders/>
            <w:shd w:fill="EEEEEE"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Contracts purchased (units)</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15,275</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20,888</w:t>
            </w:r>
          </w:p>
        </w:tc>
        <w:tc>
          <w:tcPr>
            <w:tcW w:w="75" w:type="dxa"/>
            <w:tcBorders/>
            <w:shd w:fill="FFFFFF" w:val="clear"/>
            <w:vAlign w:val="center"/>
          </w:tcPr>
          <w:p>
            <w:pPr>
              <w:pStyle w:val="TableContents"/>
              <w:bidi w:val="0"/>
              <w:spacing w:before="0" w:after="283"/>
              <w:jc w:val="left"/>
              <w:rPr/>
            </w:pPr>
            <w:r>
              <w:rPr/>
              <w:t> </w:t>
            </w:r>
          </w:p>
        </w:tc>
      </w:tr>
      <w:tr>
        <w:trPr/>
        <w:tc>
          <w:tcPr>
            <w:tcW w:w="3785" w:type="dxa"/>
            <w:tcBorders/>
            <w:shd w:fill="EEEEEE" w:val="clear"/>
            <w:vAlign w:val="center"/>
          </w:tcPr>
          <w:p>
            <w:pPr>
              <w:pStyle w:val="TableContents"/>
              <w:bidi w:val="0"/>
              <w:spacing w:before="0" w:after="283"/>
              <w:jc w:val="left"/>
              <w:rPr/>
            </w:pPr>
            <w:r>
              <w:rPr/>
              <w:t>Managed portfolio outstanding (dollars)</w:t>
            </w:r>
          </w:p>
        </w:tc>
        <w:tc>
          <w:tcPr>
            <w:tcW w:w="60" w:type="dxa"/>
            <w:tcBorders/>
            <w:shd w:fill="EEEEEE" w:val="clear"/>
            <w:vAlign w:val="center"/>
          </w:tcPr>
          <w:p>
            <w:pPr>
              <w:pStyle w:val="TableContents"/>
              <w:bidi w:val="0"/>
              <w:spacing w:before="0" w:after="283"/>
              <w:jc w:val="left"/>
              <w:rPr/>
            </w:pPr>
            <w:r>
              <w:rPr/>
              <w:t> </w:t>
            </w:r>
          </w:p>
        </w:tc>
        <w:tc>
          <w:tcPr>
            <w:tcW w:w="260" w:type="dxa"/>
            <w:tcBorders/>
            <w:shd w:fill="EEEEEE" w:val="clear"/>
            <w:vAlign w:val="center"/>
          </w:tcPr>
          <w:p>
            <w:pPr>
              <w:pStyle w:val="TableContents"/>
              <w:bidi w:val="0"/>
              <w:spacing w:before="0" w:after="283"/>
              <w:jc w:val="left"/>
              <w:rPr/>
            </w:pPr>
            <w:r>
              <w:rPr/>
              <w:t>$</w:t>
            </w:r>
          </w:p>
        </w:tc>
        <w:tc>
          <w:tcPr>
            <w:tcW w:w="1490" w:type="dxa"/>
            <w:tcBorders/>
            <w:shd w:fill="EEEEEE" w:val="clear"/>
            <w:vAlign w:val="center"/>
          </w:tcPr>
          <w:p>
            <w:pPr>
              <w:pStyle w:val="TableContents"/>
              <w:bidi w:val="0"/>
              <w:spacing w:before="0" w:after="283"/>
              <w:jc w:val="right"/>
              <w:rPr/>
            </w:pPr>
            <w:r>
              <w:rPr/>
              <w:t>3,181.8</w:t>
            </w:r>
          </w:p>
        </w:tc>
        <w:tc>
          <w:tcPr>
            <w:tcW w:w="111" w:type="dxa"/>
            <w:tcBorders/>
            <w:shd w:fill="EEEEEE" w:val="clear"/>
            <w:vAlign w:val="center"/>
          </w:tcPr>
          <w:p>
            <w:pPr>
              <w:pStyle w:val="TableContents"/>
              <w:bidi w:val="0"/>
              <w:spacing w:before="0" w:after="283"/>
              <w:jc w:val="left"/>
              <w:rPr/>
            </w:pPr>
            <w:r>
              <w:rPr/>
              <w:t> </w:t>
            </w:r>
          </w:p>
        </w:tc>
        <w:tc>
          <w:tcPr>
            <w:tcW w:w="111" w:type="dxa"/>
            <w:tcBorders/>
            <w:shd w:fill="EEEEEE" w:val="clear"/>
            <w:vAlign w:val="center"/>
          </w:tcPr>
          <w:p>
            <w:pPr>
              <w:pStyle w:val="TableContents"/>
              <w:bidi w:val="0"/>
              <w:spacing w:before="0" w:after="283"/>
              <w:jc w:val="left"/>
              <w:rPr/>
            </w:pPr>
            <w:r>
              <w:rPr/>
              <w:t> </w:t>
            </w:r>
          </w:p>
        </w:tc>
        <w:tc>
          <w:tcPr>
            <w:tcW w:w="260" w:type="dxa"/>
            <w:tcBorders/>
            <w:shd w:fill="EEEEEE" w:val="clear"/>
            <w:vAlign w:val="center"/>
          </w:tcPr>
          <w:p>
            <w:pPr>
              <w:pStyle w:val="TableContents"/>
              <w:bidi w:val="0"/>
              <w:spacing w:before="0" w:after="283"/>
              <w:jc w:val="left"/>
              <w:rPr/>
            </w:pPr>
            <w:r>
              <w:rPr/>
              <w:t>$</w:t>
            </w:r>
          </w:p>
        </w:tc>
        <w:tc>
          <w:tcPr>
            <w:tcW w:w="1490" w:type="dxa"/>
            <w:tcBorders/>
            <w:shd w:fill="EEEEEE" w:val="clear"/>
            <w:vAlign w:val="center"/>
          </w:tcPr>
          <w:p>
            <w:pPr>
              <w:pStyle w:val="TableContents"/>
              <w:bidi w:val="0"/>
              <w:spacing w:before="0" w:after="283"/>
              <w:jc w:val="right"/>
              <w:rPr/>
            </w:pPr>
            <w:r>
              <w:rPr/>
              <w:t>2,838.9</w:t>
            </w:r>
          </w:p>
        </w:tc>
        <w:tc>
          <w:tcPr>
            <w:tcW w:w="75" w:type="dxa"/>
            <w:tcBorders/>
            <w:shd w:fill="EEEEEE"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Managed portfolio outstanding (units)</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189,747</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173,774</w:t>
            </w:r>
          </w:p>
        </w:tc>
        <w:tc>
          <w:tcPr>
            <w:tcW w:w="75" w:type="dxa"/>
            <w:tcBorders/>
            <w:shd w:fill="FFFFFF" w:val="clear"/>
            <w:vAlign w:val="center"/>
          </w:tcPr>
          <w:p>
            <w:pPr>
              <w:pStyle w:val="TableContents"/>
              <w:bidi w:val="0"/>
              <w:spacing w:before="0" w:after="283"/>
              <w:jc w:val="left"/>
              <w:rPr/>
            </w:pPr>
            <w:r>
              <w:rPr/>
              <w:t> </w:t>
            </w:r>
          </w:p>
        </w:tc>
      </w:tr>
      <w:tr>
        <w:trPr/>
        <w:tc>
          <w:tcPr>
            <w:tcW w:w="378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60" w:type="dxa"/>
            <w:tcBorders/>
            <w:shd w:fill="EEEEEE" w:val="clear"/>
            <w:vAlign w:val="center"/>
          </w:tcPr>
          <w:p>
            <w:pPr>
              <w:pStyle w:val="TableContents"/>
              <w:bidi w:val="0"/>
              <w:spacing w:before="0" w:after="283"/>
              <w:jc w:val="left"/>
              <w:rPr/>
            </w:pPr>
            <w:r>
              <w:rPr/>
              <w:t> </w:t>
            </w:r>
          </w:p>
        </w:tc>
        <w:tc>
          <w:tcPr>
            <w:tcW w:w="1490" w:type="dxa"/>
            <w:tcBorders/>
            <w:shd w:fill="EEEEEE" w:val="clear"/>
            <w:vAlign w:val="center"/>
          </w:tcPr>
          <w:p>
            <w:pPr>
              <w:pStyle w:val="TableContents"/>
              <w:bidi w:val="0"/>
              <w:spacing w:before="0" w:after="283"/>
              <w:jc w:val="right"/>
              <w:rPr/>
            </w:pPr>
            <w:r>
              <w:rPr/>
              <w:t> </w:t>
            </w:r>
          </w:p>
        </w:tc>
        <w:tc>
          <w:tcPr>
            <w:tcW w:w="111" w:type="dxa"/>
            <w:tcBorders/>
            <w:shd w:fill="EEEEEE" w:val="clear"/>
            <w:vAlign w:val="center"/>
          </w:tcPr>
          <w:p>
            <w:pPr>
              <w:pStyle w:val="TableContents"/>
              <w:bidi w:val="0"/>
              <w:spacing w:before="0" w:after="283"/>
              <w:jc w:val="left"/>
              <w:rPr/>
            </w:pPr>
            <w:r>
              <w:rPr/>
              <w:t> </w:t>
            </w:r>
          </w:p>
        </w:tc>
        <w:tc>
          <w:tcPr>
            <w:tcW w:w="111" w:type="dxa"/>
            <w:tcBorders/>
            <w:shd w:fill="EEEEEE" w:val="clear"/>
            <w:vAlign w:val="center"/>
          </w:tcPr>
          <w:p>
            <w:pPr>
              <w:pStyle w:val="TableContents"/>
              <w:bidi w:val="0"/>
              <w:spacing w:before="0" w:after="283"/>
              <w:jc w:val="left"/>
              <w:rPr/>
            </w:pPr>
            <w:r>
              <w:rPr/>
              <w:t> </w:t>
            </w:r>
          </w:p>
        </w:tc>
        <w:tc>
          <w:tcPr>
            <w:tcW w:w="260" w:type="dxa"/>
            <w:tcBorders/>
            <w:shd w:fill="EEEEEE" w:val="clear"/>
            <w:vAlign w:val="center"/>
          </w:tcPr>
          <w:p>
            <w:pPr>
              <w:pStyle w:val="TableContents"/>
              <w:bidi w:val="0"/>
              <w:spacing w:before="0" w:after="283"/>
              <w:jc w:val="left"/>
              <w:rPr/>
            </w:pPr>
            <w:r>
              <w:rPr/>
              <w:t> </w:t>
            </w:r>
          </w:p>
        </w:tc>
        <w:tc>
          <w:tcPr>
            <w:tcW w:w="1490" w:type="dxa"/>
            <w:tcBorders/>
            <w:shd w:fill="EEEEEE" w:val="clear"/>
            <w:vAlign w:val="center"/>
          </w:tcPr>
          <w:p>
            <w:pPr>
              <w:pStyle w:val="TableContents"/>
              <w:bidi w:val="0"/>
              <w:spacing w:before="0" w:after="283"/>
              <w:jc w:val="right"/>
              <w:rPr/>
            </w:pPr>
            <w:r>
              <w:rPr/>
              <w:t> </w:t>
            </w:r>
          </w:p>
        </w:tc>
        <w:tc>
          <w:tcPr>
            <w:tcW w:w="75" w:type="dxa"/>
            <w:tcBorders/>
            <w:shd w:fill="EEEEEE"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Number of Originations staff</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181</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187</w:t>
            </w:r>
          </w:p>
        </w:tc>
        <w:tc>
          <w:tcPr>
            <w:tcW w:w="75" w:type="dxa"/>
            <w:tcBorders/>
            <w:shd w:fill="FFFFFF" w:val="clear"/>
            <w:vAlign w:val="center"/>
          </w:tcPr>
          <w:p>
            <w:pPr>
              <w:pStyle w:val="TableContents"/>
              <w:bidi w:val="0"/>
              <w:spacing w:before="0" w:after="283"/>
              <w:jc w:val="left"/>
              <w:rPr/>
            </w:pPr>
            <w:r>
              <w:rPr/>
              <w:t> </w:t>
            </w:r>
          </w:p>
        </w:tc>
      </w:tr>
      <w:tr>
        <w:trPr/>
        <w:tc>
          <w:tcPr>
            <w:tcW w:w="3785" w:type="dxa"/>
            <w:tcBorders/>
            <w:shd w:fill="EEEEEE" w:val="clear"/>
            <w:vAlign w:val="center"/>
          </w:tcPr>
          <w:p>
            <w:pPr>
              <w:pStyle w:val="TableContents"/>
              <w:bidi w:val="0"/>
              <w:spacing w:before="0" w:after="283"/>
              <w:jc w:val="left"/>
              <w:rPr/>
            </w:pPr>
            <w:r>
              <w:rPr/>
              <w:t>Number of Sales staff</w:t>
            </w:r>
          </w:p>
        </w:tc>
        <w:tc>
          <w:tcPr>
            <w:tcW w:w="60" w:type="dxa"/>
            <w:tcBorders/>
            <w:shd w:fill="EEEEEE" w:val="clear"/>
            <w:vAlign w:val="center"/>
          </w:tcPr>
          <w:p>
            <w:pPr>
              <w:pStyle w:val="TableContents"/>
              <w:bidi w:val="0"/>
              <w:spacing w:before="0" w:after="283"/>
              <w:jc w:val="left"/>
              <w:rPr/>
            </w:pPr>
            <w:r>
              <w:rPr/>
              <w:t> </w:t>
            </w:r>
          </w:p>
        </w:tc>
        <w:tc>
          <w:tcPr>
            <w:tcW w:w="260" w:type="dxa"/>
            <w:tcBorders/>
            <w:shd w:fill="EEEEEE" w:val="clear"/>
            <w:vAlign w:val="center"/>
          </w:tcPr>
          <w:p>
            <w:pPr>
              <w:pStyle w:val="TableContents"/>
              <w:bidi w:val="0"/>
              <w:spacing w:before="0" w:after="283"/>
              <w:jc w:val="left"/>
              <w:rPr/>
            </w:pPr>
            <w:r>
              <w:rPr/>
              <w:t> </w:t>
            </w:r>
          </w:p>
        </w:tc>
        <w:tc>
          <w:tcPr>
            <w:tcW w:w="1490" w:type="dxa"/>
            <w:tcBorders/>
            <w:shd w:fill="EEEEEE" w:val="clear"/>
            <w:vAlign w:val="center"/>
          </w:tcPr>
          <w:p>
            <w:pPr>
              <w:pStyle w:val="TableContents"/>
              <w:bidi w:val="0"/>
              <w:spacing w:before="0" w:after="283"/>
              <w:jc w:val="right"/>
              <w:rPr/>
            </w:pPr>
            <w:r>
              <w:rPr/>
              <w:t>103</w:t>
            </w:r>
          </w:p>
        </w:tc>
        <w:tc>
          <w:tcPr>
            <w:tcW w:w="111" w:type="dxa"/>
            <w:tcBorders/>
            <w:shd w:fill="EEEEEE" w:val="clear"/>
            <w:vAlign w:val="center"/>
          </w:tcPr>
          <w:p>
            <w:pPr>
              <w:pStyle w:val="TableContents"/>
              <w:bidi w:val="0"/>
              <w:spacing w:before="0" w:after="283"/>
              <w:jc w:val="left"/>
              <w:rPr/>
            </w:pPr>
            <w:r>
              <w:rPr/>
              <w:t> </w:t>
            </w:r>
          </w:p>
        </w:tc>
        <w:tc>
          <w:tcPr>
            <w:tcW w:w="111" w:type="dxa"/>
            <w:tcBorders/>
            <w:shd w:fill="EEEEEE" w:val="clear"/>
            <w:vAlign w:val="center"/>
          </w:tcPr>
          <w:p>
            <w:pPr>
              <w:pStyle w:val="TableContents"/>
              <w:bidi w:val="0"/>
              <w:spacing w:before="0" w:after="283"/>
              <w:jc w:val="left"/>
              <w:rPr/>
            </w:pPr>
            <w:r>
              <w:rPr/>
              <w:t> </w:t>
            </w:r>
          </w:p>
        </w:tc>
        <w:tc>
          <w:tcPr>
            <w:tcW w:w="260" w:type="dxa"/>
            <w:tcBorders/>
            <w:shd w:fill="EEEEEE" w:val="clear"/>
            <w:vAlign w:val="center"/>
          </w:tcPr>
          <w:p>
            <w:pPr>
              <w:pStyle w:val="TableContents"/>
              <w:bidi w:val="0"/>
              <w:spacing w:before="0" w:after="283"/>
              <w:jc w:val="left"/>
              <w:rPr/>
            </w:pPr>
            <w:r>
              <w:rPr/>
              <w:t> </w:t>
            </w:r>
          </w:p>
        </w:tc>
        <w:tc>
          <w:tcPr>
            <w:tcW w:w="1490" w:type="dxa"/>
            <w:tcBorders/>
            <w:shd w:fill="EEEEEE" w:val="clear"/>
            <w:vAlign w:val="center"/>
          </w:tcPr>
          <w:p>
            <w:pPr>
              <w:pStyle w:val="TableContents"/>
              <w:bidi w:val="0"/>
              <w:spacing w:before="0" w:after="283"/>
              <w:jc w:val="right"/>
              <w:rPr/>
            </w:pPr>
            <w:r>
              <w:rPr/>
              <w:t>134</w:t>
            </w:r>
          </w:p>
        </w:tc>
        <w:tc>
          <w:tcPr>
            <w:tcW w:w="75" w:type="dxa"/>
            <w:tcBorders/>
            <w:shd w:fill="EEEEEE"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Number of Servicing staff</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511</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404</w:t>
            </w:r>
          </w:p>
        </w:tc>
        <w:tc>
          <w:tcPr>
            <w:tcW w:w="75" w:type="dxa"/>
            <w:tcBorders/>
            <w:shd w:fill="FFFFFF" w:val="clear"/>
            <w:vAlign w:val="center"/>
          </w:tcPr>
          <w:p>
            <w:pPr>
              <w:pStyle w:val="TableContents"/>
              <w:bidi w:val="0"/>
              <w:spacing w:before="0" w:after="283"/>
              <w:jc w:val="left"/>
              <w:rPr/>
            </w:pPr>
            <w:r>
              <w:rPr/>
              <w:t> </w:t>
            </w:r>
          </w:p>
        </w:tc>
      </w:tr>
      <w:tr>
        <w:trPr/>
        <w:tc>
          <w:tcPr>
            <w:tcW w:w="3785" w:type="dxa"/>
            <w:tcBorders/>
            <w:shd w:fill="EEEEEE" w:val="clear"/>
            <w:vAlign w:val="center"/>
          </w:tcPr>
          <w:p>
            <w:pPr>
              <w:pStyle w:val="TableContents"/>
              <w:bidi w:val="0"/>
              <w:spacing w:before="0" w:after="283"/>
              <w:jc w:val="left"/>
              <w:rPr/>
            </w:pPr>
            <w:r>
              <w:rPr/>
              <w:t>Number of other staff</w:t>
            </w:r>
          </w:p>
        </w:tc>
        <w:tc>
          <w:tcPr>
            <w:tcW w:w="60" w:type="dxa"/>
            <w:tcBorders/>
            <w:shd w:fill="EEEEEE" w:val="clear"/>
            <w:vAlign w:val="center"/>
          </w:tcPr>
          <w:p>
            <w:pPr>
              <w:pStyle w:val="TableContents"/>
              <w:bidi w:val="0"/>
              <w:spacing w:before="0" w:after="283"/>
              <w:jc w:val="left"/>
              <w:rPr/>
            </w:pPr>
            <w:r>
              <w:rPr/>
              <w:t> </w:t>
            </w:r>
          </w:p>
        </w:tc>
        <w:tc>
          <w:tcPr>
            <w:tcW w:w="26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490" w:type="dxa"/>
            <w:tcBorders>
              <w:bottom w:val="single" w:sz="8" w:space="0" w:color="000000"/>
            </w:tcBorders>
            <w:shd w:fill="EEEEEE" w:val="clear"/>
            <w:tcMar>
              <w:bottom w:w="28" w:type="dxa"/>
            </w:tcMar>
            <w:vAlign w:val="center"/>
          </w:tcPr>
          <w:p>
            <w:pPr>
              <w:pStyle w:val="TableContents"/>
              <w:bidi w:val="0"/>
              <w:spacing w:before="0" w:after="283"/>
              <w:jc w:val="right"/>
              <w:rPr/>
            </w:pPr>
            <w:r>
              <w:rPr/>
              <w:t>72</w:t>
            </w:r>
          </w:p>
        </w:tc>
        <w:tc>
          <w:tcPr>
            <w:tcW w:w="111" w:type="dxa"/>
            <w:tcBorders/>
            <w:shd w:fill="EEEEEE" w:val="clear"/>
            <w:vAlign w:val="center"/>
          </w:tcPr>
          <w:p>
            <w:pPr>
              <w:pStyle w:val="TableContents"/>
              <w:bidi w:val="0"/>
              <w:spacing w:before="0" w:after="283"/>
              <w:jc w:val="left"/>
              <w:rPr/>
            </w:pPr>
            <w:r>
              <w:rPr/>
              <w:t> </w:t>
            </w:r>
          </w:p>
        </w:tc>
        <w:tc>
          <w:tcPr>
            <w:tcW w:w="111" w:type="dxa"/>
            <w:tcBorders/>
            <w:shd w:fill="EEEEEE" w:val="clear"/>
            <w:vAlign w:val="center"/>
          </w:tcPr>
          <w:p>
            <w:pPr>
              <w:pStyle w:val="TableContents"/>
              <w:bidi w:val="0"/>
              <w:spacing w:before="0" w:after="283"/>
              <w:jc w:val="left"/>
              <w:rPr/>
            </w:pPr>
            <w:r>
              <w:rPr/>
              <w:t> </w:t>
            </w:r>
          </w:p>
        </w:tc>
        <w:tc>
          <w:tcPr>
            <w:tcW w:w="26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490" w:type="dxa"/>
            <w:tcBorders>
              <w:bottom w:val="single" w:sz="8" w:space="0" w:color="000000"/>
            </w:tcBorders>
            <w:shd w:fill="EEEEEE" w:val="clear"/>
            <w:tcMar>
              <w:bottom w:w="28" w:type="dxa"/>
            </w:tcMar>
            <w:vAlign w:val="center"/>
          </w:tcPr>
          <w:p>
            <w:pPr>
              <w:pStyle w:val="TableContents"/>
              <w:bidi w:val="0"/>
              <w:spacing w:before="0" w:after="283"/>
              <w:jc w:val="right"/>
              <w:rPr/>
            </w:pPr>
            <w:r>
              <w:rPr/>
              <w:t>67</w:t>
            </w:r>
          </w:p>
        </w:tc>
        <w:tc>
          <w:tcPr>
            <w:tcW w:w="75" w:type="dxa"/>
            <w:tcBorders/>
            <w:shd w:fill="EEEEEE"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Total number of employees</w:t>
            </w:r>
          </w:p>
        </w:tc>
        <w:tc>
          <w:tcPr>
            <w:tcW w:w="60"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90" w:type="dxa"/>
            <w:tcBorders>
              <w:bottom w:val="double" w:sz="6" w:space="0" w:color="000000"/>
            </w:tcBorders>
            <w:shd w:fill="FFFFFF" w:val="clear"/>
            <w:tcMar>
              <w:bottom w:w="28" w:type="dxa"/>
            </w:tcMar>
            <w:vAlign w:val="center"/>
          </w:tcPr>
          <w:p>
            <w:pPr>
              <w:pStyle w:val="TableContents"/>
              <w:bidi w:val="0"/>
              <w:spacing w:before="0" w:after="283"/>
              <w:jc w:val="right"/>
              <w:rPr/>
            </w:pPr>
            <w:r>
              <w:rPr/>
              <w:t>867</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90" w:type="dxa"/>
            <w:tcBorders>
              <w:bottom w:val="double" w:sz="6" w:space="0" w:color="000000"/>
            </w:tcBorders>
            <w:shd w:fill="FFFFFF" w:val="clear"/>
            <w:tcMar>
              <w:bottom w:w="28" w:type="dxa"/>
            </w:tcMar>
            <w:vAlign w:val="center"/>
          </w:tcPr>
          <w:p>
            <w:pPr>
              <w:pStyle w:val="TableContents"/>
              <w:bidi w:val="0"/>
              <w:spacing w:before="0" w:after="283"/>
              <w:jc w:val="right"/>
              <w:rPr/>
            </w:pPr>
            <w:r>
              <w:rPr/>
              <w:t>792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8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include costs associated with purchasing and servicing our portfolio of finance receivables, including expenses for facilities, credit services, and telecommunications. General and administrative expenses was $13.0 million, an increase of $3.6 million from $9.4 million in the prior year period.</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for the three months ended September 30, 2023 was $37.9 million and represented 48.7% of total operating expenses, compared to $23.5 million in the previous year, when it was 42.0% of total operating expenses.</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securitization trust debt increased by $13.2 million for the three months ended September 30, 2023 compared to the prior period. The average balance of securitization trust debt increased to $2,349.7 million for the three months ended September 30, 2023 compared to $2,032.5 million for the three months ended September 30, 2022. The annualized average rate on our securitization trust debt was 5.4% for the three months ended September 30, 2023 compared to 3.6% in the prior year period. The blended interest rates on new term securitizations have been increasing since 2022. For each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to accept, which in turn, is influenced by investor demand for our bonds at the time of the securitization. These and other factors have resulted in fluctuations in our securitization trust debt interest costs. The blended interest rates of our recent securitizations are summarized in the table below:</w:t>
      </w:r>
    </w:p>
    <w:p>
      <w:pPr>
        <w:pStyle w:val="TextBody"/>
        <w:bidi w:val="0"/>
        <w:spacing w:before="0" w:after="0"/>
        <w:ind w:left="0" w:right="0" w:firstLine="180"/>
        <w:jc w:val="both"/>
        <w:rPr>
          <w:caps w:val="false"/>
          <w:smallCaps w:val="false"/>
        </w:rPr>
      </w:pPr>
      <w:r>
        <w:rPr>
          <w:caps w:val="false"/>
          <w:smallCaps w:val="false"/>
        </w:rPr>
        <w:t> </w:t>
      </w:r>
    </w:p>
    <w:tbl>
      <w:tblPr>
        <w:tblW w:w="3970" w:type="dxa"/>
        <w:jc w:val="left"/>
        <w:tblInd w:w="0" w:type="dxa"/>
        <w:tblLayout w:type="fixed"/>
        <w:tblCellMar>
          <w:top w:w="0" w:type="dxa"/>
          <w:left w:w="0" w:type="dxa"/>
          <w:bottom w:w="28" w:type="dxa"/>
          <w:right w:w="0" w:type="dxa"/>
        </w:tblCellMar>
      </w:tblPr>
      <w:tblGrid>
        <w:gridCol w:w="1565"/>
        <w:gridCol w:w="60"/>
        <w:gridCol w:w="2345"/>
      </w:tblGrid>
      <w:tr>
        <w:trPr/>
        <w:tc>
          <w:tcPr>
            <w:tcW w:w="1565" w:type="dxa"/>
            <w:tcBorders>
              <w:bottom w:val="single" w:sz="4" w:space="0" w:color="000000"/>
            </w:tcBorders>
            <w:vAlign w:val="center"/>
          </w:tcPr>
          <w:p>
            <w:pPr>
              <w:pStyle w:val="TableContents"/>
              <w:bidi w:val="0"/>
              <w:spacing w:before="0" w:after="283"/>
              <w:jc w:val="center"/>
              <w:rPr>
                <w:b/>
              </w:rPr>
            </w:pPr>
            <w:r>
              <w:rPr>
                <w:b/>
              </w:rPr>
              <w:t>Period</w:t>
            </w:r>
          </w:p>
        </w:tc>
        <w:tc>
          <w:tcPr>
            <w:tcW w:w="60" w:type="dxa"/>
            <w:tcBorders/>
            <w:tcMar>
              <w:bottom w:w="0" w:type="dxa"/>
            </w:tcMar>
            <w:vAlign w:val="center"/>
          </w:tcPr>
          <w:p>
            <w:pPr>
              <w:pStyle w:val="TableContents"/>
              <w:bidi w:val="0"/>
              <w:spacing w:before="0" w:after="283"/>
              <w:jc w:val="left"/>
              <w:rPr/>
            </w:pPr>
            <w:r>
              <w:rPr/>
              <w:t> </w:t>
            </w:r>
          </w:p>
        </w:tc>
        <w:tc>
          <w:tcPr>
            <w:tcW w:w="2345" w:type="dxa"/>
            <w:tcBorders>
              <w:bottom w:val="single" w:sz="4" w:space="0" w:color="000000"/>
            </w:tcBorders>
            <w:vAlign w:val="center"/>
          </w:tcPr>
          <w:p>
            <w:pPr>
              <w:pStyle w:val="TableContents"/>
              <w:bidi w:val="0"/>
              <w:spacing w:before="0" w:after="283"/>
              <w:jc w:val="center"/>
              <w:rPr>
                <w:b/>
              </w:rPr>
            </w:pPr>
            <w:r>
              <w:rPr>
                <w:b/>
              </w:rPr>
              <w:t>Blended Cost of Funds</w:t>
            </w:r>
          </w:p>
        </w:tc>
      </w:tr>
      <w:tr>
        <w:trPr/>
        <w:tc>
          <w:tcPr>
            <w:tcW w:w="1565" w:type="dxa"/>
            <w:tcBorders/>
            <w:shd w:fill="EEEEEE" w:val="clear"/>
            <w:tcMar>
              <w:bottom w:w="0" w:type="dxa"/>
            </w:tcMar>
            <w:vAlign w:val="center"/>
          </w:tcPr>
          <w:p>
            <w:pPr>
              <w:pStyle w:val="TableContents"/>
              <w:bidi w:val="0"/>
              <w:spacing w:before="0" w:after="283"/>
              <w:jc w:val="center"/>
              <w:rPr/>
            </w:pPr>
            <w:r>
              <w:rPr/>
              <w:t>January 2020</w:t>
            </w:r>
          </w:p>
        </w:tc>
        <w:tc>
          <w:tcPr>
            <w:tcW w:w="60" w:type="dxa"/>
            <w:tcBorders/>
            <w:shd w:fill="EEEEEE" w:val="clear"/>
            <w:tcMar>
              <w:bottom w:w="0" w:type="dxa"/>
            </w:tcMar>
            <w:vAlign w:val="center"/>
          </w:tcPr>
          <w:p>
            <w:pPr>
              <w:pStyle w:val="TableContents"/>
              <w:bidi w:val="0"/>
              <w:spacing w:before="0" w:after="283"/>
              <w:jc w:val="left"/>
              <w:rPr/>
            </w:pPr>
            <w:r>
              <w:rPr/>
              <w:t> </w:t>
            </w:r>
          </w:p>
        </w:tc>
        <w:tc>
          <w:tcPr>
            <w:tcW w:w="2345" w:type="dxa"/>
            <w:tcBorders/>
            <w:shd w:fill="EEEEEE" w:val="clear"/>
            <w:tcMar>
              <w:bottom w:w="0" w:type="dxa"/>
            </w:tcMar>
            <w:vAlign w:val="center"/>
          </w:tcPr>
          <w:p>
            <w:pPr>
              <w:pStyle w:val="TableContents"/>
              <w:bidi w:val="0"/>
              <w:spacing w:before="0" w:after="283"/>
              <w:jc w:val="center"/>
              <w:rPr/>
            </w:pPr>
            <w:r>
              <w:rPr/>
              <w:t>3.08%</w:t>
            </w:r>
          </w:p>
        </w:tc>
      </w:tr>
      <w:tr>
        <w:trPr/>
        <w:tc>
          <w:tcPr>
            <w:tcW w:w="1565" w:type="dxa"/>
            <w:tcBorders/>
            <w:shd w:fill="FFFFFF" w:val="clear"/>
            <w:tcMar>
              <w:bottom w:w="0" w:type="dxa"/>
            </w:tcMar>
            <w:vAlign w:val="center"/>
          </w:tcPr>
          <w:p>
            <w:pPr>
              <w:pStyle w:val="TableContents"/>
              <w:bidi w:val="0"/>
              <w:spacing w:before="0" w:after="283"/>
              <w:jc w:val="center"/>
              <w:rPr/>
            </w:pPr>
            <w:r>
              <w:rPr/>
              <w:t>June 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45" w:type="dxa"/>
            <w:tcBorders/>
            <w:shd w:fill="FFFFFF" w:val="clear"/>
            <w:tcMar>
              <w:bottom w:w="0" w:type="dxa"/>
            </w:tcMar>
            <w:vAlign w:val="center"/>
          </w:tcPr>
          <w:p>
            <w:pPr>
              <w:pStyle w:val="TableContents"/>
              <w:bidi w:val="0"/>
              <w:spacing w:before="0" w:after="283"/>
              <w:jc w:val="center"/>
              <w:rPr/>
            </w:pPr>
            <w:r>
              <w:rPr/>
              <w:t>4.09%</w:t>
            </w:r>
          </w:p>
        </w:tc>
      </w:tr>
      <w:tr>
        <w:trPr/>
        <w:tc>
          <w:tcPr>
            <w:tcW w:w="1565" w:type="dxa"/>
            <w:tcBorders/>
            <w:shd w:fill="EEEEEE" w:val="clear"/>
            <w:tcMar>
              <w:bottom w:w="0" w:type="dxa"/>
            </w:tcMar>
            <w:vAlign w:val="center"/>
          </w:tcPr>
          <w:p>
            <w:pPr>
              <w:pStyle w:val="TableContents"/>
              <w:bidi w:val="0"/>
              <w:spacing w:before="0" w:after="283"/>
              <w:jc w:val="center"/>
              <w:rPr/>
            </w:pPr>
            <w:r>
              <w:rPr/>
              <w:t>September 2020</w:t>
            </w:r>
          </w:p>
        </w:tc>
        <w:tc>
          <w:tcPr>
            <w:tcW w:w="60" w:type="dxa"/>
            <w:tcBorders/>
            <w:shd w:fill="EEEEEE" w:val="clear"/>
            <w:tcMar>
              <w:bottom w:w="0" w:type="dxa"/>
            </w:tcMar>
            <w:vAlign w:val="center"/>
          </w:tcPr>
          <w:p>
            <w:pPr>
              <w:pStyle w:val="TableContents"/>
              <w:bidi w:val="0"/>
              <w:spacing w:before="0" w:after="283"/>
              <w:jc w:val="left"/>
              <w:rPr/>
            </w:pPr>
            <w:r>
              <w:rPr/>
              <w:t> </w:t>
            </w:r>
          </w:p>
        </w:tc>
        <w:tc>
          <w:tcPr>
            <w:tcW w:w="2345" w:type="dxa"/>
            <w:tcBorders/>
            <w:shd w:fill="EEEEEE" w:val="clear"/>
            <w:tcMar>
              <w:bottom w:w="0" w:type="dxa"/>
            </w:tcMar>
            <w:vAlign w:val="center"/>
          </w:tcPr>
          <w:p>
            <w:pPr>
              <w:pStyle w:val="TableContents"/>
              <w:bidi w:val="0"/>
              <w:spacing w:before="0" w:after="283"/>
              <w:jc w:val="center"/>
              <w:rPr/>
            </w:pPr>
            <w:r>
              <w:rPr/>
              <w:t>2.39%</w:t>
            </w:r>
          </w:p>
        </w:tc>
      </w:tr>
      <w:tr>
        <w:trPr/>
        <w:tc>
          <w:tcPr>
            <w:tcW w:w="1565" w:type="dxa"/>
            <w:tcBorders/>
            <w:shd w:fill="FFFFFF" w:val="clear"/>
            <w:tcMar>
              <w:bottom w:w="0" w:type="dxa"/>
            </w:tcMar>
            <w:vAlign w:val="center"/>
          </w:tcPr>
          <w:p>
            <w:pPr>
              <w:pStyle w:val="TableContents"/>
              <w:bidi w:val="0"/>
              <w:spacing w:before="0" w:after="283"/>
              <w:jc w:val="center"/>
              <w:rPr/>
            </w:pPr>
            <w:r>
              <w:rPr/>
              <w:t>January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45" w:type="dxa"/>
            <w:tcBorders/>
            <w:shd w:fill="FFFFFF" w:val="clear"/>
            <w:tcMar>
              <w:bottom w:w="0" w:type="dxa"/>
            </w:tcMar>
            <w:vAlign w:val="center"/>
          </w:tcPr>
          <w:p>
            <w:pPr>
              <w:pStyle w:val="TableContents"/>
              <w:bidi w:val="0"/>
              <w:spacing w:before="0" w:after="283"/>
              <w:jc w:val="center"/>
              <w:rPr/>
            </w:pPr>
            <w:r>
              <w:rPr/>
              <w:t>1.11%</w:t>
            </w:r>
          </w:p>
        </w:tc>
      </w:tr>
      <w:tr>
        <w:trPr/>
        <w:tc>
          <w:tcPr>
            <w:tcW w:w="1565" w:type="dxa"/>
            <w:tcBorders/>
            <w:shd w:fill="EEEEEE" w:val="clear"/>
            <w:tcMar>
              <w:bottom w:w="0" w:type="dxa"/>
            </w:tcMar>
            <w:vAlign w:val="center"/>
          </w:tcPr>
          <w:p>
            <w:pPr>
              <w:pStyle w:val="TableContents"/>
              <w:bidi w:val="0"/>
              <w:spacing w:before="0" w:after="283"/>
              <w:jc w:val="center"/>
              <w:rPr/>
            </w:pPr>
            <w:r>
              <w:rPr/>
              <w:t>April 2021</w:t>
            </w:r>
          </w:p>
        </w:tc>
        <w:tc>
          <w:tcPr>
            <w:tcW w:w="60" w:type="dxa"/>
            <w:tcBorders/>
            <w:shd w:fill="EEEEEE" w:val="clear"/>
            <w:tcMar>
              <w:bottom w:w="0" w:type="dxa"/>
            </w:tcMar>
            <w:vAlign w:val="center"/>
          </w:tcPr>
          <w:p>
            <w:pPr>
              <w:pStyle w:val="TableContents"/>
              <w:bidi w:val="0"/>
              <w:spacing w:before="0" w:after="283"/>
              <w:jc w:val="left"/>
              <w:rPr/>
            </w:pPr>
            <w:r>
              <w:rPr/>
              <w:t> </w:t>
            </w:r>
          </w:p>
        </w:tc>
        <w:tc>
          <w:tcPr>
            <w:tcW w:w="2345" w:type="dxa"/>
            <w:tcBorders/>
            <w:shd w:fill="EEEEEE" w:val="clear"/>
            <w:tcMar>
              <w:bottom w:w="0" w:type="dxa"/>
            </w:tcMar>
            <w:vAlign w:val="center"/>
          </w:tcPr>
          <w:p>
            <w:pPr>
              <w:pStyle w:val="TableContents"/>
              <w:bidi w:val="0"/>
              <w:spacing w:before="0" w:after="283"/>
              <w:jc w:val="center"/>
              <w:rPr/>
            </w:pPr>
            <w:r>
              <w:rPr/>
              <w:t>1.65%</w:t>
            </w:r>
          </w:p>
        </w:tc>
      </w:tr>
      <w:tr>
        <w:trPr/>
        <w:tc>
          <w:tcPr>
            <w:tcW w:w="1565" w:type="dxa"/>
            <w:tcBorders/>
            <w:shd w:fill="FFFFFF" w:val="clear"/>
            <w:tcMar>
              <w:bottom w:w="0" w:type="dxa"/>
            </w:tcMar>
            <w:vAlign w:val="center"/>
          </w:tcPr>
          <w:p>
            <w:pPr>
              <w:pStyle w:val="TableContents"/>
              <w:bidi w:val="0"/>
              <w:spacing w:before="0" w:after="283"/>
              <w:jc w:val="center"/>
              <w:rPr/>
            </w:pPr>
            <w:r>
              <w:rPr/>
              <w:t>July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45" w:type="dxa"/>
            <w:tcBorders/>
            <w:shd w:fill="FFFFFF" w:val="clear"/>
            <w:tcMar>
              <w:bottom w:w="0" w:type="dxa"/>
            </w:tcMar>
            <w:vAlign w:val="center"/>
          </w:tcPr>
          <w:p>
            <w:pPr>
              <w:pStyle w:val="TableContents"/>
              <w:bidi w:val="0"/>
              <w:spacing w:before="0" w:after="283"/>
              <w:jc w:val="center"/>
              <w:rPr/>
            </w:pPr>
            <w:r>
              <w:rPr/>
              <w:t>1.55%</w:t>
            </w:r>
          </w:p>
        </w:tc>
      </w:tr>
      <w:tr>
        <w:trPr/>
        <w:tc>
          <w:tcPr>
            <w:tcW w:w="1565" w:type="dxa"/>
            <w:tcBorders/>
            <w:shd w:fill="EEEEEE" w:val="clear"/>
            <w:tcMar>
              <w:bottom w:w="0" w:type="dxa"/>
            </w:tcMar>
            <w:vAlign w:val="center"/>
          </w:tcPr>
          <w:p>
            <w:pPr>
              <w:pStyle w:val="TableContents"/>
              <w:bidi w:val="0"/>
              <w:spacing w:before="0" w:after="283"/>
              <w:jc w:val="center"/>
              <w:rPr/>
            </w:pPr>
            <w:r>
              <w:rPr/>
              <w:t>October 2021</w:t>
            </w:r>
          </w:p>
        </w:tc>
        <w:tc>
          <w:tcPr>
            <w:tcW w:w="60" w:type="dxa"/>
            <w:tcBorders/>
            <w:shd w:fill="EEEEEE" w:val="clear"/>
            <w:tcMar>
              <w:bottom w:w="0" w:type="dxa"/>
            </w:tcMar>
            <w:vAlign w:val="center"/>
          </w:tcPr>
          <w:p>
            <w:pPr>
              <w:pStyle w:val="TableContents"/>
              <w:bidi w:val="0"/>
              <w:spacing w:before="0" w:after="283"/>
              <w:jc w:val="left"/>
              <w:rPr/>
            </w:pPr>
            <w:r>
              <w:rPr/>
              <w:t> </w:t>
            </w:r>
          </w:p>
        </w:tc>
        <w:tc>
          <w:tcPr>
            <w:tcW w:w="2345" w:type="dxa"/>
            <w:tcBorders/>
            <w:shd w:fill="EEEEEE" w:val="clear"/>
            <w:tcMar>
              <w:bottom w:w="0" w:type="dxa"/>
            </w:tcMar>
            <w:vAlign w:val="center"/>
          </w:tcPr>
          <w:p>
            <w:pPr>
              <w:pStyle w:val="TableContents"/>
              <w:bidi w:val="0"/>
              <w:spacing w:before="0" w:after="283"/>
              <w:jc w:val="center"/>
              <w:rPr/>
            </w:pPr>
            <w:r>
              <w:rPr/>
              <w:t>2.09%</w:t>
            </w:r>
          </w:p>
        </w:tc>
      </w:tr>
      <w:tr>
        <w:trPr/>
        <w:tc>
          <w:tcPr>
            <w:tcW w:w="1565" w:type="dxa"/>
            <w:tcBorders/>
            <w:shd w:fill="FFFFFF" w:val="clear"/>
            <w:tcMar>
              <w:bottom w:w="0" w:type="dxa"/>
            </w:tcMar>
            <w:vAlign w:val="center"/>
          </w:tcPr>
          <w:p>
            <w:pPr>
              <w:pStyle w:val="TableContents"/>
              <w:bidi w:val="0"/>
              <w:spacing w:before="0" w:after="283"/>
              <w:jc w:val="center"/>
              <w:rPr/>
            </w:pPr>
            <w:r>
              <w:rPr/>
              <w:t>January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45" w:type="dxa"/>
            <w:tcBorders/>
            <w:shd w:fill="FFFFFF" w:val="clear"/>
            <w:tcMar>
              <w:bottom w:w="0" w:type="dxa"/>
            </w:tcMar>
            <w:vAlign w:val="center"/>
          </w:tcPr>
          <w:p>
            <w:pPr>
              <w:pStyle w:val="TableContents"/>
              <w:bidi w:val="0"/>
              <w:spacing w:before="0" w:after="283"/>
              <w:jc w:val="center"/>
              <w:rPr/>
            </w:pPr>
            <w:r>
              <w:rPr/>
              <w:t>2.54%</w:t>
            </w:r>
          </w:p>
        </w:tc>
      </w:tr>
      <w:tr>
        <w:trPr/>
        <w:tc>
          <w:tcPr>
            <w:tcW w:w="1565" w:type="dxa"/>
            <w:tcBorders/>
            <w:shd w:fill="EEEEEE" w:val="clear"/>
            <w:tcMar>
              <w:bottom w:w="0" w:type="dxa"/>
            </w:tcMar>
            <w:vAlign w:val="center"/>
          </w:tcPr>
          <w:p>
            <w:pPr>
              <w:pStyle w:val="TableContents"/>
              <w:bidi w:val="0"/>
              <w:spacing w:before="0" w:after="283"/>
              <w:jc w:val="center"/>
              <w:rPr/>
            </w:pPr>
            <w:r>
              <w:rPr/>
              <w:t>April 2022</w:t>
            </w:r>
          </w:p>
        </w:tc>
        <w:tc>
          <w:tcPr>
            <w:tcW w:w="60" w:type="dxa"/>
            <w:tcBorders/>
            <w:shd w:fill="EEEEEE" w:val="clear"/>
            <w:tcMar>
              <w:bottom w:w="0" w:type="dxa"/>
            </w:tcMar>
            <w:vAlign w:val="center"/>
          </w:tcPr>
          <w:p>
            <w:pPr>
              <w:pStyle w:val="TableContents"/>
              <w:bidi w:val="0"/>
              <w:spacing w:before="0" w:after="283"/>
              <w:jc w:val="left"/>
              <w:rPr/>
            </w:pPr>
            <w:r>
              <w:rPr/>
              <w:t> </w:t>
            </w:r>
          </w:p>
        </w:tc>
        <w:tc>
          <w:tcPr>
            <w:tcW w:w="2345" w:type="dxa"/>
            <w:tcBorders/>
            <w:shd w:fill="EEEEEE" w:val="clear"/>
            <w:tcMar>
              <w:bottom w:w="0" w:type="dxa"/>
            </w:tcMar>
            <w:vAlign w:val="center"/>
          </w:tcPr>
          <w:p>
            <w:pPr>
              <w:pStyle w:val="TableContents"/>
              <w:bidi w:val="0"/>
              <w:spacing w:before="0" w:after="283"/>
              <w:jc w:val="center"/>
              <w:rPr/>
            </w:pPr>
            <w:r>
              <w:rPr/>
              <w:t>4.83%</w:t>
            </w:r>
          </w:p>
        </w:tc>
      </w:tr>
      <w:tr>
        <w:trPr/>
        <w:tc>
          <w:tcPr>
            <w:tcW w:w="1565" w:type="dxa"/>
            <w:tcBorders/>
            <w:shd w:fill="FFFFFF" w:val="clear"/>
            <w:tcMar>
              <w:bottom w:w="0" w:type="dxa"/>
            </w:tcMar>
            <w:vAlign w:val="center"/>
          </w:tcPr>
          <w:p>
            <w:pPr>
              <w:pStyle w:val="TableContents"/>
              <w:bidi w:val="0"/>
              <w:spacing w:before="0" w:after="283"/>
              <w:jc w:val="center"/>
              <w:rPr/>
            </w:pPr>
            <w:r>
              <w:rPr/>
              <w:t>July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45" w:type="dxa"/>
            <w:tcBorders/>
            <w:shd w:fill="FFFFFF" w:val="clear"/>
            <w:tcMar>
              <w:bottom w:w="0" w:type="dxa"/>
            </w:tcMar>
            <w:vAlign w:val="center"/>
          </w:tcPr>
          <w:p>
            <w:pPr>
              <w:pStyle w:val="TableContents"/>
              <w:bidi w:val="0"/>
              <w:spacing w:before="0" w:after="283"/>
              <w:jc w:val="center"/>
              <w:rPr/>
            </w:pPr>
            <w:r>
              <w:rPr/>
              <w:t>6.02%</w:t>
            </w:r>
          </w:p>
        </w:tc>
      </w:tr>
      <w:tr>
        <w:trPr/>
        <w:tc>
          <w:tcPr>
            <w:tcW w:w="1565" w:type="dxa"/>
            <w:tcBorders/>
            <w:shd w:fill="EEEEEE" w:val="clear"/>
            <w:tcMar>
              <w:bottom w:w="0" w:type="dxa"/>
            </w:tcMar>
            <w:vAlign w:val="center"/>
          </w:tcPr>
          <w:p>
            <w:pPr>
              <w:pStyle w:val="TableContents"/>
              <w:bidi w:val="0"/>
              <w:spacing w:before="0" w:after="283"/>
              <w:jc w:val="center"/>
              <w:rPr/>
            </w:pPr>
            <w:r>
              <w:rPr/>
              <w:t>October 2022</w:t>
            </w:r>
          </w:p>
        </w:tc>
        <w:tc>
          <w:tcPr>
            <w:tcW w:w="60" w:type="dxa"/>
            <w:tcBorders/>
            <w:shd w:fill="EEEEEE" w:val="clear"/>
            <w:tcMar>
              <w:bottom w:w="0" w:type="dxa"/>
            </w:tcMar>
            <w:vAlign w:val="center"/>
          </w:tcPr>
          <w:p>
            <w:pPr>
              <w:pStyle w:val="TableContents"/>
              <w:bidi w:val="0"/>
              <w:spacing w:before="0" w:after="283"/>
              <w:jc w:val="left"/>
              <w:rPr/>
            </w:pPr>
            <w:r>
              <w:rPr/>
              <w:t> </w:t>
            </w:r>
          </w:p>
        </w:tc>
        <w:tc>
          <w:tcPr>
            <w:tcW w:w="2345" w:type="dxa"/>
            <w:tcBorders/>
            <w:shd w:fill="EEEEEE" w:val="clear"/>
            <w:tcMar>
              <w:bottom w:w="0" w:type="dxa"/>
            </w:tcMar>
            <w:vAlign w:val="center"/>
          </w:tcPr>
          <w:p>
            <w:pPr>
              <w:pStyle w:val="TableContents"/>
              <w:bidi w:val="0"/>
              <w:spacing w:before="0" w:after="283"/>
              <w:jc w:val="center"/>
              <w:rPr/>
            </w:pPr>
            <w:r>
              <w:rPr/>
              <w:t>8.48%</w:t>
            </w:r>
          </w:p>
        </w:tc>
      </w:tr>
      <w:tr>
        <w:trPr/>
        <w:tc>
          <w:tcPr>
            <w:tcW w:w="1565" w:type="dxa"/>
            <w:tcBorders/>
            <w:shd w:fill="FFFFFF" w:val="clear"/>
            <w:tcMar>
              <w:bottom w:w="0" w:type="dxa"/>
            </w:tcMar>
            <w:vAlign w:val="center"/>
          </w:tcPr>
          <w:p>
            <w:pPr>
              <w:pStyle w:val="TableContents"/>
              <w:bidi w:val="0"/>
              <w:spacing w:before="0" w:after="283"/>
              <w:jc w:val="center"/>
              <w:rPr/>
            </w:pPr>
            <w:r>
              <w:rPr/>
              <w:t>January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45" w:type="dxa"/>
            <w:tcBorders/>
            <w:shd w:fill="FFFFFF" w:val="clear"/>
            <w:tcMar>
              <w:bottom w:w="0" w:type="dxa"/>
            </w:tcMar>
            <w:vAlign w:val="center"/>
          </w:tcPr>
          <w:p>
            <w:pPr>
              <w:pStyle w:val="TableContents"/>
              <w:bidi w:val="0"/>
              <w:spacing w:before="0" w:after="283"/>
              <w:jc w:val="center"/>
              <w:rPr/>
            </w:pPr>
            <w:r>
              <w:rPr/>
              <w:t>6.48%</w:t>
            </w:r>
          </w:p>
        </w:tc>
      </w:tr>
      <w:tr>
        <w:trPr/>
        <w:tc>
          <w:tcPr>
            <w:tcW w:w="1565" w:type="dxa"/>
            <w:tcBorders/>
            <w:shd w:fill="EEEEEE" w:val="clear"/>
            <w:tcMar>
              <w:bottom w:w="0" w:type="dxa"/>
            </w:tcMar>
            <w:vAlign w:val="center"/>
          </w:tcPr>
          <w:p>
            <w:pPr>
              <w:pStyle w:val="TableContents"/>
              <w:bidi w:val="0"/>
              <w:spacing w:before="0" w:after="283"/>
              <w:jc w:val="center"/>
              <w:rPr/>
            </w:pPr>
            <w:r>
              <w:rPr/>
              <w:t>April 2023</w:t>
            </w:r>
          </w:p>
        </w:tc>
        <w:tc>
          <w:tcPr>
            <w:tcW w:w="60" w:type="dxa"/>
            <w:tcBorders/>
            <w:shd w:fill="EEEEEE" w:val="clear"/>
            <w:tcMar>
              <w:bottom w:w="0" w:type="dxa"/>
            </w:tcMar>
            <w:vAlign w:val="center"/>
          </w:tcPr>
          <w:p>
            <w:pPr>
              <w:pStyle w:val="TableContents"/>
              <w:bidi w:val="0"/>
              <w:spacing w:before="0" w:after="283"/>
              <w:jc w:val="left"/>
              <w:rPr/>
            </w:pPr>
            <w:r>
              <w:rPr/>
              <w:t> </w:t>
            </w:r>
          </w:p>
        </w:tc>
        <w:tc>
          <w:tcPr>
            <w:tcW w:w="2345" w:type="dxa"/>
            <w:tcBorders/>
            <w:shd w:fill="EEEEEE" w:val="clear"/>
            <w:tcMar>
              <w:bottom w:w="0" w:type="dxa"/>
            </w:tcMar>
            <w:vAlign w:val="center"/>
          </w:tcPr>
          <w:p>
            <w:pPr>
              <w:pStyle w:val="TableContents"/>
              <w:bidi w:val="0"/>
              <w:spacing w:before="0" w:after="283"/>
              <w:jc w:val="center"/>
              <w:rPr/>
            </w:pPr>
            <w:r>
              <w:rPr/>
              <w:t>7.17%</w:t>
            </w:r>
          </w:p>
        </w:tc>
      </w:tr>
      <w:tr>
        <w:trPr/>
        <w:tc>
          <w:tcPr>
            <w:tcW w:w="1565" w:type="dxa"/>
            <w:tcBorders/>
            <w:shd w:fill="FFFFFF" w:val="clear"/>
            <w:tcMar>
              <w:bottom w:w="0" w:type="dxa"/>
            </w:tcMar>
            <w:vAlign w:val="center"/>
          </w:tcPr>
          <w:p>
            <w:pPr>
              <w:pStyle w:val="TableContents"/>
              <w:bidi w:val="0"/>
              <w:spacing w:before="0" w:after="283"/>
              <w:jc w:val="center"/>
              <w:rPr/>
            </w:pPr>
            <w:r>
              <w:rPr/>
              <w:t>July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45" w:type="dxa"/>
            <w:tcBorders/>
            <w:shd w:fill="FFFFFF" w:val="clear"/>
            <w:tcMar>
              <w:bottom w:w="0" w:type="dxa"/>
            </w:tcMar>
            <w:vAlign w:val="center"/>
          </w:tcPr>
          <w:p>
            <w:pPr>
              <w:pStyle w:val="TableContents"/>
              <w:bidi w:val="0"/>
              <w:spacing w:before="0" w:after="283"/>
              <w:jc w:val="center"/>
              <w:rPr/>
            </w:pPr>
            <w:r>
              <w:rPr/>
              <w:t>7.13%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on warehouse credit line debt increased by $1.4 million to $4.7 million for the three months ended September 30, 2023 compared to $3.3 million in the prior year period. The increase was due to the higher rates on credit line debt during the quarter compared to last year. The average balance of our warehouse debt was $170.9 million during the three months ended September 30, 2023 compared to $172.9 million for the same period in 2022. The annualized average rate on our credit line debt was 10.9% for the three months ended September 30, 2023 compared to 7.7% in the prior year period.</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on subordinated renewable notes was $440,000 for the three months ended September 30, 2023. The average balance of the outstanding subordinated debt decreased by $7.6 million to $19.9 million for the three months ended September 30, 2023 compared to $27.5 million for the prior year. The average yield of subordinated notes increased to 8.8% compared to 8.3% in the prior period.</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8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2021, we completed a residual interest financing of our residual interests from previously issued securitizations in the amount of $50.0 million. Interest expense on this residual interest financing was $1.1 million for the three months ended September 30, 2023 and 2022.</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components of interest income and interest expense and a net interest yield analysis for the three-month periods ended September 30, 2023 and 2022:</w:t>
      </w:r>
    </w:p>
    <w:p>
      <w:pPr>
        <w:pStyle w:val="TextBody"/>
        <w:bidi w:val="0"/>
        <w:spacing w:before="0" w:after="0"/>
        <w:ind w:left="0" w:right="0" w:firstLine="1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78"/>
        <w:gridCol w:w="60"/>
        <w:gridCol w:w="141"/>
        <w:gridCol w:w="989"/>
        <w:gridCol w:w="60"/>
        <w:gridCol w:w="60"/>
        <w:gridCol w:w="140"/>
        <w:gridCol w:w="680"/>
        <w:gridCol w:w="60"/>
        <w:gridCol w:w="60"/>
        <w:gridCol w:w="142"/>
        <w:gridCol w:w="1048"/>
        <w:gridCol w:w="215"/>
        <w:gridCol w:w="60"/>
        <w:gridCol w:w="141"/>
        <w:gridCol w:w="989"/>
        <w:gridCol w:w="60"/>
        <w:gridCol w:w="60"/>
        <w:gridCol w:w="140"/>
        <w:gridCol w:w="680"/>
        <w:gridCol w:w="60"/>
        <w:gridCol w:w="60"/>
        <w:gridCol w:w="142"/>
        <w:gridCol w:w="1048"/>
        <w:gridCol w:w="232"/>
      </w:tblGrid>
      <w:tr>
        <w:trPr/>
        <w:tc>
          <w:tcPr>
            <w:tcW w:w="28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35"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232" w:type="dxa"/>
            <w:tcBorders/>
            <w:vAlign w:val="center"/>
          </w:tcPr>
          <w:p>
            <w:pPr>
              <w:pStyle w:val="TableContents"/>
              <w:bidi w:val="0"/>
              <w:spacing w:before="0" w:after="283"/>
              <w:jc w:val="left"/>
              <w:rPr/>
            </w:pPr>
            <w:r>
              <w:rPr/>
              <w:t> </w:t>
            </w:r>
          </w:p>
        </w:tc>
      </w:tr>
      <w:tr>
        <w:trPr/>
        <w:tc>
          <w:tcPr>
            <w:tcW w:w="28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8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8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232" w:type="dxa"/>
            <w:tcBorders/>
            <w:vAlign w:val="center"/>
          </w:tcPr>
          <w:p>
            <w:pPr>
              <w:pStyle w:val="TableContents"/>
              <w:bidi w:val="0"/>
              <w:spacing w:before="0" w:after="283"/>
              <w:jc w:val="left"/>
              <w:rPr/>
            </w:pPr>
            <w:r>
              <w:rPr/>
              <w:t> </w:t>
            </w:r>
          </w:p>
        </w:tc>
      </w:tr>
      <w:tr>
        <w:trPr/>
        <w:tc>
          <w:tcPr>
            <w:tcW w:w="28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35" w:type="dxa"/>
            <w:gridSpan w:val="22"/>
            <w:tcBorders/>
            <w:vAlign w:val="center"/>
          </w:tcPr>
          <w:p>
            <w:pPr>
              <w:pStyle w:val="TableContents"/>
              <w:bidi w:val="0"/>
              <w:spacing w:before="0" w:after="283"/>
              <w:jc w:val="center"/>
              <w:rPr>
                <w:b/>
              </w:rPr>
            </w:pPr>
            <w:r>
              <w:rPr>
                <w:b/>
              </w:rPr>
              <w:t>(Dollars in thousands)</w:t>
            </w:r>
          </w:p>
        </w:tc>
        <w:tc>
          <w:tcPr>
            <w:tcW w:w="232" w:type="dxa"/>
            <w:tcBorders/>
            <w:vAlign w:val="center"/>
          </w:tcPr>
          <w:p>
            <w:pPr>
              <w:pStyle w:val="TableContents"/>
              <w:bidi w:val="0"/>
              <w:spacing w:before="0" w:after="283"/>
              <w:jc w:val="left"/>
              <w:rPr/>
            </w:pPr>
            <w:r>
              <w:rPr/>
              <w:t> </w:t>
            </w:r>
          </w:p>
        </w:tc>
      </w:tr>
      <w:tr>
        <w:trPr/>
        <w:tc>
          <w:tcPr>
            <w:tcW w:w="28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Annualized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Annualized</w:t>
            </w:r>
          </w:p>
        </w:tc>
        <w:tc>
          <w:tcPr>
            <w:tcW w:w="232" w:type="dxa"/>
            <w:tcBorders/>
            <w:vAlign w:val="center"/>
          </w:tcPr>
          <w:p>
            <w:pPr>
              <w:pStyle w:val="TableContents"/>
              <w:bidi w:val="0"/>
              <w:spacing w:before="0" w:after="283"/>
              <w:jc w:val="left"/>
              <w:rPr/>
            </w:pPr>
            <w:r>
              <w:rPr/>
              <w:t> </w:t>
            </w:r>
          </w:p>
        </w:tc>
      </w:tr>
      <w:tr>
        <w:trPr/>
        <w:tc>
          <w:tcPr>
            <w:tcW w:w="28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Average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Average</w:t>
            </w:r>
          </w:p>
        </w:tc>
        <w:tc>
          <w:tcPr>
            <w:tcW w:w="232" w:type="dxa"/>
            <w:tcBorders/>
            <w:vAlign w:val="center"/>
          </w:tcPr>
          <w:p>
            <w:pPr>
              <w:pStyle w:val="TableContents"/>
              <w:bidi w:val="0"/>
              <w:spacing w:before="0" w:after="283"/>
              <w:jc w:val="left"/>
              <w:rPr/>
            </w:pPr>
            <w:r>
              <w:rPr/>
              <w:t> </w:t>
            </w:r>
          </w:p>
        </w:tc>
      </w:tr>
      <w:tr>
        <w:trPr/>
        <w:tc>
          <w:tcPr>
            <w:tcW w:w="28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Balance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Yield/Rate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Balance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Yield/Rate</w:t>
            </w:r>
          </w:p>
        </w:tc>
        <w:tc>
          <w:tcPr>
            <w:tcW w:w="232" w:type="dxa"/>
            <w:tcBorders/>
            <w:vAlign w:val="center"/>
          </w:tcPr>
          <w:p>
            <w:pPr>
              <w:pStyle w:val="TableContents"/>
              <w:bidi w:val="0"/>
              <w:spacing w:before="0" w:after="283"/>
              <w:jc w:val="left"/>
              <w:rPr/>
            </w:pPr>
            <w:r>
              <w:rPr/>
              <w:t> </w:t>
            </w:r>
          </w:p>
        </w:tc>
      </w:tr>
      <w:tr>
        <w:trPr/>
        <w:tc>
          <w:tcPr>
            <w:tcW w:w="2878" w:type="dxa"/>
            <w:tcBorders/>
            <w:shd w:fill="EEEEEE" w:val="clear"/>
            <w:vAlign w:val="center"/>
          </w:tcPr>
          <w:p>
            <w:pPr>
              <w:pStyle w:val="TableContents"/>
              <w:bidi w:val="0"/>
              <w:spacing w:before="0" w:after="283"/>
              <w:jc w:val="center"/>
              <w:rPr>
                <w:b/>
                <w:u w:val="single"/>
              </w:rPr>
            </w:pPr>
            <w:r>
              <w:rPr>
                <w:b/>
                <w:u w:val="single"/>
              </w:rPr>
              <w:t>Interest Earning Assets</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989"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68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 </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989"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68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 </w:t>
            </w:r>
          </w:p>
        </w:tc>
        <w:tc>
          <w:tcPr>
            <w:tcW w:w="232" w:type="dxa"/>
            <w:tcBorders/>
            <w:shd w:fill="EEEEEE" w:val="clear"/>
            <w:vAlign w:val="center"/>
          </w:tcPr>
          <w:p>
            <w:pPr>
              <w:pStyle w:val="TableContents"/>
              <w:bidi w:val="0"/>
              <w:spacing w:before="0" w:after="283"/>
              <w:jc w:val="left"/>
              <w:rPr/>
            </w:pPr>
            <w:r>
              <w:rPr/>
              <w:t> </w:t>
            </w:r>
          </w:p>
        </w:tc>
      </w:tr>
      <w:tr>
        <w:trPr/>
        <w:tc>
          <w:tcPr>
            <w:tcW w:w="2878" w:type="dxa"/>
            <w:tcBorders/>
            <w:shd w:fill="FFFFFF" w:val="clear"/>
            <w:vAlign w:val="center"/>
          </w:tcPr>
          <w:p>
            <w:pPr>
              <w:pStyle w:val="TableContents"/>
              <w:bidi w:val="0"/>
              <w:spacing w:before="0" w:after="283"/>
              <w:jc w:val="left"/>
              <w:rPr/>
            </w:pPr>
            <w:r>
              <w:rPr/>
              <w:t>Loan Portfolio</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989" w:type="dxa"/>
            <w:tcBorders/>
            <w:shd w:fill="FFFFFF" w:val="clear"/>
            <w:vAlign w:val="center"/>
          </w:tcPr>
          <w:p>
            <w:pPr>
              <w:pStyle w:val="TableContents"/>
              <w:bidi w:val="0"/>
              <w:spacing w:before="0" w:after="283"/>
              <w:jc w:val="right"/>
              <w:rPr/>
            </w:pPr>
            <w:r>
              <w:rPr/>
              <w:t>2,934,749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83,261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11.3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989" w:type="dxa"/>
            <w:tcBorders/>
            <w:shd w:fill="FFFFFF" w:val="clear"/>
            <w:vAlign w:val="center"/>
          </w:tcPr>
          <w:p>
            <w:pPr>
              <w:pStyle w:val="TableContents"/>
              <w:bidi w:val="0"/>
              <w:spacing w:before="0" w:after="283"/>
              <w:jc w:val="right"/>
              <w:rPr/>
            </w:pPr>
            <w:r>
              <w:rPr/>
              <w:t>2,648,209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79,817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12.1</w:t>
            </w:r>
          </w:p>
        </w:tc>
        <w:tc>
          <w:tcPr>
            <w:tcW w:w="232" w:type="dxa"/>
            <w:tcBorders/>
            <w:shd w:fill="FFFFFF" w:val="clear"/>
            <w:vAlign w:val="center"/>
          </w:tcPr>
          <w:p>
            <w:pPr>
              <w:pStyle w:val="TableContents"/>
              <w:bidi w:val="0"/>
              <w:spacing w:before="0" w:after="283"/>
              <w:jc w:val="left"/>
              <w:rPr/>
            </w:pPr>
            <w:r>
              <w:rPr/>
              <w:t>%</w:t>
            </w:r>
          </w:p>
        </w:tc>
      </w:tr>
      <w:tr>
        <w:trPr/>
        <w:tc>
          <w:tcPr>
            <w:tcW w:w="2878"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989"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68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 </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989"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68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 </w:t>
            </w:r>
          </w:p>
        </w:tc>
        <w:tc>
          <w:tcPr>
            <w:tcW w:w="232" w:type="dxa"/>
            <w:tcBorders/>
            <w:shd w:fill="EEEEEE" w:val="clear"/>
            <w:vAlign w:val="center"/>
          </w:tcPr>
          <w:p>
            <w:pPr>
              <w:pStyle w:val="TableContents"/>
              <w:bidi w:val="0"/>
              <w:spacing w:before="0" w:after="283"/>
              <w:jc w:val="left"/>
              <w:rPr/>
            </w:pPr>
            <w:r>
              <w:rPr/>
              <w:t> </w:t>
            </w:r>
          </w:p>
        </w:tc>
      </w:tr>
      <w:tr>
        <w:trPr/>
        <w:tc>
          <w:tcPr>
            <w:tcW w:w="2878" w:type="dxa"/>
            <w:tcBorders/>
            <w:shd w:fill="FFFFFF" w:val="clear"/>
            <w:vAlign w:val="center"/>
          </w:tcPr>
          <w:p>
            <w:pPr>
              <w:pStyle w:val="TableContents"/>
              <w:bidi w:val="0"/>
              <w:spacing w:before="0" w:after="283"/>
              <w:jc w:val="center"/>
              <w:rPr>
                <w:b/>
                <w:u w:val="single"/>
              </w:rPr>
            </w:pPr>
            <w:r>
              <w:rPr>
                <w:b/>
                <w:u w:val="single"/>
              </w:rPr>
              <w:t>Interest Bearing Liabilities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r>
      <w:tr>
        <w:trPr/>
        <w:tc>
          <w:tcPr>
            <w:tcW w:w="2878" w:type="dxa"/>
            <w:tcBorders/>
            <w:shd w:fill="EEEEEE" w:val="clear"/>
            <w:vAlign w:val="center"/>
          </w:tcPr>
          <w:p>
            <w:pPr>
              <w:pStyle w:val="TableContents"/>
              <w:bidi w:val="0"/>
              <w:spacing w:before="0" w:after="283"/>
              <w:jc w:val="left"/>
              <w:rPr/>
            </w:pPr>
            <w:r>
              <w:rPr/>
              <w:t>Warehouse lines of credit</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w:t>
            </w:r>
          </w:p>
        </w:tc>
        <w:tc>
          <w:tcPr>
            <w:tcW w:w="989" w:type="dxa"/>
            <w:tcBorders/>
            <w:shd w:fill="EEEEEE" w:val="clear"/>
            <w:vAlign w:val="center"/>
          </w:tcPr>
          <w:p>
            <w:pPr>
              <w:pStyle w:val="TableContents"/>
              <w:bidi w:val="0"/>
              <w:spacing w:before="0" w:after="283"/>
              <w:jc w:val="right"/>
              <w:rPr/>
            </w:pPr>
            <w:r>
              <w:rPr/>
              <w:t>170,870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680" w:type="dxa"/>
            <w:tcBorders/>
            <w:shd w:fill="EEEEEE" w:val="clear"/>
            <w:vAlign w:val="center"/>
          </w:tcPr>
          <w:p>
            <w:pPr>
              <w:pStyle w:val="TableContents"/>
              <w:bidi w:val="0"/>
              <w:spacing w:before="0" w:after="283"/>
              <w:jc w:val="right"/>
              <w:rPr/>
            </w:pPr>
            <w:r>
              <w:rPr/>
              <w:t>4,665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10.9</w:t>
            </w:r>
          </w:p>
        </w:tc>
        <w:tc>
          <w:tcPr>
            <w:tcW w:w="21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w:t>
            </w:r>
          </w:p>
        </w:tc>
        <w:tc>
          <w:tcPr>
            <w:tcW w:w="989" w:type="dxa"/>
            <w:tcBorders/>
            <w:shd w:fill="EEEEEE" w:val="clear"/>
            <w:vAlign w:val="center"/>
          </w:tcPr>
          <w:p>
            <w:pPr>
              <w:pStyle w:val="TableContents"/>
              <w:bidi w:val="0"/>
              <w:spacing w:before="0" w:after="283"/>
              <w:jc w:val="right"/>
              <w:rPr/>
            </w:pPr>
            <w:r>
              <w:rPr/>
              <w:t>172,895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680" w:type="dxa"/>
            <w:tcBorders/>
            <w:shd w:fill="EEEEEE" w:val="clear"/>
            <w:vAlign w:val="center"/>
          </w:tcPr>
          <w:p>
            <w:pPr>
              <w:pStyle w:val="TableContents"/>
              <w:bidi w:val="0"/>
              <w:spacing w:before="0" w:after="283"/>
              <w:jc w:val="right"/>
              <w:rPr/>
            </w:pPr>
            <w:r>
              <w:rPr/>
              <w:t>3,342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7.7</w:t>
            </w:r>
          </w:p>
        </w:tc>
        <w:tc>
          <w:tcPr>
            <w:tcW w:w="232" w:type="dxa"/>
            <w:tcBorders/>
            <w:shd w:fill="EEEEEE" w:val="clear"/>
            <w:vAlign w:val="center"/>
          </w:tcPr>
          <w:p>
            <w:pPr>
              <w:pStyle w:val="TableContents"/>
              <w:bidi w:val="0"/>
              <w:spacing w:before="0" w:after="283"/>
              <w:jc w:val="left"/>
              <w:rPr/>
            </w:pPr>
            <w:r>
              <w:rPr/>
              <w:t>%</w:t>
            </w:r>
          </w:p>
        </w:tc>
      </w:tr>
      <w:tr>
        <w:trPr/>
        <w:tc>
          <w:tcPr>
            <w:tcW w:w="2878" w:type="dxa"/>
            <w:tcBorders/>
            <w:shd w:fill="FFFFFF" w:val="clear"/>
            <w:vAlign w:val="center"/>
          </w:tcPr>
          <w:p>
            <w:pPr>
              <w:pStyle w:val="TableContents"/>
              <w:bidi w:val="0"/>
              <w:spacing w:before="0" w:after="283"/>
              <w:jc w:val="left"/>
              <w:rPr/>
            </w:pPr>
            <w:r>
              <w:rPr/>
              <w:t>Residual interest financing</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8.4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8.4</w:t>
            </w:r>
          </w:p>
        </w:tc>
        <w:tc>
          <w:tcPr>
            <w:tcW w:w="232" w:type="dxa"/>
            <w:tcBorders/>
            <w:shd w:fill="FFFFFF" w:val="clear"/>
            <w:vAlign w:val="center"/>
          </w:tcPr>
          <w:p>
            <w:pPr>
              <w:pStyle w:val="TableContents"/>
              <w:bidi w:val="0"/>
              <w:spacing w:before="0" w:after="283"/>
              <w:jc w:val="left"/>
              <w:rPr/>
            </w:pPr>
            <w:r>
              <w:rPr/>
              <w:t>%</w:t>
            </w:r>
          </w:p>
        </w:tc>
      </w:tr>
      <w:tr>
        <w:trPr/>
        <w:tc>
          <w:tcPr>
            <w:tcW w:w="2878" w:type="dxa"/>
            <w:tcBorders/>
            <w:shd w:fill="EEEEEE" w:val="clear"/>
            <w:vAlign w:val="center"/>
          </w:tcPr>
          <w:p>
            <w:pPr>
              <w:pStyle w:val="TableContents"/>
              <w:bidi w:val="0"/>
              <w:spacing w:before="0" w:after="283"/>
              <w:jc w:val="left"/>
              <w:rPr/>
            </w:pPr>
            <w:r>
              <w:rPr/>
              <w:t>Securitization trust debt</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989" w:type="dxa"/>
            <w:tcBorders/>
            <w:shd w:fill="EEEEEE" w:val="clear"/>
            <w:vAlign w:val="center"/>
          </w:tcPr>
          <w:p>
            <w:pPr>
              <w:pStyle w:val="TableContents"/>
              <w:bidi w:val="0"/>
              <w:spacing w:before="0" w:after="283"/>
              <w:jc w:val="right"/>
              <w:rPr/>
            </w:pPr>
            <w:r>
              <w:rPr/>
              <w:t>2,349,655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680" w:type="dxa"/>
            <w:tcBorders/>
            <w:shd w:fill="EEEEEE" w:val="clear"/>
            <w:vAlign w:val="center"/>
          </w:tcPr>
          <w:p>
            <w:pPr>
              <w:pStyle w:val="TableContents"/>
              <w:bidi w:val="0"/>
              <w:spacing w:before="0" w:after="283"/>
              <w:jc w:val="right"/>
              <w:rPr/>
            </w:pPr>
            <w:r>
              <w:rPr/>
              <w:t>31,734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5.4</w:t>
            </w:r>
          </w:p>
        </w:tc>
        <w:tc>
          <w:tcPr>
            <w:tcW w:w="21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989" w:type="dxa"/>
            <w:tcBorders/>
            <w:shd w:fill="EEEEEE" w:val="clear"/>
            <w:vAlign w:val="center"/>
          </w:tcPr>
          <w:p>
            <w:pPr>
              <w:pStyle w:val="TableContents"/>
              <w:bidi w:val="0"/>
              <w:spacing w:before="0" w:after="283"/>
              <w:jc w:val="right"/>
              <w:rPr/>
            </w:pPr>
            <w:r>
              <w:rPr/>
              <w:t>2,032,527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680" w:type="dxa"/>
            <w:tcBorders/>
            <w:shd w:fill="EEEEEE" w:val="clear"/>
            <w:vAlign w:val="center"/>
          </w:tcPr>
          <w:p>
            <w:pPr>
              <w:pStyle w:val="TableContents"/>
              <w:bidi w:val="0"/>
              <w:spacing w:before="0" w:after="283"/>
              <w:jc w:val="right"/>
              <w:rPr/>
            </w:pPr>
            <w:r>
              <w:rPr/>
              <w:t>18,519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3.6</w:t>
            </w:r>
          </w:p>
        </w:tc>
        <w:tc>
          <w:tcPr>
            <w:tcW w:w="232" w:type="dxa"/>
            <w:tcBorders/>
            <w:shd w:fill="EEEEEE" w:val="clear"/>
            <w:vAlign w:val="center"/>
          </w:tcPr>
          <w:p>
            <w:pPr>
              <w:pStyle w:val="TableContents"/>
              <w:bidi w:val="0"/>
              <w:spacing w:before="0" w:after="283"/>
              <w:jc w:val="left"/>
              <w:rPr/>
            </w:pPr>
            <w:r>
              <w:rPr/>
              <w:t>%</w:t>
            </w:r>
          </w:p>
        </w:tc>
      </w:tr>
      <w:tr>
        <w:trPr/>
        <w:tc>
          <w:tcPr>
            <w:tcW w:w="2878" w:type="dxa"/>
            <w:tcBorders/>
            <w:shd w:fill="FFFFFF" w:val="clear"/>
            <w:vAlign w:val="center"/>
          </w:tcPr>
          <w:p>
            <w:pPr>
              <w:pStyle w:val="TableContents"/>
              <w:bidi w:val="0"/>
              <w:spacing w:before="0" w:after="283"/>
              <w:jc w:val="left"/>
              <w:rPr/>
            </w:pPr>
            <w:r>
              <w:rPr/>
              <w:t>Subordinated renewable notes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9" w:type="dxa"/>
            <w:tcBorders>
              <w:bottom w:val="single" w:sz="8" w:space="0" w:color="000000"/>
            </w:tcBorders>
            <w:shd w:fill="FFFFFF" w:val="clear"/>
            <w:tcMar>
              <w:bottom w:w="28" w:type="dxa"/>
            </w:tcMar>
            <w:vAlign w:val="center"/>
          </w:tcPr>
          <w:p>
            <w:pPr>
              <w:pStyle w:val="TableContents"/>
              <w:bidi w:val="0"/>
              <w:spacing w:before="0" w:after="283"/>
              <w:jc w:val="right"/>
              <w:rPr/>
            </w:pPr>
            <w:r>
              <w:rPr/>
              <w:t>19,928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440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8.8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9" w:type="dxa"/>
            <w:tcBorders>
              <w:bottom w:val="single" w:sz="8" w:space="0" w:color="000000"/>
            </w:tcBorders>
            <w:shd w:fill="FFFFFF" w:val="clear"/>
            <w:tcMar>
              <w:bottom w:w="28" w:type="dxa"/>
            </w:tcMar>
            <w:vAlign w:val="center"/>
          </w:tcPr>
          <w:p>
            <w:pPr>
              <w:pStyle w:val="TableContents"/>
              <w:bidi w:val="0"/>
              <w:spacing w:before="0" w:after="283"/>
              <w:jc w:val="right"/>
              <w:rPr/>
            </w:pPr>
            <w:r>
              <w:rPr/>
              <w:t>27,506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572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8.3</w:t>
            </w:r>
          </w:p>
        </w:tc>
        <w:tc>
          <w:tcPr>
            <w:tcW w:w="232" w:type="dxa"/>
            <w:tcBorders/>
            <w:shd w:fill="FFFFFF" w:val="clear"/>
            <w:vAlign w:val="center"/>
          </w:tcPr>
          <w:p>
            <w:pPr>
              <w:pStyle w:val="TableContents"/>
              <w:bidi w:val="0"/>
              <w:spacing w:before="0" w:after="283"/>
              <w:jc w:val="left"/>
              <w:rPr/>
            </w:pPr>
            <w:r>
              <w:rPr/>
              <w:t>%</w:t>
            </w:r>
          </w:p>
        </w:tc>
      </w:tr>
      <w:tr>
        <w:trPr/>
        <w:tc>
          <w:tcPr>
            <w:tcW w:w="2878"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989" w:type="dxa"/>
            <w:tcBorders>
              <w:bottom w:val="double" w:sz="6" w:space="0" w:color="000000"/>
            </w:tcBorders>
            <w:shd w:fill="EEEEEE" w:val="clear"/>
            <w:tcMar>
              <w:bottom w:w="28" w:type="dxa"/>
            </w:tcMar>
            <w:vAlign w:val="center"/>
          </w:tcPr>
          <w:p>
            <w:pPr>
              <w:pStyle w:val="TableContents"/>
              <w:bidi w:val="0"/>
              <w:spacing w:before="0" w:after="283"/>
              <w:jc w:val="right"/>
              <w:rPr/>
            </w:pPr>
            <w:r>
              <w:rPr/>
              <w:t>2,590,453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680" w:type="dxa"/>
            <w:tcBorders/>
            <w:shd w:fill="EEEEEE" w:val="clear"/>
            <w:vAlign w:val="center"/>
          </w:tcPr>
          <w:p>
            <w:pPr>
              <w:pStyle w:val="TableContents"/>
              <w:bidi w:val="0"/>
              <w:spacing w:before="0" w:after="283"/>
              <w:jc w:val="right"/>
              <w:rPr/>
            </w:pPr>
            <w:r>
              <w:rPr/>
              <w:t>37,889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5.9</w:t>
            </w:r>
          </w:p>
        </w:tc>
        <w:tc>
          <w:tcPr>
            <w:tcW w:w="21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1"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989" w:type="dxa"/>
            <w:tcBorders>
              <w:bottom w:val="double" w:sz="6" w:space="0" w:color="000000"/>
            </w:tcBorders>
            <w:shd w:fill="EEEEEE" w:val="clear"/>
            <w:tcMar>
              <w:bottom w:w="28" w:type="dxa"/>
            </w:tcMar>
            <w:vAlign w:val="center"/>
          </w:tcPr>
          <w:p>
            <w:pPr>
              <w:pStyle w:val="TableContents"/>
              <w:bidi w:val="0"/>
              <w:spacing w:before="0" w:after="283"/>
              <w:jc w:val="right"/>
              <w:rPr/>
            </w:pPr>
            <w:r>
              <w:rPr/>
              <w:t>2,282,928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680" w:type="dxa"/>
            <w:tcBorders/>
            <w:shd w:fill="EEEEEE" w:val="clear"/>
            <w:vAlign w:val="center"/>
          </w:tcPr>
          <w:p>
            <w:pPr>
              <w:pStyle w:val="TableContents"/>
              <w:bidi w:val="0"/>
              <w:spacing w:before="0" w:after="283"/>
              <w:jc w:val="right"/>
              <w:rPr/>
            </w:pPr>
            <w:r>
              <w:rPr/>
              <w:t>23,483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4.1</w:t>
            </w:r>
          </w:p>
        </w:tc>
        <w:tc>
          <w:tcPr>
            <w:tcW w:w="232" w:type="dxa"/>
            <w:tcBorders/>
            <w:shd w:fill="EEEEEE" w:val="clear"/>
            <w:vAlign w:val="center"/>
          </w:tcPr>
          <w:p>
            <w:pPr>
              <w:pStyle w:val="TableContents"/>
              <w:bidi w:val="0"/>
              <w:spacing w:before="0" w:after="283"/>
              <w:jc w:val="left"/>
              <w:rPr/>
            </w:pPr>
            <w:r>
              <w:rPr/>
              <w:t>%</w:t>
            </w:r>
          </w:p>
        </w:tc>
      </w:tr>
      <w:tr>
        <w:trPr/>
        <w:tc>
          <w:tcPr>
            <w:tcW w:w="28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r>
      <w:tr>
        <w:trPr/>
        <w:tc>
          <w:tcPr>
            <w:tcW w:w="2878" w:type="dxa"/>
            <w:tcBorders/>
            <w:shd w:fill="EEEEEE" w:val="clear"/>
            <w:vAlign w:val="center"/>
          </w:tcPr>
          <w:p>
            <w:pPr>
              <w:pStyle w:val="TableContents"/>
              <w:bidi w:val="0"/>
              <w:spacing w:before="0" w:after="283"/>
              <w:jc w:val="left"/>
              <w:rPr/>
            </w:pPr>
            <w:r>
              <w:rPr/>
              <w:t>Net interest income/spread</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989"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EEEEEE" w:val="clear"/>
            <w:tcMar>
              <w:bottom w:w="28" w:type="dxa"/>
            </w:tcMar>
            <w:vAlign w:val="center"/>
          </w:tcPr>
          <w:p>
            <w:pPr>
              <w:pStyle w:val="TableContents"/>
              <w:bidi w:val="0"/>
              <w:spacing w:before="0" w:after="283"/>
              <w:jc w:val="right"/>
              <w:rPr/>
            </w:pPr>
            <w:r>
              <w:rPr/>
              <w:t>45,371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 </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989"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EEEEEE" w:val="clear"/>
            <w:tcMar>
              <w:bottom w:w="28" w:type="dxa"/>
            </w:tcMar>
            <w:vAlign w:val="center"/>
          </w:tcPr>
          <w:p>
            <w:pPr>
              <w:pStyle w:val="TableContents"/>
              <w:bidi w:val="0"/>
              <w:spacing w:before="0" w:after="283"/>
              <w:jc w:val="right"/>
              <w:rPr/>
            </w:pPr>
            <w:r>
              <w:rPr/>
              <w:t>56,334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 </w:t>
            </w:r>
          </w:p>
        </w:tc>
        <w:tc>
          <w:tcPr>
            <w:tcW w:w="232" w:type="dxa"/>
            <w:tcBorders/>
            <w:shd w:fill="EEEEEE" w:val="clear"/>
            <w:vAlign w:val="center"/>
          </w:tcPr>
          <w:p>
            <w:pPr>
              <w:pStyle w:val="TableContents"/>
              <w:bidi w:val="0"/>
              <w:spacing w:before="0" w:after="283"/>
              <w:jc w:val="left"/>
              <w:rPr/>
            </w:pPr>
            <w:r>
              <w:rPr/>
              <w:t> </w:t>
            </w:r>
          </w:p>
        </w:tc>
      </w:tr>
      <w:tr>
        <w:trPr/>
        <w:tc>
          <w:tcPr>
            <w:tcW w:w="2878" w:type="dxa"/>
            <w:tcBorders/>
            <w:shd w:fill="FFFFFF" w:val="clear"/>
            <w:vAlign w:val="center"/>
          </w:tcPr>
          <w:p>
            <w:pPr>
              <w:pStyle w:val="TableContents"/>
              <w:bidi w:val="0"/>
              <w:spacing w:before="0" w:after="283"/>
              <w:jc w:val="left"/>
              <w:rPr/>
            </w:pPr>
            <w:r>
              <w:rPr/>
              <w:t>Net interest yield (2)</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5.4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8.0</w:t>
            </w:r>
          </w:p>
        </w:tc>
        <w:tc>
          <w:tcPr>
            <w:tcW w:w="232" w:type="dxa"/>
            <w:tcBorders/>
            <w:shd w:fill="FFFFFF" w:val="clear"/>
            <w:vAlign w:val="center"/>
          </w:tcPr>
          <w:p>
            <w:pPr>
              <w:pStyle w:val="TableContents"/>
              <w:bidi w:val="0"/>
              <w:spacing w:before="0" w:after="283"/>
              <w:ind w:left="0" w:right="0" w:hanging="200"/>
              <w:jc w:val="left"/>
              <w:rPr/>
            </w:pPr>
            <w:r>
              <w:rPr/>
              <w:t>%</w:t>
            </w:r>
          </w:p>
        </w:tc>
      </w:tr>
      <w:tr>
        <w:trPr/>
        <w:tc>
          <w:tcPr>
            <w:tcW w:w="2878" w:type="dxa"/>
            <w:tcBorders/>
            <w:shd w:fill="EEEEEE" w:val="clear"/>
            <w:vAlign w:val="center"/>
          </w:tcPr>
          <w:p>
            <w:pPr>
              <w:pStyle w:val="TableContents"/>
              <w:bidi w:val="0"/>
              <w:spacing w:before="0" w:after="283"/>
              <w:jc w:val="left"/>
              <w:rPr/>
            </w:pPr>
            <w:r>
              <w:rPr/>
              <w:t> </w:t>
            </w:r>
            <w:r>
              <w:rPr/>
              <w:t>Ratio of average interest earning assets to average interest bearing liabilities</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989"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68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113</w:t>
            </w:r>
          </w:p>
        </w:tc>
        <w:tc>
          <w:tcPr>
            <w:tcW w:w="21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989"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68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116</w:t>
            </w:r>
          </w:p>
        </w:tc>
        <w:tc>
          <w:tcPr>
            <w:tcW w:w="232" w:type="dxa"/>
            <w:tcBorders/>
            <w:shd w:fill="EEEEEE" w:val="clear"/>
            <w:vAlign w:val="center"/>
          </w:tcPr>
          <w:p>
            <w:pPr>
              <w:pStyle w:val="TableContents"/>
              <w:bidi w:val="0"/>
              <w:spacing w:before="0" w:after="283"/>
              <w:jc w:val="left"/>
              <w:rPr/>
            </w:pPr>
            <w:r>
              <w:rPr/>
              <w:t>%</w:t>
            </w:r>
          </w:p>
        </w:tc>
      </w:tr>
    </w:tbl>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8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(1)  Average balances are based on month end balances except for warehouse lines of credit, which are based on daily balances.</w:t>
      </w:r>
    </w:p>
    <w:p>
      <w:pPr>
        <w:pStyle w:val="TextBody"/>
        <w:bidi w:val="0"/>
        <w:spacing w:before="0" w:after="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(2)  Annualized net interest income divided by average interest earning assets. </w:t>
      </w:r>
    </w:p>
    <w:p>
      <w:pPr>
        <w:pStyle w:val="TextBody"/>
        <w:bidi w:val="0"/>
        <w:spacing w:before="0" w:after="0"/>
        <w:ind w:left="0" w:right="0" w:firstLine="180"/>
        <w:jc w:val="both"/>
        <w:rPr>
          <w:caps w:val="false"/>
          <w:smallCaps w:val="false"/>
        </w:rPr>
      </w:pPr>
      <w:r>
        <w:rPr>
          <w:caps w:val="false"/>
          <w:smallCaps w:val="false"/>
        </w:rPr>
        <w:t> </w:t>
      </w:r>
    </w:p>
    <w:tbl>
      <w:tblPr>
        <w:tblW w:w="7484" w:type="dxa"/>
        <w:jc w:val="left"/>
        <w:tblInd w:w="0" w:type="dxa"/>
        <w:tblLayout w:type="fixed"/>
        <w:tblCellMar>
          <w:top w:w="0" w:type="dxa"/>
          <w:left w:w="0" w:type="dxa"/>
          <w:bottom w:w="0" w:type="dxa"/>
          <w:right w:w="0" w:type="dxa"/>
        </w:tblCellMar>
      </w:tblPr>
      <w:tblGrid>
        <w:gridCol w:w="2885"/>
        <w:gridCol w:w="60"/>
        <w:gridCol w:w="205"/>
        <w:gridCol w:w="1110"/>
        <w:gridCol w:w="139"/>
        <w:gridCol w:w="88"/>
        <w:gridCol w:w="258"/>
        <w:gridCol w:w="1036"/>
        <w:gridCol w:w="139"/>
        <w:gridCol w:w="88"/>
        <w:gridCol w:w="205"/>
        <w:gridCol w:w="1110"/>
        <w:gridCol w:w="161"/>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39" w:type="dxa"/>
            <w:gridSpan w:val="11"/>
            <w:tcBorders/>
            <w:vAlign w:val="center"/>
          </w:tcPr>
          <w:p>
            <w:pPr>
              <w:pStyle w:val="TableContents"/>
              <w:bidi w:val="0"/>
              <w:spacing w:before="0" w:after="283"/>
              <w:jc w:val="center"/>
              <w:rPr>
                <w:b/>
              </w:rPr>
            </w:pPr>
            <w:r>
              <w:rPr>
                <w:b/>
              </w:rPr>
              <w:t>Three Months Ended September 30, 2023</w:t>
            </w:r>
          </w:p>
        </w:tc>
      </w:tr>
      <w:tr>
        <w:trPr/>
        <w:tc>
          <w:tcPr>
            <w:tcW w:w="2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539" w:type="dxa"/>
            <w:gridSpan w:val="11"/>
            <w:tcBorders>
              <w:bottom w:val="single" w:sz="8" w:space="0" w:color="000000"/>
            </w:tcBorders>
            <w:tcMar>
              <w:bottom w:w="28" w:type="dxa"/>
            </w:tcMar>
            <w:vAlign w:val="center"/>
          </w:tcPr>
          <w:p>
            <w:pPr>
              <w:pStyle w:val="TableContents"/>
              <w:bidi w:val="0"/>
              <w:spacing w:before="0" w:after="283"/>
              <w:jc w:val="center"/>
              <w:rPr>
                <w:b/>
              </w:rPr>
            </w:pPr>
            <w:r>
              <w:rPr>
                <w:b/>
              </w:rPr>
              <w:t>Compared to September 30, 2022</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b/>
              </w:rPr>
            </w:pPr>
            <w:r>
              <w:rPr>
                <w:b/>
              </w:rPr>
              <w:t>Total</w:t>
            </w:r>
          </w:p>
        </w:tc>
        <w:tc>
          <w:tcPr>
            <w:tcW w:w="13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center"/>
              <w:rPr>
                <w:b/>
              </w:rPr>
            </w:pPr>
            <w:r>
              <w:rPr>
                <w:b/>
              </w:rPr>
              <w:t>Change Due</w:t>
            </w:r>
          </w:p>
        </w:tc>
        <w:tc>
          <w:tcPr>
            <w:tcW w:w="13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b/>
              </w:rPr>
            </w:pPr>
            <w:r>
              <w:rPr>
                <w:b/>
              </w:rPr>
              <w:t>Change Due</w:t>
            </w:r>
          </w:p>
        </w:tc>
        <w:tc>
          <w:tcPr>
            <w:tcW w:w="161"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3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2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 Volume</w:t>
            </w:r>
          </w:p>
        </w:tc>
        <w:tc>
          <w:tcPr>
            <w:tcW w:w="139"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 Rate</w:t>
            </w:r>
          </w:p>
        </w:tc>
        <w:tc>
          <w:tcPr>
            <w:tcW w:w="161"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78" w:type="dxa"/>
            <w:gridSpan w:val="10"/>
            <w:tcBorders/>
            <w:vAlign w:val="center"/>
          </w:tcPr>
          <w:p>
            <w:pPr>
              <w:pStyle w:val="TableContents"/>
              <w:bidi w:val="0"/>
              <w:spacing w:before="0" w:after="283"/>
              <w:jc w:val="center"/>
              <w:rPr>
                <w:b/>
              </w:rPr>
            </w:pPr>
            <w:r>
              <w:rPr>
                <w:b/>
              </w:rPr>
              <w:t>(In thousands)</w:t>
            </w:r>
          </w:p>
        </w:tc>
        <w:tc>
          <w:tcPr>
            <w:tcW w:w="161" w:type="dxa"/>
            <w:tcBorders/>
            <w:vAlign w:val="center"/>
          </w:tcPr>
          <w:p>
            <w:pPr>
              <w:pStyle w:val="TableContents"/>
              <w:bidi w:val="0"/>
              <w:spacing w:before="0" w:after="283"/>
              <w:jc w:val="left"/>
              <w:rPr/>
            </w:pPr>
            <w:r>
              <w:rPr/>
              <w:t> </w:t>
            </w:r>
          </w:p>
        </w:tc>
      </w:tr>
      <w:tr>
        <w:trPr/>
        <w:tc>
          <w:tcPr>
            <w:tcW w:w="2885" w:type="dxa"/>
            <w:tcBorders/>
            <w:shd w:fill="EEEEEE" w:val="clear"/>
            <w:vAlign w:val="center"/>
          </w:tcPr>
          <w:p>
            <w:pPr>
              <w:pStyle w:val="TableContents"/>
              <w:bidi w:val="0"/>
              <w:spacing w:before="0" w:after="283"/>
              <w:jc w:val="center"/>
              <w:rPr>
                <w:b/>
                <w:u w:val="single"/>
              </w:rPr>
            </w:pPr>
            <w:r>
              <w:rPr>
                <w:b/>
                <w:u w:val="single"/>
              </w:rPr>
              <w:t>Interest Earning Assets</w:t>
            </w:r>
          </w:p>
        </w:tc>
        <w:tc>
          <w:tcPr>
            <w:tcW w:w="60"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 </w:t>
            </w:r>
          </w:p>
        </w:tc>
        <w:tc>
          <w:tcPr>
            <w:tcW w:w="1110" w:type="dxa"/>
            <w:tcBorders/>
            <w:shd w:fill="EEEEEE" w:val="clear"/>
            <w:vAlign w:val="center"/>
          </w:tcPr>
          <w:p>
            <w:pPr>
              <w:pStyle w:val="TableContents"/>
              <w:bidi w:val="0"/>
              <w:spacing w:before="0" w:after="283"/>
              <w:jc w:val="right"/>
              <w:rPr/>
            </w:pPr>
            <w:r>
              <w:rPr/>
              <w:t> </w:t>
            </w:r>
          </w:p>
        </w:tc>
        <w:tc>
          <w:tcPr>
            <w:tcW w:w="139" w:type="dxa"/>
            <w:tcBorders/>
            <w:shd w:fill="EEEEEE" w:val="clear"/>
            <w:vAlign w:val="center"/>
          </w:tcPr>
          <w:p>
            <w:pPr>
              <w:pStyle w:val="TableContents"/>
              <w:bidi w:val="0"/>
              <w:spacing w:before="0" w:after="283"/>
              <w:jc w:val="left"/>
              <w:rPr/>
            </w:pPr>
            <w:r>
              <w:rPr/>
              <w:t> </w:t>
            </w:r>
          </w:p>
        </w:tc>
        <w:tc>
          <w:tcPr>
            <w:tcW w:w="88" w:type="dxa"/>
            <w:tcBorders/>
            <w:shd w:fill="EEEEEE" w:val="clear"/>
            <w:vAlign w:val="center"/>
          </w:tcPr>
          <w:p>
            <w:pPr>
              <w:pStyle w:val="TableContents"/>
              <w:bidi w:val="0"/>
              <w:spacing w:before="0" w:after="283"/>
              <w:jc w:val="left"/>
              <w:rPr/>
            </w:pPr>
            <w:r>
              <w:rPr/>
              <w:t> </w:t>
            </w:r>
          </w:p>
        </w:tc>
        <w:tc>
          <w:tcPr>
            <w:tcW w:w="258" w:type="dxa"/>
            <w:tcBorders/>
            <w:shd w:fill="EEEEEE" w:val="clear"/>
            <w:vAlign w:val="center"/>
          </w:tcPr>
          <w:p>
            <w:pPr>
              <w:pStyle w:val="TableContents"/>
              <w:bidi w:val="0"/>
              <w:spacing w:before="0" w:after="283"/>
              <w:jc w:val="left"/>
              <w:rPr/>
            </w:pPr>
            <w:r>
              <w:rPr/>
              <w:t> </w:t>
            </w:r>
          </w:p>
        </w:tc>
        <w:tc>
          <w:tcPr>
            <w:tcW w:w="1036" w:type="dxa"/>
            <w:tcBorders/>
            <w:shd w:fill="EEEEEE" w:val="clear"/>
            <w:vAlign w:val="center"/>
          </w:tcPr>
          <w:p>
            <w:pPr>
              <w:pStyle w:val="TableContents"/>
              <w:bidi w:val="0"/>
              <w:spacing w:before="0" w:after="283"/>
              <w:jc w:val="right"/>
              <w:rPr/>
            </w:pPr>
            <w:r>
              <w:rPr/>
              <w:t> </w:t>
            </w:r>
          </w:p>
        </w:tc>
        <w:tc>
          <w:tcPr>
            <w:tcW w:w="139" w:type="dxa"/>
            <w:tcBorders/>
            <w:shd w:fill="EEEEEE" w:val="clear"/>
            <w:vAlign w:val="center"/>
          </w:tcPr>
          <w:p>
            <w:pPr>
              <w:pStyle w:val="TableContents"/>
              <w:bidi w:val="0"/>
              <w:spacing w:before="0" w:after="283"/>
              <w:jc w:val="left"/>
              <w:rPr/>
            </w:pPr>
            <w:r>
              <w:rPr/>
              <w:t> </w:t>
            </w:r>
          </w:p>
        </w:tc>
        <w:tc>
          <w:tcPr>
            <w:tcW w:w="88"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 </w:t>
            </w:r>
          </w:p>
        </w:tc>
        <w:tc>
          <w:tcPr>
            <w:tcW w:w="1110" w:type="dxa"/>
            <w:tcBorders/>
            <w:shd w:fill="EEEEEE" w:val="clear"/>
            <w:vAlign w:val="center"/>
          </w:tcPr>
          <w:p>
            <w:pPr>
              <w:pStyle w:val="TableContents"/>
              <w:bidi w:val="0"/>
              <w:spacing w:before="0" w:after="283"/>
              <w:jc w:val="right"/>
              <w:rPr/>
            </w:pPr>
            <w:r>
              <w:rPr/>
              <w:t> </w:t>
            </w:r>
          </w:p>
        </w:tc>
        <w:tc>
          <w:tcPr>
            <w:tcW w:w="161" w:type="dxa"/>
            <w:tcBorders/>
            <w:shd w:fill="EEEEEE"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Loan Portfolio</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w:t>
            </w:r>
          </w:p>
        </w:tc>
        <w:tc>
          <w:tcPr>
            <w:tcW w:w="1110" w:type="dxa"/>
            <w:tcBorders/>
            <w:shd w:fill="FFFFFF" w:val="clear"/>
            <w:vAlign w:val="center"/>
          </w:tcPr>
          <w:p>
            <w:pPr>
              <w:pStyle w:val="TableContents"/>
              <w:bidi w:val="0"/>
              <w:spacing w:before="0" w:after="283"/>
              <w:jc w:val="right"/>
              <w:rPr/>
            </w:pPr>
            <w:r>
              <w:rPr/>
              <w:t>3,444</w:t>
            </w:r>
          </w:p>
        </w:tc>
        <w:tc>
          <w:tcPr>
            <w:tcW w:w="139"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w:t>
            </w:r>
          </w:p>
        </w:tc>
        <w:tc>
          <w:tcPr>
            <w:tcW w:w="1036" w:type="dxa"/>
            <w:tcBorders/>
            <w:shd w:fill="FFFFFF" w:val="clear"/>
            <w:vAlign w:val="center"/>
          </w:tcPr>
          <w:p>
            <w:pPr>
              <w:pStyle w:val="TableContents"/>
              <w:bidi w:val="0"/>
              <w:spacing w:before="0" w:after="283"/>
              <w:jc w:val="right"/>
              <w:rPr/>
            </w:pPr>
            <w:r>
              <w:rPr/>
              <w:t>5,119</w:t>
            </w:r>
          </w:p>
        </w:tc>
        <w:tc>
          <w:tcPr>
            <w:tcW w:w="139"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w:t>
            </w:r>
          </w:p>
        </w:tc>
        <w:tc>
          <w:tcPr>
            <w:tcW w:w="1110" w:type="dxa"/>
            <w:tcBorders/>
            <w:shd w:fill="FFFFFF" w:val="clear"/>
            <w:vAlign w:val="center"/>
          </w:tcPr>
          <w:p>
            <w:pPr>
              <w:pStyle w:val="TableContents"/>
              <w:bidi w:val="0"/>
              <w:spacing w:before="0" w:after="283"/>
              <w:jc w:val="right"/>
              <w:rPr/>
            </w:pPr>
            <w:r>
              <w:rPr/>
              <w:t>(1,675</w:t>
            </w:r>
          </w:p>
        </w:tc>
        <w:tc>
          <w:tcPr>
            <w:tcW w:w="161" w:type="dxa"/>
            <w:tcBorders/>
            <w:shd w:fill="FFFFFF" w:val="clear"/>
            <w:vAlign w:val="center"/>
          </w:tcPr>
          <w:p>
            <w:pPr>
              <w:pStyle w:val="TableContents"/>
              <w:bidi w:val="0"/>
              <w:spacing w:before="0" w:after="283"/>
              <w:jc w:val="left"/>
              <w:rPr/>
            </w:pPr>
            <w:r>
              <w:rPr/>
              <w:t>)</w:t>
            </w:r>
          </w:p>
        </w:tc>
      </w:tr>
      <w:tr>
        <w:trPr/>
        <w:tc>
          <w:tcPr>
            <w:tcW w:w="288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 </w:t>
            </w:r>
          </w:p>
        </w:tc>
        <w:tc>
          <w:tcPr>
            <w:tcW w:w="1110" w:type="dxa"/>
            <w:tcBorders/>
            <w:shd w:fill="EEEEEE" w:val="clear"/>
            <w:vAlign w:val="center"/>
          </w:tcPr>
          <w:p>
            <w:pPr>
              <w:pStyle w:val="TableContents"/>
              <w:bidi w:val="0"/>
              <w:spacing w:before="0" w:after="283"/>
              <w:jc w:val="right"/>
              <w:rPr/>
            </w:pPr>
            <w:r>
              <w:rPr/>
              <w:t> </w:t>
            </w:r>
          </w:p>
        </w:tc>
        <w:tc>
          <w:tcPr>
            <w:tcW w:w="139" w:type="dxa"/>
            <w:tcBorders/>
            <w:shd w:fill="EEEEEE" w:val="clear"/>
            <w:vAlign w:val="center"/>
          </w:tcPr>
          <w:p>
            <w:pPr>
              <w:pStyle w:val="TableContents"/>
              <w:bidi w:val="0"/>
              <w:spacing w:before="0" w:after="283"/>
              <w:jc w:val="left"/>
              <w:rPr/>
            </w:pPr>
            <w:r>
              <w:rPr/>
              <w:t> </w:t>
            </w:r>
          </w:p>
        </w:tc>
        <w:tc>
          <w:tcPr>
            <w:tcW w:w="88" w:type="dxa"/>
            <w:tcBorders/>
            <w:shd w:fill="EEEEEE" w:val="clear"/>
            <w:vAlign w:val="center"/>
          </w:tcPr>
          <w:p>
            <w:pPr>
              <w:pStyle w:val="TableContents"/>
              <w:bidi w:val="0"/>
              <w:spacing w:before="0" w:after="283"/>
              <w:jc w:val="left"/>
              <w:rPr/>
            </w:pPr>
            <w:r>
              <w:rPr/>
              <w:t> </w:t>
            </w:r>
          </w:p>
        </w:tc>
        <w:tc>
          <w:tcPr>
            <w:tcW w:w="258" w:type="dxa"/>
            <w:tcBorders/>
            <w:shd w:fill="EEEEEE" w:val="clear"/>
            <w:vAlign w:val="center"/>
          </w:tcPr>
          <w:p>
            <w:pPr>
              <w:pStyle w:val="TableContents"/>
              <w:bidi w:val="0"/>
              <w:spacing w:before="0" w:after="283"/>
              <w:jc w:val="left"/>
              <w:rPr/>
            </w:pPr>
            <w:r>
              <w:rPr/>
              <w:t> </w:t>
            </w:r>
          </w:p>
        </w:tc>
        <w:tc>
          <w:tcPr>
            <w:tcW w:w="1036" w:type="dxa"/>
            <w:tcBorders/>
            <w:shd w:fill="EEEEEE" w:val="clear"/>
            <w:vAlign w:val="center"/>
          </w:tcPr>
          <w:p>
            <w:pPr>
              <w:pStyle w:val="TableContents"/>
              <w:bidi w:val="0"/>
              <w:spacing w:before="0" w:after="283"/>
              <w:jc w:val="right"/>
              <w:rPr/>
            </w:pPr>
            <w:r>
              <w:rPr/>
              <w:t> </w:t>
            </w:r>
          </w:p>
        </w:tc>
        <w:tc>
          <w:tcPr>
            <w:tcW w:w="139" w:type="dxa"/>
            <w:tcBorders/>
            <w:shd w:fill="EEEEEE" w:val="clear"/>
            <w:vAlign w:val="center"/>
          </w:tcPr>
          <w:p>
            <w:pPr>
              <w:pStyle w:val="TableContents"/>
              <w:bidi w:val="0"/>
              <w:spacing w:before="0" w:after="283"/>
              <w:jc w:val="left"/>
              <w:rPr/>
            </w:pPr>
            <w:r>
              <w:rPr/>
              <w:t> </w:t>
            </w:r>
          </w:p>
        </w:tc>
        <w:tc>
          <w:tcPr>
            <w:tcW w:w="88"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 </w:t>
            </w:r>
          </w:p>
        </w:tc>
        <w:tc>
          <w:tcPr>
            <w:tcW w:w="1110" w:type="dxa"/>
            <w:tcBorders/>
            <w:shd w:fill="EEEEEE" w:val="clear"/>
            <w:vAlign w:val="center"/>
          </w:tcPr>
          <w:p>
            <w:pPr>
              <w:pStyle w:val="TableContents"/>
              <w:bidi w:val="0"/>
              <w:spacing w:before="0" w:after="283"/>
              <w:jc w:val="right"/>
              <w:rPr/>
            </w:pPr>
            <w:r>
              <w:rPr/>
              <w:t> </w:t>
            </w:r>
          </w:p>
        </w:tc>
        <w:tc>
          <w:tcPr>
            <w:tcW w:w="161" w:type="dxa"/>
            <w:tcBorders/>
            <w:shd w:fill="EEEEEE"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center"/>
              <w:rPr>
                <w:b/>
                <w:u w:val="single"/>
              </w:rPr>
            </w:pPr>
            <w:r>
              <w:rPr>
                <w:b/>
                <w:u w:val="single"/>
              </w:rPr>
              <w:t>Interest Bearing Liabilities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pPr>
            <w:r>
              <w:rPr/>
              <w:t> </w:t>
            </w:r>
          </w:p>
        </w:tc>
        <w:tc>
          <w:tcPr>
            <w:tcW w:w="139"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139"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pPr>
            <w:r>
              <w:rPr/>
              <w:t> </w:t>
            </w:r>
          </w:p>
        </w:tc>
        <w:tc>
          <w:tcPr>
            <w:tcW w:w="161" w:type="dxa"/>
            <w:tcBorders/>
            <w:shd w:fill="FFFFFF" w:val="clear"/>
            <w:vAlign w:val="center"/>
          </w:tcPr>
          <w:p>
            <w:pPr>
              <w:pStyle w:val="TableContents"/>
              <w:bidi w:val="0"/>
              <w:spacing w:before="0" w:after="283"/>
              <w:jc w:val="left"/>
              <w:rPr/>
            </w:pPr>
            <w:r>
              <w:rPr/>
              <w:t> </w:t>
            </w:r>
          </w:p>
        </w:tc>
      </w:tr>
      <w:tr>
        <w:trPr/>
        <w:tc>
          <w:tcPr>
            <w:tcW w:w="2885" w:type="dxa"/>
            <w:tcBorders/>
            <w:shd w:fill="EEEEEE" w:val="clear"/>
            <w:vAlign w:val="center"/>
          </w:tcPr>
          <w:p>
            <w:pPr>
              <w:pStyle w:val="TableContents"/>
              <w:bidi w:val="0"/>
              <w:spacing w:before="0" w:after="283"/>
              <w:jc w:val="left"/>
              <w:rPr/>
            </w:pPr>
            <w:r>
              <w:rPr/>
              <w:t>Warehouse lines of credit</w:t>
            </w:r>
          </w:p>
        </w:tc>
        <w:tc>
          <w:tcPr>
            <w:tcW w:w="60"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 </w:t>
            </w:r>
          </w:p>
        </w:tc>
        <w:tc>
          <w:tcPr>
            <w:tcW w:w="1110" w:type="dxa"/>
            <w:tcBorders/>
            <w:shd w:fill="EEEEEE" w:val="clear"/>
            <w:vAlign w:val="center"/>
          </w:tcPr>
          <w:p>
            <w:pPr>
              <w:pStyle w:val="TableContents"/>
              <w:bidi w:val="0"/>
              <w:spacing w:before="0" w:after="283"/>
              <w:jc w:val="right"/>
              <w:rPr/>
            </w:pPr>
            <w:r>
              <w:rPr/>
              <w:t>1,324</w:t>
            </w:r>
          </w:p>
        </w:tc>
        <w:tc>
          <w:tcPr>
            <w:tcW w:w="139" w:type="dxa"/>
            <w:tcBorders/>
            <w:shd w:fill="EEEEEE" w:val="clear"/>
            <w:vAlign w:val="center"/>
          </w:tcPr>
          <w:p>
            <w:pPr>
              <w:pStyle w:val="TableContents"/>
              <w:bidi w:val="0"/>
              <w:spacing w:before="0" w:after="283"/>
              <w:jc w:val="left"/>
              <w:rPr/>
            </w:pPr>
            <w:r>
              <w:rPr/>
              <w:t> </w:t>
            </w:r>
          </w:p>
        </w:tc>
        <w:tc>
          <w:tcPr>
            <w:tcW w:w="88" w:type="dxa"/>
            <w:tcBorders/>
            <w:shd w:fill="EEEEEE" w:val="clear"/>
            <w:vAlign w:val="center"/>
          </w:tcPr>
          <w:p>
            <w:pPr>
              <w:pStyle w:val="TableContents"/>
              <w:bidi w:val="0"/>
              <w:spacing w:before="0" w:after="283"/>
              <w:jc w:val="left"/>
              <w:rPr/>
            </w:pPr>
            <w:r>
              <w:rPr/>
              <w:t> </w:t>
            </w:r>
          </w:p>
        </w:tc>
        <w:tc>
          <w:tcPr>
            <w:tcW w:w="258" w:type="dxa"/>
            <w:tcBorders/>
            <w:shd w:fill="EEEEEE" w:val="clear"/>
            <w:vAlign w:val="center"/>
          </w:tcPr>
          <w:p>
            <w:pPr>
              <w:pStyle w:val="TableContents"/>
              <w:bidi w:val="0"/>
              <w:spacing w:before="0" w:after="283"/>
              <w:jc w:val="left"/>
              <w:rPr/>
            </w:pPr>
            <w:r>
              <w:rPr/>
              <w:t> </w:t>
            </w:r>
          </w:p>
        </w:tc>
        <w:tc>
          <w:tcPr>
            <w:tcW w:w="1036" w:type="dxa"/>
            <w:tcBorders/>
            <w:shd w:fill="EEEEEE" w:val="clear"/>
            <w:vAlign w:val="center"/>
          </w:tcPr>
          <w:p>
            <w:pPr>
              <w:pStyle w:val="TableContents"/>
              <w:bidi w:val="0"/>
              <w:spacing w:before="0" w:after="283"/>
              <w:jc w:val="right"/>
              <w:rPr/>
            </w:pPr>
            <w:r>
              <w:rPr/>
              <w:t>(43</w:t>
            </w:r>
          </w:p>
        </w:tc>
        <w:tc>
          <w:tcPr>
            <w:tcW w:w="139" w:type="dxa"/>
            <w:tcBorders/>
            <w:shd w:fill="EEEEEE" w:val="clear"/>
            <w:vAlign w:val="center"/>
          </w:tcPr>
          <w:p>
            <w:pPr>
              <w:pStyle w:val="TableContents"/>
              <w:bidi w:val="0"/>
              <w:spacing w:before="0" w:after="283"/>
              <w:jc w:val="left"/>
              <w:rPr/>
            </w:pPr>
            <w:r>
              <w:rPr/>
              <w:t>)</w:t>
            </w:r>
          </w:p>
        </w:tc>
        <w:tc>
          <w:tcPr>
            <w:tcW w:w="88"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 </w:t>
            </w:r>
          </w:p>
        </w:tc>
        <w:tc>
          <w:tcPr>
            <w:tcW w:w="1110" w:type="dxa"/>
            <w:tcBorders/>
            <w:shd w:fill="EEEEEE" w:val="clear"/>
            <w:vAlign w:val="center"/>
          </w:tcPr>
          <w:p>
            <w:pPr>
              <w:pStyle w:val="TableContents"/>
              <w:bidi w:val="0"/>
              <w:spacing w:before="0" w:after="283"/>
              <w:jc w:val="right"/>
              <w:rPr/>
            </w:pPr>
            <w:r>
              <w:rPr/>
              <w:t>1,367</w:t>
            </w:r>
          </w:p>
        </w:tc>
        <w:tc>
          <w:tcPr>
            <w:tcW w:w="161" w:type="dxa"/>
            <w:tcBorders/>
            <w:shd w:fill="EEEEEE"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Residual interest financing</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pPr>
            <w:r>
              <w:rPr/>
              <w:t>–</w:t>
            </w:r>
          </w:p>
        </w:tc>
        <w:tc>
          <w:tcPr>
            <w:tcW w:w="139"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w:t>
            </w:r>
          </w:p>
        </w:tc>
        <w:tc>
          <w:tcPr>
            <w:tcW w:w="139"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pPr>
            <w:r>
              <w:rPr/>
              <w:t>–</w:t>
            </w:r>
          </w:p>
        </w:tc>
        <w:tc>
          <w:tcPr>
            <w:tcW w:w="161" w:type="dxa"/>
            <w:tcBorders/>
            <w:shd w:fill="FFFFFF" w:val="clear"/>
            <w:vAlign w:val="center"/>
          </w:tcPr>
          <w:p>
            <w:pPr>
              <w:pStyle w:val="TableContents"/>
              <w:bidi w:val="0"/>
              <w:spacing w:before="0" w:after="283"/>
              <w:jc w:val="left"/>
              <w:rPr/>
            </w:pPr>
            <w:r>
              <w:rPr/>
              <w:t> </w:t>
            </w:r>
          </w:p>
        </w:tc>
      </w:tr>
      <w:tr>
        <w:trPr/>
        <w:tc>
          <w:tcPr>
            <w:tcW w:w="2885" w:type="dxa"/>
            <w:tcBorders/>
            <w:shd w:fill="EEEEEE" w:val="clear"/>
            <w:vAlign w:val="center"/>
          </w:tcPr>
          <w:p>
            <w:pPr>
              <w:pStyle w:val="TableContents"/>
              <w:bidi w:val="0"/>
              <w:spacing w:before="0" w:after="283"/>
              <w:jc w:val="left"/>
              <w:rPr/>
            </w:pPr>
            <w:r>
              <w:rPr/>
              <w:t>Securitization trust debt</w:t>
            </w:r>
          </w:p>
        </w:tc>
        <w:tc>
          <w:tcPr>
            <w:tcW w:w="60"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 </w:t>
            </w:r>
          </w:p>
        </w:tc>
        <w:tc>
          <w:tcPr>
            <w:tcW w:w="1110" w:type="dxa"/>
            <w:tcBorders/>
            <w:shd w:fill="EEEEEE" w:val="clear"/>
            <w:vAlign w:val="center"/>
          </w:tcPr>
          <w:p>
            <w:pPr>
              <w:pStyle w:val="TableContents"/>
              <w:bidi w:val="0"/>
              <w:spacing w:before="0" w:after="283"/>
              <w:jc w:val="right"/>
              <w:rPr/>
            </w:pPr>
            <w:r>
              <w:rPr/>
              <w:t>13,215</w:t>
            </w:r>
          </w:p>
        </w:tc>
        <w:tc>
          <w:tcPr>
            <w:tcW w:w="139" w:type="dxa"/>
            <w:tcBorders/>
            <w:shd w:fill="EEEEEE" w:val="clear"/>
            <w:vAlign w:val="center"/>
          </w:tcPr>
          <w:p>
            <w:pPr>
              <w:pStyle w:val="TableContents"/>
              <w:bidi w:val="0"/>
              <w:spacing w:before="0" w:after="283"/>
              <w:jc w:val="left"/>
              <w:rPr/>
            </w:pPr>
            <w:r>
              <w:rPr/>
              <w:t> </w:t>
            </w:r>
          </w:p>
        </w:tc>
        <w:tc>
          <w:tcPr>
            <w:tcW w:w="88" w:type="dxa"/>
            <w:tcBorders/>
            <w:shd w:fill="EEEEEE" w:val="clear"/>
            <w:vAlign w:val="center"/>
          </w:tcPr>
          <w:p>
            <w:pPr>
              <w:pStyle w:val="TableContents"/>
              <w:bidi w:val="0"/>
              <w:spacing w:before="0" w:after="283"/>
              <w:jc w:val="left"/>
              <w:rPr/>
            </w:pPr>
            <w:r>
              <w:rPr/>
              <w:t> </w:t>
            </w:r>
          </w:p>
        </w:tc>
        <w:tc>
          <w:tcPr>
            <w:tcW w:w="258" w:type="dxa"/>
            <w:tcBorders/>
            <w:shd w:fill="EEEEEE" w:val="clear"/>
            <w:vAlign w:val="center"/>
          </w:tcPr>
          <w:p>
            <w:pPr>
              <w:pStyle w:val="TableContents"/>
              <w:bidi w:val="0"/>
              <w:spacing w:before="0" w:after="283"/>
              <w:jc w:val="left"/>
              <w:rPr/>
            </w:pPr>
            <w:r>
              <w:rPr/>
              <w:t> </w:t>
            </w:r>
          </w:p>
        </w:tc>
        <w:tc>
          <w:tcPr>
            <w:tcW w:w="1036" w:type="dxa"/>
            <w:tcBorders/>
            <w:shd w:fill="EEEEEE" w:val="clear"/>
            <w:vAlign w:val="center"/>
          </w:tcPr>
          <w:p>
            <w:pPr>
              <w:pStyle w:val="TableContents"/>
              <w:bidi w:val="0"/>
              <w:spacing w:before="0" w:after="283"/>
              <w:jc w:val="right"/>
              <w:rPr/>
            </w:pPr>
            <w:r>
              <w:rPr/>
              <w:t>2,642</w:t>
            </w:r>
          </w:p>
        </w:tc>
        <w:tc>
          <w:tcPr>
            <w:tcW w:w="139" w:type="dxa"/>
            <w:tcBorders/>
            <w:shd w:fill="EEEEEE" w:val="clear"/>
            <w:vAlign w:val="center"/>
          </w:tcPr>
          <w:p>
            <w:pPr>
              <w:pStyle w:val="TableContents"/>
              <w:bidi w:val="0"/>
              <w:spacing w:before="0" w:after="283"/>
              <w:jc w:val="left"/>
              <w:rPr/>
            </w:pPr>
            <w:r>
              <w:rPr/>
              <w:t> </w:t>
            </w:r>
          </w:p>
        </w:tc>
        <w:tc>
          <w:tcPr>
            <w:tcW w:w="88"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 </w:t>
            </w:r>
          </w:p>
        </w:tc>
        <w:tc>
          <w:tcPr>
            <w:tcW w:w="1110" w:type="dxa"/>
            <w:tcBorders/>
            <w:shd w:fill="EEEEEE" w:val="clear"/>
            <w:vAlign w:val="center"/>
          </w:tcPr>
          <w:p>
            <w:pPr>
              <w:pStyle w:val="TableContents"/>
              <w:bidi w:val="0"/>
              <w:spacing w:before="0" w:after="283"/>
              <w:jc w:val="right"/>
              <w:rPr/>
            </w:pPr>
            <w:r>
              <w:rPr/>
              <w:t>10,573</w:t>
            </w:r>
          </w:p>
        </w:tc>
        <w:tc>
          <w:tcPr>
            <w:tcW w:w="161" w:type="dxa"/>
            <w:tcBorders/>
            <w:shd w:fill="EEEEEE"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Subordinated renewable notes</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0" w:type="dxa"/>
            <w:tcBorders>
              <w:bottom w:val="single" w:sz="8" w:space="0" w:color="000000"/>
            </w:tcBorders>
            <w:shd w:fill="FFFFFF" w:val="clear"/>
            <w:tcMar>
              <w:bottom w:w="28" w:type="dxa"/>
            </w:tcMar>
            <w:vAlign w:val="center"/>
          </w:tcPr>
          <w:p>
            <w:pPr>
              <w:pStyle w:val="TableContents"/>
              <w:bidi w:val="0"/>
              <w:spacing w:before="0" w:after="283"/>
              <w:jc w:val="right"/>
              <w:rPr/>
            </w:pPr>
            <w:r>
              <w:rPr/>
              <w:t>(132</w:t>
            </w:r>
          </w:p>
        </w:tc>
        <w:tc>
          <w:tcPr>
            <w:tcW w:w="139" w:type="dxa"/>
            <w:tcBorders/>
            <w:shd w:fill="FFFFFF" w:val="clear"/>
            <w:vAlign w:val="center"/>
          </w:tcPr>
          <w:p>
            <w:pPr>
              <w:pStyle w:val="TableContents"/>
              <w:bidi w:val="0"/>
              <w:spacing w:before="0" w:after="283"/>
              <w:jc w:val="left"/>
              <w:rPr/>
            </w:pPr>
            <w:r>
              <w:rPr/>
              <w:t>)</w:t>
            </w:r>
          </w:p>
        </w:tc>
        <w:tc>
          <w:tcPr>
            <w:tcW w:w="88" w:type="dxa"/>
            <w:tcBorders/>
            <w:shd w:fill="FFFFFF" w:val="clear"/>
            <w:vAlign w:val="center"/>
          </w:tcPr>
          <w:p>
            <w:pPr>
              <w:pStyle w:val="TableContents"/>
              <w:bidi w:val="0"/>
              <w:spacing w:before="0" w:after="283"/>
              <w:jc w:val="left"/>
              <w:rPr/>
            </w:pPr>
            <w:r>
              <w:rPr/>
              <w:t> </w:t>
            </w:r>
          </w:p>
        </w:tc>
        <w:tc>
          <w:tcPr>
            <w:tcW w:w="2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pPr>
            <w:r>
              <w:rPr/>
              <w:t>(157</w:t>
            </w:r>
          </w:p>
        </w:tc>
        <w:tc>
          <w:tcPr>
            <w:tcW w:w="139" w:type="dxa"/>
            <w:tcBorders/>
            <w:shd w:fill="FFFFFF" w:val="clear"/>
            <w:vAlign w:val="center"/>
          </w:tcPr>
          <w:p>
            <w:pPr>
              <w:pStyle w:val="TableContents"/>
              <w:bidi w:val="0"/>
              <w:spacing w:before="0" w:after="283"/>
              <w:jc w:val="left"/>
              <w:rPr/>
            </w:pPr>
            <w:r>
              <w:rPr/>
              <w:t>)</w:t>
            </w:r>
          </w:p>
        </w:tc>
        <w:tc>
          <w:tcPr>
            <w:tcW w:w="88"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0" w:type="dxa"/>
            <w:tcBorders>
              <w:bottom w:val="single" w:sz="8" w:space="0" w:color="000000"/>
            </w:tcBorders>
            <w:shd w:fill="FFFFFF" w:val="clear"/>
            <w:tcMar>
              <w:bottom w:w="28" w:type="dxa"/>
            </w:tcMar>
            <w:vAlign w:val="center"/>
          </w:tcPr>
          <w:p>
            <w:pPr>
              <w:pStyle w:val="TableContents"/>
              <w:bidi w:val="0"/>
              <w:spacing w:before="0" w:after="283"/>
              <w:jc w:val="right"/>
              <w:rPr/>
            </w:pPr>
            <w:r>
              <w:rPr/>
              <w:t>25</w:t>
            </w:r>
          </w:p>
        </w:tc>
        <w:tc>
          <w:tcPr>
            <w:tcW w:w="161" w:type="dxa"/>
            <w:tcBorders/>
            <w:shd w:fill="FFFFFF" w:val="clear"/>
            <w:vAlign w:val="center"/>
          </w:tcPr>
          <w:p>
            <w:pPr>
              <w:pStyle w:val="TableContents"/>
              <w:bidi w:val="0"/>
              <w:spacing w:before="0" w:after="283"/>
              <w:jc w:val="left"/>
              <w:rPr/>
            </w:pPr>
            <w:r>
              <w:rPr/>
              <w:t> </w:t>
            </w:r>
          </w:p>
        </w:tc>
      </w:tr>
      <w:tr>
        <w:trPr/>
        <w:tc>
          <w:tcPr>
            <w:tcW w:w="288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10" w:type="dxa"/>
            <w:tcBorders>
              <w:bottom w:val="single" w:sz="8" w:space="0" w:color="000000"/>
            </w:tcBorders>
            <w:shd w:fill="EEEEEE" w:val="clear"/>
            <w:tcMar>
              <w:bottom w:w="28" w:type="dxa"/>
            </w:tcMar>
            <w:vAlign w:val="center"/>
          </w:tcPr>
          <w:p>
            <w:pPr>
              <w:pStyle w:val="TableContents"/>
              <w:bidi w:val="0"/>
              <w:spacing w:before="0" w:after="283"/>
              <w:jc w:val="right"/>
              <w:rPr/>
            </w:pPr>
            <w:r>
              <w:rPr/>
              <w:t>14,407</w:t>
            </w:r>
          </w:p>
        </w:tc>
        <w:tc>
          <w:tcPr>
            <w:tcW w:w="139" w:type="dxa"/>
            <w:tcBorders/>
            <w:shd w:fill="EEEEEE" w:val="clear"/>
            <w:vAlign w:val="center"/>
          </w:tcPr>
          <w:p>
            <w:pPr>
              <w:pStyle w:val="TableContents"/>
              <w:bidi w:val="0"/>
              <w:spacing w:before="0" w:after="283"/>
              <w:jc w:val="left"/>
              <w:rPr/>
            </w:pPr>
            <w:r>
              <w:rPr/>
              <w:t> </w:t>
            </w:r>
          </w:p>
        </w:tc>
        <w:tc>
          <w:tcPr>
            <w:tcW w:w="88" w:type="dxa"/>
            <w:tcBorders/>
            <w:shd w:fill="EEEEEE" w:val="clear"/>
            <w:vAlign w:val="center"/>
          </w:tcPr>
          <w:p>
            <w:pPr>
              <w:pStyle w:val="TableContents"/>
              <w:bidi w:val="0"/>
              <w:spacing w:before="0" w:after="283"/>
              <w:jc w:val="left"/>
              <w:rPr/>
            </w:pPr>
            <w:r>
              <w:rPr/>
              <w:t> </w:t>
            </w:r>
          </w:p>
        </w:tc>
        <w:tc>
          <w:tcPr>
            <w:tcW w:w="258"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EEEEEE" w:val="clear"/>
            <w:tcMar>
              <w:bottom w:w="28" w:type="dxa"/>
            </w:tcMar>
            <w:vAlign w:val="center"/>
          </w:tcPr>
          <w:p>
            <w:pPr>
              <w:pStyle w:val="TableContents"/>
              <w:bidi w:val="0"/>
              <w:spacing w:before="0" w:after="283"/>
              <w:jc w:val="right"/>
              <w:rPr/>
            </w:pPr>
            <w:r>
              <w:rPr/>
              <w:t>2,442</w:t>
            </w:r>
          </w:p>
        </w:tc>
        <w:tc>
          <w:tcPr>
            <w:tcW w:w="139" w:type="dxa"/>
            <w:tcBorders/>
            <w:shd w:fill="EEEEEE" w:val="clear"/>
            <w:vAlign w:val="center"/>
          </w:tcPr>
          <w:p>
            <w:pPr>
              <w:pStyle w:val="TableContents"/>
              <w:bidi w:val="0"/>
              <w:spacing w:before="0" w:after="283"/>
              <w:jc w:val="left"/>
              <w:rPr/>
            </w:pPr>
            <w:r>
              <w:rPr/>
              <w:t> </w:t>
            </w:r>
          </w:p>
        </w:tc>
        <w:tc>
          <w:tcPr>
            <w:tcW w:w="88" w:type="dxa"/>
            <w:tcBorders/>
            <w:shd w:fill="EEEEEE" w:val="clear"/>
            <w:vAlign w:val="center"/>
          </w:tcPr>
          <w:p>
            <w:pPr>
              <w:pStyle w:val="TableContents"/>
              <w:bidi w:val="0"/>
              <w:spacing w:before="0" w:after="283"/>
              <w:jc w:val="left"/>
              <w:rPr/>
            </w:pPr>
            <w:r>
              <w:rPr/>
              <w:t> </w:t>
            </w:r>
          </w:p>
        </w:tc>
        <w:tc>
          <w:tcPr>
            <w:tcW w:w="20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10" w:type="dxa"/>
            <w:tcBorders>
              <w:bottom w:val="single" w:sz="8" w:space="0" w:color="000000"/>
            </w:tcBorders>
            <w:shd w:fill="EEEEEE" w:val="clear"/>
            <w:tcMar>
              <w:bottom w:w="28" w:type="dxa"/>
            </w:tcMar>
            <w:vAlign w:val="center"/>
          </w:tcPr>
          <w:p>
            <w:pPr>
              <w:pStyle w:val="TableContents"/>
              <w:bidi w:val="0"/>
              <w:spacing w:before="0" w:after="283"/>
              <w:jc w:val="right"/>
              <w:rPr/>
            </w:pPr>
            <w:r>
              <w:rPr/>
              <w:t>11,965</w:t>
            </w:r>
          </w:p>
        </w:tc>
        <w:tc>
          <w:tcPr>
            <w:tcW w:w="161" w:type="dxa"/>
            <w:tcBorders/>
            <w:shd w:fill="EEEEEE"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pPr>
            <w:r>
              <w:rPr/>
              <w:t> </w:t>
            </w:r>
          </w:p>
        </w:tc>
        <w:tc>
          <w:tcPr>
            <w:tcW w:w="139"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139"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pPr>
            <w:r>
              <w:rPr/>
              <w:t> </w:t>
            </w:r>
          </w:p>
        </w:tc>
        <w:tc>
          <w:tcPr>
            <w:tcW w:w="161" w:type="dxa"/>
            <w:tcBorders/>
            <w:shd w:fill="FFFFFF" w:val="clear"/>
            <w:vAlign w:val="center"/>
          </w:tcPr>
          <w:p>
            <w:pPr>
              <w:pStyle w:val="TableContents"/>
              <w:bidi w:val="0"/>
              <w:spacing w:before="0" w:after="283"/>
              <w:jc w:val="left"/>
              <w:rPr/>
            </w:pPr>
            <w:r>
              <w:rPr/>
              <w:t> </w:t>
            </w:r>
          </w:p>
        </w:tc>
      </w:tr>
      <w:tr>
        <w:trPr/>
        <w:tc>
          <w:tcPr>
            <w:tcW w:w="2885" w:type="dxa"/>
            <w:tcBorders/>
            <w:shd w:fill="EEEEEE" w:val="clear"/>
            <w:vAlign w:val="center"/>
          </w:tcPr>
          <w:p>
            <w:pPr>
              <w:pStyle w:val="TableContents"/>
              <w:bidi w:val="0"/>
              <w:spacing w:before="0" w:after="283"/>
              <w:jc w:val="left"/>
              <w:rPr/>
            </w:pPr>
            <w:r>
              <w:rPr/>
              <w:t>Net interest income/spread</w:t>
            </w:r>
          </w:p>
        </w:tc>
        <w:tc>
          <w:tcPr>
            <w:tcW w:w="60" w:type="dxa"/>
            <w:tcBorders/>
            <w:shd w:fill="EEEEEE" w:val="clear"/>
            <w:vAlign w:val="center"/>
          </w:tcPr>
          <w:p>
            <w:pPr>
              <w:pStyle w:val="TableContents"/>
              <w:bidi w:val="0"/>
              <w:spacing w:before="0" w:after="283"/>
              <w:jc w:val="left"/>
              <w:rPr/>
            </w:pPr>
            <w:r>
              <w:rPr/>
              <w:t> </w:t>
            </w:r>
          </w:p>
        </w:tc>
        <w:tc>
          <w:tcPr>
            <w:tcW w:w="205"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10" w:type="dxa"/>
            <w:tcBorders>
              <w:bottom w:val="double" w:sz="6" w:space="0" w:color="000000"/>
            </w:tcBorders>
            <w:shd w:fill="EEEEEE" w:val="clear"/>
            <w:tcMar>
              <w:bottom w:w="28" w:type="dxa"/>
            </w:tcMar>
            <w:vAlign w:val="center"/>
          </w:tcPr>
          <w:p>
            <w:pPr>
              <w:pStyle w:val="TableContents"/>
              <w:bidi w:val="0"/>
              <w:spacing w:before="0" w:after="283"/>
              <w:jc w:val="right"/>
              <w:rPr/>
            </w:pPr>
            <w:r>
              <w:rPr/>
              <w:t>(10,963</w:t>
            </w:r>
          </w:p>
        </w:tc>
        <w:tc>
          <w:tcPr>
            <w:tcW w:w="139" w:type="dxa"/>
            <w:tcBorders/>
            <w:shd w:fill="EEEEEE" w:val="clear"/>
            <w:vAlign w:val="center"/>
          </w:tcPr>
          <w:p>
            <w:pPr>
              <w:pStyle w:val="TableContents"/>
              <w:bidi w:val="0"/>
              <w:spacing w:before="0" w:after="283"/>
              <w:jc w:val="left"/>
              <w:rPr/>
            </w:pPr>
            <w:r>
              <w:rPr/>
              <w:t>)</w:t>
            </w:r>
          </w:p>
        </w:tc>
        <w:tc>
          <w:tcPr>
            <w:tcW w:w="88" w:type="dxa"/>
            <w:tcBorders/>
            <w:shd w:fill="EEEEEE" w:val="clear"/>
            <w:vAlign w:val="center"/>
          </w:tcPr>
          <w:p>
            <w:pPr>
              <w:pStyle w:val="TableContents"/>
              <w:bidi w:val="0"/>
              <w:spacing w:before="0" w:after="283"/>
              <w:jc w:val="left"/>
              <w:rPr/>
            </w:pPr>
            <w:r>
              <w:rPr/>
              <w:t> </w:t>
            </w:r>
          </w:p>
        </w:tc>
        <w:tc>
          <w:tcPr>
            <w:tcW w:w="258"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036" w:type="dxa"/>
            <w:tcBorders>
              <w:bottom w:val="double" w:sz="6" w:space="0" w:color="000000"/>
            </w:tcBorders>
            <w:shd w:fill="EEEEEE" w:val="clear"/>
            <w:tcMar>
              <w:bottom w:w="28" w:type="dxa"/>
            </w:tcMar>
            <w:vAlign w:val="center"/>
          </w:tcPr>
          <w:p>
            <w:pPr>
              <w:pStyle w:val="TableContents"/>
              <w:bidi w:val="0"/>
              <w:spacing w:before="0" w:after="283"/>
              <w:jc w:val="right"/>
              <w:rPr/>
            </w:pPr>
            <w:r>
              <w:rPr/>
              <w:t>2,677</w:t>
            </w:r>
          </w:p>
        </w:tc>
        <w:tc>
          <w:tcPr>
            <w:tcW w:w="139" w:type="dxa"/>
            <w:tcBorders/>
            <w:shd w:fill="EEEEEE" w:val="clear"/>
            <w:vAlign w:val="center"/>
          </w:tcPr>
          <w:p>
            <w:pPr>
              <w:pStyle w:val="TableContents"/>
              <w:bidi w:val="0"/>
              <w:spacing w:before="0" w:after="283"/>
              <w:jc w:val="left"/>
              <w:rPr/>
            </w:pPr>
            <w:r>
              <w:rPr/>
              <w:t> </w:t>
            </w:r>
          </w:p>
        </w:tc>
        <w:tc>
          <w:tcPr>
            <w:tcW w:w="88" w:type="dxa"/>
            <w:tcBorders/>
            <w:shd w:fill="EEEEEE" w:val="clear"/>
            <w:vAlign w:val="center"/>
          </w:tcPr>
          <w:p>
            <w:pPr>
              <w:pStyle w:val="TableContents"/>
              <w:bidi w:val="0"/>
              <w:spacing w:before="0" w:after="283"/>
              <w:jc w:val="left"/>
              <w:rPr/>
            </w:pPr>
            <w:r>
              <w:rPr/>
              <w:t> </w:t>
            </w:r>
          </w:p>
        </w:tc>
        <w:tc>
          <w:tcPr>
            <w:tcW w:w="205"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10" w:type="dxa"/>
            <w:tcBorders>
              <w:bottom w:val="double" w:sz="6" w:space="0" w:color="000000"/>
            </w:tcBorders>
            <w:shd w:fill="EEEEEE" w:val="clear"/>
            <w:tcMar>
              <w:bottom w:w="28" w:type="dxa"/>
            </w:tcMar>
            <w:vAlign w:val="center"/>
          </w:tcPr>
          <w:p>
            <w:pPr>
              <w:pStyle w:val="TableContents"/>
              <w:bidi w:val="0"/>
              <w:spacing w:before="0" w:after="283"/>
              <w:jc w:val="right"/>
              <w:rPr/>
            </w:pPr>
            <w:r>
              <w:rPr/>
              <w:t>(13,640</w:t>
            </w:r>
          </w:p>
        </w:tc>
        <w:tc>
          <w:tcPr>
            <w:tcW w:w="161" w:type="dxa"/>
            <w:tcBorders/>
            <w:shd w:fill="EEEEEE" w:val="clear"/>
            <w:vAlign w:val="center"/>
          </w:tcPr>
          <w:p>
            <w:pPr>
              <w:pStyle w:val="TableContents"/>
              <w:bidi w:val="0"/>
              <w:spacing w:before="0" w:after="283"/>
              <w:jc w:val="left"/>
              <w:rPr/>
            </w:pPr>
            <w:r>
              <w:rPr/>
              <w:t>)</w:t>
            </w:r>
          </w:p>
        </w:tc>
      </w:tr>
    </w:tbl>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8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September 30, 2023, we recorded a reduction to provision for credit losses on finance receivables in the amount of $2.0 million. The reserve decrease was primarily due to a decrease in lifetime expected credit losses resulting from improved credit performance as our previous estimates for future losses exceeded actual incurred losses. This compares to $6.0 million in reductions to provision for credit losses for the three months ended September 30, 2022.</w:t>
      </w:r>
    </w:p>
    <w:p>
      <w:pPr>
        <w:pStyle w:val="TextBody"/>
        <w:bidi w:val="0"/>
        <w:spacing w:before="0" w:after="0"/>
        <w:ind w:left="0" w:right="0" w:hanging="0"/>
        <w:jc w:val="left"/>
        <w:rPr/>
      </w:pPr>
      <w:r>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evaluation of the allowance for credit losses indicated that the reserves against future losses are adequate as of September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allowance applies only to our finance receivables originated through December 2017, which we refer to as our legacy portfolio.  Finance receivables that we have originated since January 2018 are accounted for at fair value. Under the fair value method of accounting, we recognize interest income net of expected credit losses. Thus, no provision for credit loss expense is recorded for finance receivables measured at fair value.</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expenses consist primarily of commission-based compensation paid to our employee sales representatives. Our sales representatives earn a salary plus commissions based on volume of contract purchases and sales of ancillary products and services that we offer our dealers. Sales expense decreased to $5.3 million during the three months ended September 30, 2023 from $6.0 million in the same quarter in 2022. We purchased $322.4 million of new contracts during the three months ended September 30, 2023 compared to $468.2 million in the prior year period.</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Occupancy expenses was $1.6 million for the three months ending September 30, 2023, which is down from the $2.0 million in the third quarter of 2022.</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expenses decreased to $199,000 compared to $406,000 in the previous year.</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September 30, 2023, we recorded income tax expense of $3.8 million, representing a 27% effective tax rate. In the prior period, our income tax expense was $8.9 million, representing a 26% effective tax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Comparison of Operating Results for the nine months ended September 30, 2023 with the nine months ended September 30,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Revenues</w:t>
      </w:r>
      <w:r>
        <w:rPr>
          <w:rFonts w:ascii="Times New Roman;Times;Serif" w:hAnsi="Times New Roman;Times;Serif"/>
          <w:b w:val="false"/>
          <w:i w:val="false"/>
          <w:caps w:val="false"/>
          <w:smallCaps w:val="false"/>
          <w:sz w:val="20"/>
        </w:rPr>
        <w:t>.  During the nine months ended September 30, 2023, our revenues were $260.0 million, an increase of $13.3 million, or 5.4%, from the prior year revenue of $246.7 million. The primary reason for the increase in revenues is the increase in interest income resulting from the increase in the average outstanding balance of finance receivables measured at fair value. In addition, mark ups to the finance receivables measured at fair value also contributed to the increase in revenues during the period. Revenues for the nine months ended September 30, 2023 include a $6.0 million mark up to the recorded value of the finance receivables measured at fair value. The marks are estimates based on our evaluation of the appropriate fair value and future earnings rate of existing receivables compared to recently acquired receivables and increases or decreases in our estimates of future net losses. For the nine months ended September 30, 2023, our re-evaluation of the fair values of these receivables resulted in a mark up for certain older receivables and a mark down to the fair values of newer receivables. The fair value mark up on the older receivables exceeded the mark down to the newer receivables resulting in a net mark up of $6.0 million. Revenues for the prior year period include a $15.3 million mark up to the fair value portfolio.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for the nine months ended September 30, 2023 increased $20.4 million, or 9.1%, to $246.0 million from $225.5 million in the prior year. The primary reason for the increase in interest income is the 17.6% increase in the average balance of our loan portfolio over the prior year period. The interest yield on our total loan portfolio decreased from 12.2% in the prior year period to 11.3% in the current year period. The receivables measured at fair value makes up a larger portion of our total loan portfolio in the current year period is the primary reason for the decrease in total interest yield. The interest yield on receivables measured at fair value is reduced to take account of expected losses and is therefore less than the yield on other finance receivables. The table below shows the average balance and interest yield of our loan portfolio for the nine months ended September 30, 2023 and 2022:</w:t>
      </w:r>
    </w:p>
    <w:p>
      <w:pPr>
        <w:pStyle w:val="TextBody"/>
        <w:bidi w:val="0"/>
        <w:spacing w:before="0" w:after="0"/>
        <w:ind w:left="0" w:right="0" w:hanging="0"/>
        <w:jc w:val="both"/>
        <w:rPr>
          <w:caps w:val="false"/>
          <w:smallCaps w:val="false"/>
        </w:rPr>
      </w:pPr>
      <w:r>
        <w:rPr>
          <w:caps w:val="false"/>
          <w:smallCaps w:val="false"/>
        </w:rPr>
        <w:t> </w:t>
      </w:r>
    </w:p>
    <w:tbl>
      <w:tblPr>
        <w:tblW w:w="9170" w:type="dxa"/>
        <w:jc w:val="left"/>
        <w:tblInd w:w="0" w:type="dxa"/>
        <w:tblLayout w:type="fixed"/>
        <w:tblCellMar>
          <w:top w:w="0" w:type="dxa"/>
          <w:left w:w="0" w:type="dxa"/>
          <w:bottom w:w="0" w:type="dxa"/>
          <w:right w:w="0" w:type="dxa"/>
        </w:tblCellMar>
      </w:tblPr>
      <w:tblGrid>
        <w:gridCol w:w="2405"/>
        <w:gridCol w:w="60"/>
        <w:gridCol w:w="140"/>
        <w:gridCol w:w="980"/>
        <w:gridCol w:w="60"/>
        <w:gridCol w:w="60"/>
        <w:gridCol w:w="140"/>
        <w:gridCol w:w="800"/>
        <w:gridCol w:w="60"/>
        <w:gridCol w:w="60"/>
        <w:gridCol w:w="96"/>
        <w:gridCol w:w="704"/>
        <w:gridCol w:w="215"/>
        <w:gridCol w:w="60"/>
        <w:gridCol w:w="140"/>
        <w:gridCol w:w="980"/>
        <w:gridCol w:w="60"/>
        <w:gridCol w:w="60"/>
        <w:gridCol w:w="140"/>
        <w:gridCol w:w="800"/>
        <w:gridCol w:w="60"/>
        <w:gridCol w:w="60"/>
        <w:gridCol w:w="96"/>
        <w:gridCol w:w="704"/>
        <w:gridCol w:w="230"/>
      </w:tblGrid>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5"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230"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230"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5" w:type="dxa"/>
            <w:gridSpan w:val="22"/>
            <w:tcBorders/>
            <w:vAlign w:val="center"/>
          </w:tcPr>
          <w:p>
            <w:pPr>
              <w:pStyle w:val="TableContents"/>
              <w:bidi w:val="0"/>
              <w:spacing w:before="0" w:after="283"/>
              <w:jc w:val="center"/>
              <w:rPr>
                <w:b/>
              </w:rPr>
            </w:pPr>
            <w:r>
              <w:rPr>
                <w:b/>
              </w:rPr>
              <w:t>(Dollars in thousands)</w:t>
            </w:r>
          </w:p>
        </w:tc>
        <w:tc>
          <w:tcPr>
            <w:tcW w:w="230"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b/>
              </w:rPr>
            </w:pPr>
            <w:r>
              <w:rPr>
                <w:b/>
              </w:rPr>
              <w:t>Interest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b/>
              </w:rPr>
            </w:pPr>
            <w:r>
              <w:rPr>
                <w:b/>
              </w:rPr>
              <w:t>Interest</w:t>
            </w:r>
          </w:p>
        </w:tc>
        <w:tc>
          <w:tcPr>
            <w:tcW w:w="230"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Balance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Yield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Balance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Yield</w:t>
            </w:r>
          </w:p>
        </w:tc>
        <w:tc>
          <w:tcPr>
            <w:tcW w:w="230"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center"/>
              <w:rPr>
                <w:b/>
                <w:u w:val="single"/>
              </w:rPr>
            </w:pPr>
            <w:r>
              <w:rPr>
                <w:b/>
                <w:u w:val="single"/>
              </w:rPr>
              <w:t>Interest Earning Assets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2405" w:type="dxa"/>
            <w:tcBorders/>
            <w:shd w:fill="EEEEEE" w:val="clear"/>
            <w:vAlign w:val="center"/>
          </w:tcPr>
          <w:p>
            <w:pPr>
              <w:pStyle w:val="TableContents"/>
              <w:bidi w:val="0"/>
              <w:spacing w:before="0" w:after="283"/>
              <w:jc w:val="left"/>
              <w:rPr/>
            </w:pPr>
            <w:r>
              <w:rPr/>
              <w:t>Loan Portfolio</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2,898,445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800" w:type="dxa"/>
            <w:tcBorders/>
            <w:shd w:fill="EEEEEE" w:val="clear"/>
            <w:vAlign w:val="center"/>
          </w:tcPr>
          <w:p>
            <w:pPr>
              <w:pStyle w:val="TableContents"/>
              <w:bidi w:val="0"/>
              <w:spacing w:before="0" w:after="283"/>
              <w:jc w:val="right"/>
              <w:rPr/>
            </w:pPr>
            <w:r>
              <w:rPr/>
              <w:t>245,960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6" w:type="dxa"/>
            <w:tcBorders/>
            <w:shd w:fill="EEEEEE" w:val="clear"/>
            <w:vAlign w:val="center"/>
          </w:tcPr>
          <w:p>
            <w:pPr>
              <w:pStyle w:val="TableContents"/>
              <w:bidi w:val="0"/>
              <w:spacing w:before="0" w:after="283"/>
              <w:jc w:val="left"/>
              <w:rPr/>
            </w:pPr>
            <w:r>
              <w:rPr/>
              <w:t> </w:t>
            </w:r>
          </w:p>
        </w:tc>
        <w:tc>
          <w:tcPr>
            <w:tcW w:w="704" w:type="dxa"/>
            <w:tcBorders/>
            <w:shd w:fill="EEEEEE" w:val="clear"/>
            <w:vAlign w:val="center"/>
          </w:tcPr>
          <w:p>
            <w:pPr>
              <w:pStyle w:val="TableContents"/>
              <w:bidi w:val="0"/>
              <w:spacing w:before="0" w:after="283"/>
              <w:jc w:val="right"/>
              <w:rPr/>
            </w:pPr>
            <w:r>
              <w:rPr/>
              <w:t>11.3</w:t>
            </w:r>
          </w:p>
        </w:tc>
        <w:tc>
          <w:tcPr>
            <w:tcW w:w="21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2,463,882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800" w:type="dxa"/>
            <w:tcBorders/>
            <w:shd w:fill="EEEEEE" w:val="clear"/>
            <w:vAlign w:val="center"/>
          </w:tcPr>
          <w:p>
            <w:pPr>
              <w:pStyle w:val="TableContents"/>
              <w:bidi w:val="0"/>
              <w:spacing w:before="0" w:after="283"/>
              <w:jc w:val="right"/>
              <w:rPr/>
            </w:pPr>
            <w:r>
              <w:rPr/>
              <w:t>225,547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6" w:type="dxa"/>
            <w:tcBorders/>
            <w:shd w:fill="EEEEEE" w:val="clear"/>
            <w:vAlign w:val="center"/>
          </w:tcPr>
          <w:p>
            <w:pPr>
              <w:pStyle w:val="TableContents"/>
              <w:bidi w:val="0"/>
              <w:spacing w:before="0" w:after="283"/>
              <w:jc w:val="left"/>
              <w:rPr/>
            </w:pPr>
            <w:r>
              <w:rPr/>
              <w:t> </w:t>
            </w:r>
          </w:p>
        </w:tc>
        <w:tc>
          <w:tcPr>
            <w:tcW w:w="704" w:type="dxa"/>
            <w:tcBorders/>
            <w:shd w:fill="EEEEEE" w:val="clear"/>
            <w:vAlign w:val="center"/>
          </w:tcPr>
          <w:p>
            <w:pPr>
              <w:pStyle w:val="TableContents"/>
              <w:bidi w:val="0"/>
              <w:spacing w:before="0" w:after="283"/>
              <w:jc w:val="right"/>
              <w:rPr/>
            </w:pPr>
            <w:r>
              <w:rPr/>
              <w:t>12.2</w:t>
            </w:r>
          </w:p>
        </w:tc>
        <w:tc>
          <w:tcPr>
            <w:tcW w:w="230" w:type="dxa"/>
            <w:tcBorders/>
            <w:shd w:fill="EEEEEE"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was $8.1 million for the nine months ended September 30, 2023 compared to $5.9 million for the comparable period in 2022. This 37.8% increase was primarily driven by the increase in origination and servicing fees we earned from third party receivables. These fees were $7.2 million for the nine months ended September 30, 2023 compared to $4.3 million in the prior 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Expenses</w:t>
      </w:r>
      <w:r>
        <w:rPr>
          <w:rFonts w:ascii="Times New Roman;Times;Serif" w:hAnsi="Times New Roman;Times;Serif"/>
          <w:b w:val="false"/>
          <w:i w:val="false"/>
          <w:caps w:val="false"/>
          <w:smallCaps w:val="false"/>
          <w:sz w:val="20"/>
        </w:rPr>
        <w:t>.  Our operating expenses consist largely of interest expense, provision for credit losses, employee costs, sales and general and administrative expenses. Provision for credit losses is affected by the balance and credit performance of our portfolio of finance receivables (other than our portfolio of finance receivables measured at fair value, as to which expected credit losses have the effect of reducing the internal rate of return or the recorded value applicable to such receivables). Interest expense is significantly affected by the volume of automobile contracts we purchased during the trailing 12-month period and the use of our warehouse facilities and asset-backed securitizations to finance those contracts.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purchased and serviced.</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expenses consist largely of facilities expenses, telephone and other communication services, credit services, computer services, sales and advertising expenses, and depreciation and amortization.</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were $208.8 million for the nine months ended September 30, 2023, compared to $148.8 million for the prior period, an increase of $60.0 million, or 40.3%. The increase is primarily due to increases in interest expense and general and administrative expenses.</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8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costs were $65.0 million during the nine months ended September 30, 2023 compared to $63.4 million for the same period in the prior year. The table below summarizes our employees by category as well as contract purchases and units in our managed portfolio as of, and for the nine-month periods ended, September 30, 2023 and 2022:</w:t>
      </w:r>
    </w:p>
    <w:p>
      <w:pPr>
        <w:pStyle w:val="TextBody"/>
        <w:bidi w:val="0"/>
        <w:spacing w:before="0" w:after="0"/>
        <w:ind w:left="0" w:right="0" w:firstLine="180"/>
        <w:jc w:val="both"/>
        <w:rPr>
          <w:caps w:val="false"/>
          <w:smallCaps w:val="false"/>
        </w:rPr>
      </w:pPr>
      <w:r>
        <w:rPr>
          <w:caps w:val="false"/>
          <w:smallCaps w:val="false"/>
        </w:rPr>
        <w:t> </w:t>
      </w:r>
    </w:p>
    <w:tbl>
      <w:tblPr>
        <w:tblW w:w="7508" w:type="dxa"/>
        <w:jc w:val="left"/>
        <w:tblInd w:w="0" w:type="dxa"/>
        <w:tblLayout w:type="fixed"/>
        <w:tblCellMar>
          <w:top w:w="0" w:type="dxa"/>
          <w:left w:w="0" w:type="dxa"/>
          <w:bottom w:w="0" w:type="dxa"/>
          <w:right w:w="0" w:type="dxa"/>
        </w:tblCellMar>
      </w:tblPr>
      <w:tblGrid>
        <w:gridCol w:w="3785"/>
        <w:gridCol w:w="60"/>
        <w:gridCol w:w="251"/>
        <w:gridCol w:w="1436"/>
        <w:gridCol w:w="107"/>
        <w:gridCol w:w="107"/>
        <w:gridCol w:w="251"/>
        <w:gridCol w:w="1436"/>
        <w:gridCol w:w="75"/>
      </w:tblGrid>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8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7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8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68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88" w:type="dxa"/>
            <w:gridSpan w:val="6"/>
            <w:tcBorders/>
            <w:vAlign w:val="center"/>
          </w:tcPr>
          <w:p>
            <w:pPr>
              <w:pStyle w:val="TableContents"/>
              <w:bidi w:val="0"/>
              <w:spacing w:before="0" w:after="283"/>
              <w:jc w:val="center"/>
              <w:rPr>
                <w:b/>
              </w:rPr>
            </w:pPr>
            <w:r>
              <w:rPr>
                <w:b/>
              </w:rPr>
              <w:t>(Dollars in millions)</w:t>
            </w:r>
          </w:p>
        </w:tc>
        <w:tc>
          <w:tcPr>
            <w:tcW w:w="75" w:type="dxa"/>
            <w:tcBorders/>
            <w:vAlign w:val="center"/>
          </w:tcPr>
          <w:p>
            <w:pPr>
              <w:pStyle w:val="TableContents"/>
              <w:bidi w:val="0"/>
              <w:spacing w:before="0" w:after="283"/>
              <w:jc w:val="left"/>
              <w:rPr/>
            </w:pPr>
            <w:r>
              <w:rPr/>
              <w:t> </w:t>
            </w:r>
          </w:p>
        </w:tc>
      </w:tr>
      <w:tr>
        <w:trPr/>
        <w:tc>
          <w:tcPr>
            <w:tcW w:w="3785" w:type="dxa"/>
            <w:tcBorders/>
            <w:shd w:fill="EEEEEE" w:val="clear"/>
            <w:vAlign w:val="center"/>
          </w:tcPr>
          <w:p>
            <w:pPr>
              <w:pStyle w:val="TableContents"/>
              <w:bidi w:val="0"/>
              <w:spacing w:before="0" w:after="283"/>
              <w:jc w:val="left"/>
              <w:rPr/>
            </w:pPr>
            <w:r>
              <w:rPr/>
              <w:t>Contracts purchased (dollars)</w:t>
            </w:r>
          </w:p>
        </w:tc>
        <w:tc>
          <w:tcPr>
            <w:tcW w:w="60" w:type="dxa"/>
            <w:tcBorders/>
            <w:shd w:fill="EEEEEE" w:val="clear"/>
            <w:vAlign w:val="center"/>
          </w:tcPr>
          <w:p>
            <w:pPr>
              <w:pStyle w:val="TableContents"/>
              <w:bidi w:val="0"/>
              <w:spacing w:before="0" w:after="283"/>
              <w:jc w:val="left"/>
              <w:rPr/>
            </w:pPr>
            <w:r>
              <w:rPr/>
              <w:t> </w:t>
            </w:r>
          </w:p>
        </w:tc>
        <w:tc>
          <w:tcPr>
            <w:tcW w:w="251" w:type="dxa"/>
            <w:tcBorders/>
            <w:shd w:fill="EEEEEE" w:val="clear"/>
            <w:vAlign w:val="center"/>
          </w:tcPr>
          <w:p>
            <w:pPr>
              <w:pStyle w:val="TableContents"/>
              <w:bidi w:val="0"/>
              <w:spacing w:before="0" w:after="283"/>
              <w:jc w:val="left"/>
              <w:rPr/>
            </w:pPr>
            <w:r>
              <w:rPr/>
              <w:t>$</w:t>
            </w:r>
          </w:p>
        </w:tc>
        <w:tc>
          <w:tcPr>
            <w:tcW w:w="1436" w:type="dxa"/>
            <w:tcBorders/>
            <w:shd w:fill="EEEEEE" w:val="clear"/>
            <w:vAlign w:val="center"/>
          </w:tcPr>
          <w:p>
            <w:pPr>
              <w:pStyle w:val="TableContents"/>
              <w:bidi w:val="0"/>
              <w:spacing w:before="0" w:after="283"/>
              <w:jc w:val="right"/>
              <w:rPr/>
            </w:pPr>
            <w:r>
              <w:rPr/>
              <w:t>1,056.0</w:t>
            </w:r>
          </w:p>
        </w:tc>
        <w:tc>
          <w:tcPr>
            <w:tcW w:w="107" w:type="dxa"/>
            <w:tcBorders/>
            <w:shd w:fill="EEEEEE" w:val="clear"/>
            <w:vAlign w:val="center"/>
          </w:tcPr>
          <w:p>
            <w:pPr>
              <w:pStyle w:val="TableContents"/>
              <w:bidi w:val="0"/>
              <w:spacing w:before="0" w:after="283"/>
              <w:jc w:val="left"/>
              <w:rPr/>
            </w:pPr>
            <w:r>
              <w:rPr/>
              <w:t> </w:t>
            </w:r>
          </w:p>
        </w:tc>
        <w:tc>
          <w:tcPr>
            <w:tcW w:w="107" w:type="dxa"/>
            <w:tcBorders/>
            <w:shd w:fill="EEEEEE" w:val="clear"/>
            <w:vAlign w:val="center"/>
          </w:tcPr>
          <w:p>
            <w:pPr>
              <w:pStyle w:val="TableContents"/>
              <w:bidi w:val="0"/>
              <w:spacing w:before="0" w:after="283"/>
              <w:jc w:val="left"/>
              <w:rPr/>
            </w:pPr>
            <w:r>
              <w:rPr/>
              <w:t> </w:t>
            </w:r>
          </w:p>
        </w:tc>
        <w:tc>
          <w:tcPr>
            <w:tcW w:w="251" w:type="dxa"/>
            <w:tcBorders/>
            <w:shd w:fill="EEEEEE" w:val="clear"/>
            <w:vAlign w:val="center"/>
          </w:tcPr>
          <w:p>
            <w:pPr>
              <w:pStyle w:val="TableContents"/>
              <w:bidi w:val="0"/>
              <w:spacing w:before="0" w:after="283"/>
              <w:jc w:val="left"/>
              <w:rPr/>
            </w:pPr>
            <w:r>
              <w:rPr/>
              <w:t>$</w:t>
            </w:r>
          </w:p>
        </w:tc>
        <w:tc>
          <w:tcPr>
            <w:tcW w:w="1436" w:type="dxa"/>
            <w:tcBorders/>
            <w:shd w:fill="EEEEEE" w:val="clear"/>
            <w:vAlign w:val="center"/>
          </w:tcPr>
          <w:p>
            <w:pPr>
              <w:pStyle w:val="TableContents"/>
              <w:bidi w:val="0"/>
              <w:spacing w:before="0" w:after="283"/>
              <w:jc w:val="right"/>
              <w:rPr/>
            </w:pPr>
            <w:r>
              <w:rPr/>
              <w:t>1,426.3</w:t>
            </w:r>
          </w:p>
        </w:tc>
        <w:tc>
          <w:tcPr>
            <w:tcW w:w="75" w:type="dxa"/>
            <w:tcBorders/>
            <w:shd w:fill="EEEEEE"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Contracts purchased (units)</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50,746</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61,947</w:t>
            </w:r>
          </w:p>
        </w:tc>
        <w:tc>
          <w:tcPr>
            <w:tcW w:w="75" w:type="dxa"/>
            <w:tcBorders/>
            <w:shd w:fill="FFFFFF" w:val="clear"/>
            <w:vAlign w:val="center"/>
          </w:tcPr>
          <w:p>
            <w:pPr>
              <w:pStyle w:val="TableContents"/>
              <w:bidi w:val="0"/>
              <w:spacing w:before="0" w:after="283"/>
              <w:jc w:val="left"/>
              <w:rPr/>
            </w:pPr>
            <w:r>
              <w:rPr/>
              <w:t> </w:t>
            </w:r>
          </w:p>
        </w:tc>
      </w:tr>
      <w:tr>
        <w:trPr/>
        <w:tc>
          <w:tcPr>
            <w:tcW w:w="3785" w:type="dxa"/>
            <w:tcBorders/>
            <w:shd w:fill="EEEEEE" w:val="clear"/>
            <w:vAlign w:val="center"/>
          </w:tcPr>
          <w:p>
            <w:pPr>
              <w:pStyle w:val="TableContents"/>
              <w:bidi w:val="0"/>
              <w:spacing w:before="0" w:after="283"/>
              <w:jc w:val="left"/>
              <w:rPr/>
            </w:pPr>
            <w:r>
              <w:rPr/>
              <w:t>Managed portfolio outstanding (dollars)</w:t>
            </w:r>
          </w:p>
        </w:tc>
        <w:tc>
          <w:tcPr>
            <w:tcW w:w="60" w:type="dxa"/>
            <w:tcBorders/>
            <w:shd w:fill="EEEEEE" w:val="clear"/>
            <w:vAlign w:val="center"/>
          </w:tcPr>
          <w:p>
            <w:pPr>
              <w:pStyle w:val="TableContents"/>
              <w:bidi w:val="0"/>
              <w:spacing w:before="0" w:after="283"/>
              <w:jc w:val="left"/>
              <w:rPr/>
            </w:pPr>
            <w:r>
              <w:rPr/>
              <w:t> </w:t>
            </w:r>
          </w:p>
        </w:tc>
        <w:tc>
          <w:tcPr>
            <w:tcW w:w="251" w:type="dxa"/>
            <w:tcBorders/>
            <w:shd w:fill="EEEEEE" w:val="clear"/>
            <w:vAlign w:val="center"/>
          </w:tcPr>
          <w:p>
            <w:pPr>
              <w:pStyle w:val="TableContents"/>
              <w:bidi w:val="0"/>
              <w:spacing w:before="0" w:after="283"/>
              <w:jc w:val="left"/>
              <w:rPr/>
            </w:pPr>
            <w:r>
              <w:rPr/>
              <w:t>$</w:t>
            </w:r>
          </w:p>
        </w:tc>
        <w:tc>
          <w:tcPr>
            <w:tcW w:w="1436" w:type="dxa"/>
            <w:tcBorders/>
            <w:shd w:fill="EEEEEE" w:val="clear"/>
            <w:vAlign w:val="center"/>
          </w:tcPr>
          <w:p>
            <w:pPr>
              <w:pStyle w:val="TableContents"/>
              <w:bidi w:val="0"/>
              <w:spacing w:before="0" w:after="283"/>
              <w:jc w:val="right"/>
              <w:rPr/>
            </w:pPr>
            <w:r>
              <w:rPr/>
              <w:t>3,181.8</w:t>
            </w:r>
          </w:p>
        </w:tc>
        <w:tc>
          <w:tcPr>
            <w:tcW w:w="107" w:type="dxa"/>
            <w:tcBorders/>
            <w:shd w:fill="EEEEEE" w:val="clear"/>
            <w:vAlign w:val="center"/>
          </w:tcPr>
          <w:p>
            <w:pPr>
              <w:pStyle w:val="TableContents"/>
              <w:bidi w:val="0"/>
              <w:spacing w:before="0" w:after="283"/>
              <w:jc w:val="left"/>
              <w:rPr/>
            </w:pPr>
            <w:r>
              <w:rPr/>
              <w:t> </w:t>
            </w:r>
          </w:p>
        </w:tc>
        <w:tc>
          <w:tcPr>
            <w:tcW w:w="107" w:type="dxa"/>
            <w:tcBorders/>
            <w:shd w:fill="EEEEEE" w:val="clear"/>
            <w:vAlign w:val="center"/>
          </w:tcPr>
          <w:p>
            <w:pPr>
              <w:pStyle w:val="TableContents"/>
              <w:bidi w:val="0"/>
              <w:spacing w:before="0" w:after="283"/>
              <w:jc w:val="left"/>
              <w:rPr/>
            </w:pPr>
            <w:r>
              <w:rPr/>
              <w:t> </w:t>
            </w:r>
          </w:p>
        </w:tc>
        <w:tc>
          <w:tcPr>
            <w:tcW w:w="251" w:type="dxa"/>
            <w:tcBorders/>
            <w:shd w:fill="EEEEEE" w:val="clear"/>
            <w:vAlign w:val="center"/>
          </w:tcPr>
          <w:p>
            <w:pPr>
              <w:pStyle w:val="TableContents"/>
              <w:bidi w:val="0"/>
              <w:spacing w:before="0" w:after="283"/>
              <w:jc w:val="left"/>
              <w:rPr/>
            </w:pPr>
            <w:r>
              <w:rPr/>
              <w:t>$</w:t>
            </w:r>
          </w:p>
        </w:tc>
        <w:tc>
          <w:tcPr>
            <w:tcW w:w="1436" w:type="dxa"/>
            <w:tcBorders/>
            <w:shd w:fill="EEEEEE" w:val="clear"/>
            <w:vAlign w:val="center"/>
          </w:tcPr>
          <w:p>
            <w:pPr>
              <w:pStyle w:val="TableContents"/>
              <w:bidi w:val="0"/>
              <w:spacing w:before="0" w:after="283"/>
              <w:jc w:val="right"/>
              <w:rPr/>
            </w:pPr>
            <w:r>
              <w:rPr/>
              <w:t>2,838.9</w:t>
            </w:r>
          </w:p>
        </w:tc>
        <w:tc>
          <w:tcPr>
            <w:tcW w:w="75" w:type="dxa"/>
            <w:tcBorders/>
            <w:shd w:fill="EEEEEE"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Managed portfolio outstanding (units)</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189,747</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173,774</w:t>
            </w:r>
          </w:p>
        </w:tc>
        <w:tc>
          <w:tcPr>
            <w:tcW w:w="75" w:type="dxa"/>
            <w:tcBorders/>
            <w:shd w:fill="FFFFFF" w:val="clear"/>
            <w:vAlign w:val="center"/>
          </w:tcPr>
          <w:p>
            <w:pPr>
              <w:pStyle w:val="TableContents"/>
              <w:bidi w:val="0"/>
              <w:spacing w:before="0" w:after="283"/>
              <w:jc w:val="left"/>
              <w:rPr/>
            </w:pPr>
            <w:r>
              <w:rPr/>
              <w:t> </w:t>
            </w:r>
          </w:p>
        </w:tc>
      </w:tr>
      <w:tr>
        <w:trPr/>
        <w:tc>
          <w:tcPr>
            <w:tcW w:w="378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51" w:type="dxa"/>
            <w:tcBorders/>
            <w:shd w:fill="EEEEEE" w:val="clear"/>
            <w:vAlign w:val="center"/>
          </w:tcPr>
          <w:p>
            <w:pPr>
              <w:pStyle w:val="TableContents"/>
              <w:bidi w:val="0"/>
              <w:spacing w:before="0" w:after="283"/>
              <w:jc w:val="left"/>
              <w:rPr/>
            </w:pPr>
            <w:r>
              <w:rPr/>
              <w:t> </w:t>
            </w:r>
          </w:p>
        </w:tc>
        <w:tc>
          <w:tcPr>
            <w:tcW w:w="1436" w:type="dxa"/>
            <w:tcBorders/>
            <w:shd w:fill="EEEEEE" w:val="clear"/>
            <w:vAlign w:val="center"/>
          </w:tcPr>
          <w:p>
            <w:pPr>
              <w:pStyle w:val="TableContents"/>
              <w:bidi w:val="0"/>
              <w:spacing w:before="0" w:after="283"/>
              <w:jc w:val="right"/>
              <w:rPr/>
            </w:pPr>
            <w:r>
              <w:rPr/>
              <w:t> </w:t>
            </w:r>
          </w:p>
        </w:tc>
        <w:tc>
          <w:tcPr>
            <w:tcW w:w="107" w:type="dxa"/>
            <w:tcBorders/>
            <w:shd w:fill="EEEEEE" w:val="clear"/>
            <w:vAlign w:val="center"/>
          </w:tcPr>
          <w:p>
            <w:pPr>
              <w:pStyle w:val="TableContents"/>
              <w:bidi w:val="0"/>
              <w:spacing w:before="0" w:after="283"/>
              <w:jc w:val="left"/>
              <w:rPr/>
            </w:pPr>
            <w:r>
              <w:rPr/>
              <w:t> </w:t>
            </w:r>
          </w:p>
        </w:tc>
        <w:tc>
          <w:tcPr>
            <w:tcW w:w="107" w:type="dxa"/>
            <w:tcBorders/>
            <w:shd w:fill="EEEEEE" w:val="clear"/>
            <w:vAlign w:val="center"/>
          </w:tcPr>
          <w:p>
            <w:pPr>
              <w:pStyle w:val="TableContents"/>
              <w:bidi w:val="0"/>
              <w:spacing w:before="0" w:after="283"/>
              <w:jc w:val="left"/>
              <w:rPr/>
            </w:pPr>
            <w:r>
              <w:rPr/>
              <w:t> </w:t>
            </w:r>
          </w:p>
        </w:tc>
        <w:tc>
          <w:tcPr>
            <w:tcW w:w="251" w:type="dxa"/>
            <w:tcBorders/>
            <w:shd w:fill="EEEEEE" w:val="clear"/>
            <w:vAlign w:val="center"/>
          </w:tcPr>
          <w:p>
            <w:pPr>
              <w:pStyle w:val="TableContents"/>
              <w:bidi w:val="0"/>
              <w:spacing w:before="0" w:after="283"/>
              <w:jc w:val="left"/>
              <w:rPr/>
            </w:pPr>
            <w:r>
              <w:rPr/>
              <w:t> </w:t>
            </w:r>
          </w:p>
        </w:tc>
        <w:tc>
          <w:tcPr>
            <w:tcW w:w="1436" w:type="dxa"/>
            <w:tcBorders/>
            <w:shd w:fill="EEEEEE" w:val="clear"/>
            <w:vAlign w:val="center"/>
          </w:tcPr>
          <w:p>
            <w:pPr>
              <w:pStyle w:val="TableContents"/>
              <w:bidi w:val="0"/>
              <w:spacing w:before="0" w:after="283"/>
              <w:jc w:val="right"/>
              <w:rPr/>
            </w:pPr>
            <w:r>
              <w:rPr/>
              <w:t> </w:t>
            </w:r>
          </w:p>
        </w:tc>
        <w:tc>
          <w:tcPr>
            <w:tcW w:w="75" w:type="dxa"/>
            <w:tcBorders/>
            <w:shd w:fill="EEEEEE"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Number of Originations staff</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181</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187</w:t>
            </w:r>
          </w:p>
        </w:tc>
        <w:tc>
          <w:tcPr>
            <w:tcW w:w="75" w:type="dxa"/>
            <w:tcBorders/>
            <w:shd w:fill="FFFFFF" w:val="clear"/>
            <w:vAlign w:val="center"/>
          </w:tcPr>
          <w:p>
            <w:pPr>
              <w:pStyle w:val="TableContents"/>
              <w:bidi w:val="0"/>
              <w:spacing w:before="0" w:after="283"/>
              <w:jc w:val="left"/>
              <w:rPr/>
            </w:pPr>
            <w:r>
              <w:rPr/>
              <w:t> </w:t>
            </w:r>
          </w:p>
        </w:tc>
      </w:tr>
      <w:tr>
        <w:trPr/>
        <w:tc>
          <w:tcPr>
            <w:tcW w:w="3785" w:type="dxa"/>
            <w:tcBorders/>
            <w:shd w:fill="EEEEEE" w:val="clear"/>
            <w:vAlign w:val="center"/>
          </w:tcPr>
          <w:p>
            <w:pPr>
              <w:pStyle w:val="TableContents"/>
              <w:bidi w:val="0"/>
              <w:spacing w:before="0" w:after="283"/>
              <w:jc w:val="left"/>
              <w:rPr/>
            </w:pPr>
            <w:r>
              <w:rPr/>
              <w:t>Number of Sales staff</w:t>
            </w:r>
          </w:p>
        </w:tc>
        <w:tc>
          <w:tcPr>
            <w:tcW w:w="60" w:type="dxa"/>
            <w:tcBorders/>
            <w:shd w:fill="EEEEEE" w:val="clear"/>
            <w:vAlign w:val="center"/>
          </w:tcPr>
          <w:p>
            <w:pPr>
              <w:pStyle w:val="TableContents"/>
              <w:bidi w:val="0"/>
              <w:spacing w:before="0" w:after="283"/>
              <w:jc w:val="left"/>
              <w:rPr/>
            </w:pPr>
            <w:r>
              <w:rPr/>
              <w:t> </w:t>
            </w:r>
          </w:p>
        </w:tc>
        <w:tc>
          <w:tcPr>
            <w:tcW w:w="251" w:type="dxa"/>
            <w:tcBorders/>
            <w:shd w:fill="EEEEEE" w:val="clear"/>
            <w:vAlign w:val="center"/>
          </w:tcPr>
          <w:p>
            <w:pPr>
              <w:pStyle w:val="TableContents"/>
              <w:bidi w:val="0"/>
              <w:spacing w:before="0" w:after="283"/>
              <w:jc w:val="left"/>
              <w:rPr/>
            </w:pPr>
            <w:r>
              <w:rPr/>
              <w:t> </w:t>
            </w:r>
          </w:p>
        </w:tc>
        <w:tc>
          <w:tcPr>
            <w:tcW w:w="1436" w:type="dxa"/>
            <w:tcBorders/>
            <w:shd w:fill="EEEEEE" w:val="clear"/>
            <w:vAlign w:val="center"/>
          </w:tcPr>
          <w:p>
            <w:pPr>
              <w:pStyle w:val="TableContents"/>
              <w:bidi w:val="0"/>
              <w:spacing w:before="0" w:after="283"/>
              <w:jc w:val="right"/>
              <w:rPr/>
            </w:pPr>
            <w:r>
              <w:rPr/>
              <w:t>103</w:t>
            </w:r>
          </w:p>
        </w:tc>
        <w:tc>
          <w:tcPr>
            <w:tcW w:w="107" w:type="dxa"/>
            <w:tcBorders/>
            <w:shd w:fill="EEEEEE" w:val="clear"/>
            <w:vAlign w:val="center"/>
          </w:tcPr>
          <w:p>
            <w:pPr>
              <w:pStyle w:val="TableContents"/>
              <w:bidi w:val="0"/>
              <w:spacing w:before="0" w:after="283"/>
              <w:jc w:val="left"/>
              <w:rPr/>
            </w:pPr>
            <w:r>
              <w:rPr/>
              <w:t> </w:t>
            </w:r>
          </w:p>
        </w:tc>
        <w:tc>
          <w:tcPr>
            <w:tcW w:w="107" w:type="dxa"/>
            <w:tcBorders/>
            <w:shd w:fill="EEEEEE" w:val="clear"/>
            <w:vAlign w:val="center"/>
          </w:tcPr>
          <w:p>
            <w:pPr>
              <w:pStyle w:val="TableContents"/>
              <w:bidi w:val="0"/>
              <w:spacing w:before="0" w:after="283"/>
              <w:jc w:val="left"/>
              <w:rPr/>
            </w:pPr>
            <w:r>
              <w:rPr/>
              <w:t> </w:t>
            </w:r>
          </w:p>
        </w:tc>
        <w:tc>
          <w:tcPr>
            <w:tcW w:w="251" w:type="dxa"/>
            <w:tcBorders/>
            <w:shd w:fill="EEEEEE" w:val="clear"/>
            <w:vAlign w:val="center"/>
          </w:tcPr>
          <w:p>
            <w:pPr>
              <w:pStyle w:val="TableContents"/>
              <w:bidi w:val="0"/>
              <w:spacing w:before="0" w:after="283"/>
              <w:jc w:val="left"/>
              <w:rPr/>
            </w:pPr>
            <w:r>
              <w:rPr/>
              <w:t> </w:t>
            </w:r>
          </w:p>
        </w:tc>
        <w:tc>
          <w:tcPr>
            <w:tcW w:w="1436" w:type="dxa"/>
            <w:tcBorders/>
            <w:shd w:fill="EEEEEE" w:val="clear"/>
            <w:vAlign w:val="center"/>
          </w:tcPr>
          <w:p>
            <w:pPr>
              <w:pStyle w:val="TableContents"/>
              <w:bidi w:val="0"/>
              <w:spacing w:before="0" w:after="283"/>
              <w:jc w:val="right"/>
              <w:rPr/>
            </w:pPr>
            <w:r>
              <w:rPr/>
              <w:t>134</w:t>
            </w:r>
          </w:p>
        </w:tc>
        <w:tc>
          <w:tcPr>
            <w:tcW w:w="75" w:type="dxa"/>
            <w:tcBorders/>
            <w:shd w:fill="EEEEEE"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Number of Servicing staff</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511</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404</w:t>
            </w:r>
          </w:p>
        </w:tc>
        <w:tc>
          <w:tcPr>
            <w:tcW w:w="75" w:type="dxa"/>
            <w:tcBorders/>
            <w:shd w:fill="FFFFFF" w:val="clear"/>
            <w:vAlign w:val="center"/>
          </w:tcPr>
          <w:p>
            <w:pPr>
              <w:pStyle w:val="TableContents"/>
              <w:bidi w:val="0"/>
              <w:spacing w:before="0" w:after="283"/>
              <w:jc w:val="left"/>
              <w:rPr/>
            </w:pPr>
            <w:r>
              <w:rPr/>
              <w:t> </w:t>
            </w:r>
          </w:p>
        </w:tc>
      </w:tr>
      <w:tr>
        <w:trPr/>
        <w:tc>
          <w:tcPr>
            <w:tcW w:w="3785" w:type="dxa"/>
            <w:tcBorders/>
            <w:shd w:fill="EEEEEE" w:val="clear"/>
            <w:vAlign w:val="center"/>
          </w:tcPr>
          <w:p>
            <w:pPr>
              <w:pStyle w:val="TableContents"/>
              <w:bidi w:val="0"/>
              <w:spacing w:before="0" w:after="283"/>
              <w:jc w:val="left"/>
              <w:rPr/>
            </w:pPr>
            <w:r>
              <w:rPr/>
              <w:t>Number of other staff</w:t>
            </w:r>
          </w:p>
        </w:tc>
        <w:tc>
          <w:tcPr>
            <w:tcW w:w="60" w:type="dxa"/>
            <w:tcBorders/>
            <w:shd w:fill="EEEEEE" w:val="clear"/>
            <w:vAlign w:val="center"/>
          </w:tcPr>
          <w:p>
            <w:pPr>
              <w:pStyle w:val="TableContents"/>
              <w:bidi w:val="0"/>
              <w:spacing w:before="0" w:after="283"/>
              <w:jc w:val="left"/>
              <w:rPr/>
            </w:pPr>
            <w:r>
              <w:rPr/>
              <w:t> </w:t>
            </w:r>
          </w:p>
        </w:tc>
        <w:tc>
          <w:tcPr>
            <w:tcW w:w="25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EEEEEE" w:val="clear"/>
            <w:tcMar>
              <w:bottom w:w="28" w:type="dxa"/>
            </w:tcMar>
            <w:vAlign w:val="center"/>
          </w:tcPr>
          <w:p>
            <w:pPr>
              <w:pStyle w:val="TableContents"/>
              <w:bidi w:val="0"/>
              <w:spacing w:before="0" w:after="283"/>
              <w:jc w:val="right"/>
              <w:rPr/>
            </w:pPr>
            <w:r>
              <w:rPr/>
              <w:t>72</w:t>
            </w:r>
          </w:p>
        </w:tc>
        <w:tc>
          <w:tcPr>
            <w:tcW w:w="107" w:type="dxa"/>
            <w:tcBorders/>
            <w:shd w:fill="EEEEEE" w:val="clear"/>
            <w:vAlign w:val="center"/>
          </w:tcPr>
          <w:p>
            <w:pPr>
              <w:pStyle w:val="TableContents"/>
              <w:bidi w:val="0"/>
              <w:spacing w:before="0" w:after="283"/>
              <w:jc w:val="left"/>
              <w:rPr/>
            </w:pPr>
            <w:r>
              <w:rPr/>
              <w:t> </w:t>
            </w:r>
          </w:p>
        </w:tc>
        <w:tc>
          <w:tcPr>
            <w:tcW w:w="107" w:type="dxa"/>
            <w:tcBorders/>
            <w:shd w:fill="EEEEEE" w:val="clear"/>
            <w:vAlign w:val="center"/>
          </w:tcPr>
          <w:p>
            <w:pPr>
              <w:pStyle w:val="TableContents"/>
              <w:bidi w:val="0"/>
              <w:spacing w:before="0" w:after="283"/>
              <w:jc w:val="left"/>
              <w:rPr/>
            </w:pPr>
            <w:r>
              <w:rPr/>
              <w:t> </w:t>
            </w:r>
          </w:p>
        </w:tc>
        <w:tc>
          <w:tcPr>
            <w:tcW w:w="25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EEEEEE" w:val="clear"/>
            <w:tcMar>
              <w:bottom w:w="28" w:type="dxa"/>
            </w:tcMar>
            <w:vAlign w:val="center"/>
          </w:tcPr>
          <w:p>
            <w:pPr>
              <w:pStyle w:val="TableContents"/>
              <w:bidi w:val="0"/>
              <w:spacing w:before="0" w:after="283"/>
              <w:jc w:val="right"/>
              <w:rPr/>
            </w:pPr>
            <w:r>
              <w:rPr/>
              <w:t>67</w:t>
            </w:r>
          </w:p>
        </w:tc>
        <w:tc>
          <w:tcPr>
            <w:tcW w:w="75" w:type="dxa"/>
            <w:tcBorders/>
            <w:shd w:fill="EEEEEE"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Total number of employees</w:t>
            </w:r>
          </w:p>
        </w:tc>
        <w:tc>
          <w:tcPr>
            <w:tcW w:w="60"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36" w:type="dxa"/>
            <w:tcBorders>
              <w:bottom w:val="double" w:sz="6" w:space="0" w:color="000000"/>
            </w:tcBorders>
            <w:shd w:fill="FFFFFF" w:val="clear"/>
            <w:tcMar>
              <w:bottom w:w="28" w:type="dxa"/>
            </w:tcMar>
            <w:vAlign w:val="center"/>
          </w:tcPr>
          <w:p>
            <w:pPr>
              <w:pStyle w:val="TableContents"/>
              <w:bidi w:val="0"/>
              <w:spacing w:before="0" w:after="283"/>
              <w:jc w:val="right"/>
              <w:rPr/>
            </w:pPr>
            <w:r>
              <w:rPr/>
              <w:t>867</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36" w:type="dxa"/>
            <w:tcBorders>
              <w:bottom w:val="double" w:sz="6" w:space="0" w:color="000000"/>
            </w:tcBorders>
            <w:shd w:fill="FFFFFF" w:val="clear"/>
            <w:tcMar>
              <w:bottom w:w="28" w:type="dxa"/>
            </w:tcMar>
            <w:vAlign w:val="center"/>
          </w:tcPr>
          <w:p>
            <w:pPr>
              <w:pStyle w:val="TableContents"/>
              <w:bidi w:val="0"/>
              <w:spacing w:before="0" w:after="283"/>
              <w:jc w:val="right"/>
              <w:rPr/>
            </w:pPr>
            <w:r>
              <w:rPr/>
              <w:t>792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include costs associated with purchasing and servicing our portfolio of finance receivables, including expenses for facilities, credit services, and telecommunications. General and administrative expenses was $36.2 million for the nine months ended September 30, 2023, an increase of $10.3 million from $25.9 million in the prior year period.</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for the nine months ended September 30, 2023 was $106.4 million, compared to $58.7 million in the previous year, an increase of $47.7 million.</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securitization trust debt increased by $39.5 million for the nine months ended September 30, 2023 compared to the prior period. The average balance of securitization trust debt increased to $2,322.0 million for the nine months ended September 30, 2023 compared to $1,959.5 million for the nine months ended September 30, 2022. The annualized average rate on our securitization trust debt was 5.0% for the nine months ended September 30, 2023 compared to 3.3% in the prior year period. The blended interest rates on new term securitizations have been increasing since 2022. For each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to accept, which in turn, is influenced by investor demand for our bonds at the time of the securitization. These and other factors have resulted in fluctuations in our securitization trust debt interest costs. The blended interest rates of our recent securitizations are summarized in the table below:</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Blended Cost of Funds on Recent Asset-Backed Term Securitizations</w:t>
      </w:r>
    </w:p>
    <w:p>
      <w:pPr>
        <w:pStyle w:val="TextBody"/>
        <w:bidi w:val="0"/>
        <w:spacing w:before="0" w:after="0"/>
        <w:jc w:val="center"/>
        <w:rPr>
          <w:caps w:val="false"/>
          <w:smallCaps w:val="false"/>
        </w:rPr>
      </w:pPr>
      <w:r>
        <w:rPr>
          <w:caps w:val="false"/>
          <w:smallCaps w:val="false"/>
        </w:rPr>
        <w:t> </w:t>
      </w:r>
    </w:p>
    <w:tbl>
      <w:tblPr>
        <w:tblW w:w="3970" w:type="dxa"/>
        <w:jc w:val="left"/>
        <w:tblInd w:w="0" w:type="dxa"/>
        <w:tblLayout w:type="fixed"/>
        <w:tblCellMar>
          <w:top w:w="0" w:type="dxa"/>
          <w:left w:w="0" w:type="dxa"/>
          <w:bottom w:w="28" w:type="dxa"/>
          <w:right w:w="0" w:type="dxa"/>
        </w:tblCellMar>
      </w:tblPr>
      <w:tblGrid>
        <w:gridCol w:w="1565"/>
        <w:gridCol w:w="60"/>
        <w:gridCol w:w="2345"/>
      </w:tblGrid>
      <w:tr>
        <w:trPr/>
        <w:tc>
          <w:tcPr>
            <w:tcW w:w="1565" w:type="dxa"/>
            <w:tcBorders>
              <w:bottom w:val="single" w:sz="4" w:space="0" w:color="000000"/>
            </w:tcBorders>
            <w:vAlign w:val="center"/>
          </w:tcPr>
          <w:p>
            <w:pPr>
              <w:pStyle w:val="TableContents"/>
              <w:bidi w:val="0"/>
              <w:spacing w:before="0" w:after="283"/>
              <w:jc w:val="center"/>
              <w:rPr>
                <w:b/>
              </w:rPr>
            </w:pPr>
            <w:r>
              <w:rPr>
                <w:b/>
              </w:rPr>
              <w:t>Period</w:t>
            </w:r>
          </w:p>
        </w:tc>
        <w:tc>
          <w:tcPr>
            <w:tcW w:w="60" w:type="dxa"/>
            <w:tcBorders/>
            <w:tcMar>
              <w:bottom w:w="0" w:type="dxa"/>
            </w:tcMar>
            <w:vAlign w:val="center"/>
          </w:tcPr>
          <w:p>
            <w:pPr>
              <w:pStyle w:val="TableContents"/>
              <w:bidi w:val="0"/>
              <w:spacing w:before="0" w:after="283"/>
              <w:jc w:val="left"/>
              <w:rPr/>
            </w:pPr>
            <w:r>
              <w:rPr/>
              <w:t> </w:t>
            </w:r>
          </w:p>
        </w:tc>
        <w:tc>
          <w:tcPr>
            <w:tcW w:w="2345" w:type="dxa"/>
            <w:tcBorders>
              <w:bottom w:val="single" w:sz="4" w:space="0" w:color="000000"/>
            </w:tcBorders>
            <w:vAlign w:val="center"/>
          </w:tcPr>
          <w:p>
            <w:pPr>
              <w:pStyle w:val="TableContents"/>
              <w:bidi w:val="0"/>
              <w:spacing w:before="0" w:after="283"/>
              <w:jc w:val="center"/>
              <w:rPr>
                <w:b/>
              </w:rPr>
            </w:pPr>
            <w:r>
              <w:rPr>
                <w:b/>
              </w:rPr>
              <w:t>Blended Cost of Funds</w:t>
            </w:r>
          </w:p>
        </w:tc>
      </w:tr>
      <w:tr>
        <w:trPr/>
        <w:tc>
          <w:tcPr>
            <w:tcW w:w="1565" w:type="dxa"/>
            <w:tcBorders/>
            <w:shd w:fill="EEEEEE" w:val="clear"/>
            <w:tcMar>
              <w:bottom w:w="0" w:type="dxa"/>
            </w:tcMar>
            <w:vAlign w:val="center"/>
          </w:tcPr>
          <w:p>
            <w:pPr>
              <w:pStyle w:val="TableContents"/>
              <w:bidi w:val="0"/>
              <w:spacing w:before="0" w:after="283"/>
              <w:jc w:val="center"/>
              <w:rPr/>
            </w:pPr>
            <w:r>
              <w:rPr/>
              <w:t>January 2020</w:t>
            </w:r>
          </w:p>
        </w:tc>
        <w:tc>
          <w:tcPr>
            <w:tcW w:w="60" w:type="dxa"/>
            <w:tcBorders/>
            <w:shd w:fill="EEEEEE" w:val="clear"/>
            <w:tcMar>
              <w:bottom w:w="0" w:type="dxa"/>
            </w:tcMar>
            <w:vAlign w:val="center"/>
          </w:tcPr>
          <w:p>
            <w:pPr>
              <w:pStyle w:val="TableContents"/>
              <w:bidi w:val="0"/>
              <w:spacing w:before="0" w:after="283"/>
              <w:jc w:val="left"/>
              <w:rPr/>
            </w:pPr>
            <w:r>
              <w:rPr/>
              <w:t> </w:t>
            </w:r>
          </w:p>
        </w:tc>
        <w:tc>
          <w:tcPr>
            <w:tcW w:w="2345" w:type="dxa"/>
            <w:tcBorders/>
            <w:shd w:fill="EEEEEE" w:val="clear"/>
            <w:tcMar>
              <w:bottom w:w="0" w:type="dxa"/>
            </w:tcMar>
            <w:vAlign w:val="center"/>
          </w:tcPr>
          <w:p>
            <w:pPr>
              <w:pStyle w:val="TableContents"/>
              <w:bidi w:val="0"/>
              <w:spacing w:before="0" w:after="283"/>
              <w:jc w:val="center"/>
              <w:rPr/>
            </w:pPr>
            <w:r>
              <w:rPr/>
              <w:t>3.08%</w:t>
            </w:r>
          </w:p>
        </w:tc>
      </w:tr>
      <w:tr>
        <w:trPr/>
        <w:tc>
          <w:tcPr>
            <w:tcW w:w="1565" w:type="dxa"/>
            <w:tcBorders/>
            <w:shd w:fill="FFFFFF" w:val="clear"/>
            <w:tcMar>
              <w:bottom w:w="0" w:type="dxa"/>
            </w:tcMar>
            <w:vAlign w:val="center"/>
          </w:tcPr>
          <w:p>
            <w:pPr>
              <w:pStyle w:val="TableContents"/>
              <w:bidi w:val="0"/>
              <w:spacing w:before="0" w:after="283"/>
              <w:jc w:val="center"/>
              <w:rPr/>
            </w:pPr>
            <w:r>
              <w:rPr/>
              <w:t>June 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45" w:type="dxa"/>
            <w:tcBorders/>
            <w:shd w:fill="FFFFFF" w:val="clear"/>
            <w:tcMar>
              <w:bottom w:w="0" w:type="dxa"/>
            </w:tcMar>
            <w:vAlign w:val="center"/>
          </w:tcPr>
          <w:p>
            <w:pPr>
              <w:pStyle w:val="TableContents"/>
              <w:bidi w:val="0"/>
              <w:spacing w:before="0" w:after="283"/>
              <w:jc w:val="center"/>
              <w:rPr/>
            </w:pPr>
            <w:r>
              <w:rPr/>
              <w:t>4.09%</w:t>
            </w:r>
          </w:p>
        </w:tc>
      </w:tr>
      <w:tr>
        <w:trPr/>
        <w:tc>
          <w:tcPr>
            <w:tcW w:w="1565" w:type="dxa"/>
            <w:tcBorders/>
            <w:shd w:fill="EEEEEE" w:val="clear"/>
            <w:tcMar>
              <w:bottom w:w="0" w:type="dxa"/>
            </w:tcMar>
            <w:vAlign w:val="center"/>
          </w:tcPr>
          <w:p>
            <w:pPr>
              <w:pStyle w:val="TableContents"/>
              <w:bidi w:val="0"/>
              <w:spacing w:before="0" w:after="283"/>
              <w:jc w:val="center"/>
              <w:rPr/>
            </w:pPr>
            <w:r>
              <w:rPr/>
              <w:t>September 2020</w:t>
            </w:r>
          </w:p>
        </w:tc>
        <w:tc>
          <w:tcPr>
            <w:tcW w:w="60" w:type="dxa"/>
            <w:tcBorders/>
            <w:shd w:fill="EEEEEE" w:val="clear"/>
            <w:tcMar>
              <w:bottom w:w="0" w:type="dxa"/>
            </w:tcMar>
            <w:vAlign w:val="center"/>
          </w:tcPr>
          <w:p>
            <w:pPr>
              <w:pStyle w:val="TableContents"/>
              <w:bidi w:val="0"/>
              <w:spacing w:before="0" w:after="283"/>
              <w:jc w:val="left"/>
              <w:rPr/>
            </w:pPr>
            <w:r>
              <w:rPr/>
              <w:t> </w:t>
            </w:r>
          </w:p>
        </w:tc>
        <w:tc>
          <w:tcPr>
            <w:tcW w:w="2345" w:type="dxa"/>
            <w:tcBorders/>
            <w:shd w:fill="EEEEEE" w:val="clear"/>
            <w:tcMar>
              <w:bottom w:w="0" w:type="dxa"/>
            </w:tcMar>
            <w:vAlign w:val="center"/>
          </w:tcPr>
          <w:p>
            <w:pPr>
              <w:pStyle w:val="TableContents"/>
              <w:bidi w:val="0"/>
              <w:spacing w:before="0" w:after="283"/>
              <w:jc w:val="center"/>
              <w:rPr/>
            </w:pPr>
            <w:r>
              <w:rPr/>
              <w:t>2.39%</w:t>
            </w:r>
          </w:p>
        </w:tc>
      </w:tr>
      <w:tr>
        <w:trPr/>
        <w:tc>
          <w:tcPr>
            <w:tcW w:w="1565" w:type="dxa"/>
            <w:tcBorders/>
            <w:shd w:fill="FFFFFF" w:val="clear"/>
            <w:tcMar>
              <w:bottom w:w="0" w:type="dxa"/>
            </w:tcMar>
            <w:vAlign w:val="center"/>
          </w:tcPr>
          <w:p>
            <w:pPr>
              <w:pStyle w:val="TableContents"/>
              <w:bidi w:val="0"/>
              <w:spacing w:before="0" w:after="283"/>
              <w:jc w:val="center"/>
              <w:rPr/>
            </w:pPr>
            <w:r>
              <w:rPr/>
              <w:t>January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45" w:type="dxa"/>
            <w:tcBorders/>
            <w:shd w:fill="FFFFFF" w:val="clear"/>
            <w:tcMar>
              <w:bottom w:w="0" w:type="dxa"/>
            </w:tcMar>
            <w:vAlign w:val="center"/>
          </w:tcPr>
          <w:p>
            <w:pPr>
              <w:pStyle w:val="TableContents"/>
              <w:bidi w:val="0"/>
              <w:spacing w:before="0" w:after="283"/>
              <w:jc w:val="center"/>
              <w:rPr/>
            </w:pPr>
            <w:r>
              <w:rPr/>
              <w:t>1.11%</w:t>
            </w:r>
          </w:p>
        </w:tc>
      </w:tr>
      <w:tr>
        <w:trPr/>
        <w:tc>
          <w:tcPr>
            <w:tcW w:w="1565" w:type="dxa"/>
            <w:tcBorders/>
            <w:shd w:fill="EEEEEE" w:val="clear"/>
            <w:tcMar>
              <w:bottom w:w="0" w:type="dxa"/>
            </w:tcMar>
            <w:vAlign w:val="center"/>
          </w:tcPr>
          <w:p>
            <w:pPr>
              <w:pStyle w:val="TableContents"/>
              <w:bidi w:val="0"/>
              <w:spacing w:before="0" w:after="283"/>
              <w:jc w:val="center"/>
              <w:rPr/>
            </w:pPr>
            <w:r>
              <w:rPr/>
              <w:t>April 2021</w:t>
            </w:r>
          </w:p>
        </w:tc>
        <w:tc>
          <w:tcPr>
            <w:tcW w:w="60" w:type="dxa"/>
            <w:tcBorders/>
            <w:shd w:fill="EEEEEE" w:val="clear"/>
            <w:tcMar>
              <w:bottom w:w="0" w:type="dxa"/>
            </w:tcMar>
            <w:vAlign w:val="center"/>
          </w:tcPr>
          <w:p>
            <w:pPr>
              <w:pStyle w:val="TableContents"/>
              <w:bidi w:val="0"/>
              <w:spacing w:before="0" w:after="283"/>
              <w:jc w:val="left"/>
              <w:rPr/>
            </w:pPr>
            <w:r>
              <w:rPr/>
              <w:t> </w:t>
            </w:r>
          </w:p>
        </w:tc>
        <w:tc>
          <w:tcPr>
            <w:tcW w:w="2345" w:type="dxa"/>
            <w:tcBorders/>
            <w:shd w:fill="EEEEEE" w:val="clear"/>
            <w:tcMar>
              <w:bottom w:w="0" w:type="dxa"/>
            </w:tcMar>
            <w:vAlign w:val="center"/>
          </w:tcPr>
          <w:p>
            <w:pPr>
              <w:pStyle w:val="TableContents"/>
              <w:bidi w:val="0"/>
              <w:spacing w:before="0" w:after="283"/>
              <w:jc w:val="center"/>
              <w:rPr/>
            </w:pPr>
            <w:r>
              <w:rPr/>
              <w:t>1.65%</w:t>
            </w:r>
          </w:p>
        </w:tc>
      </w:tr>
      <w:tr>
        <w:trPr/>
        <w:tc>
          <w:tcPr>
            <w:tcW w:w="1565" w:type="dxa"/>
            <w:tcBorders/>
            <w:shd w:fill="FFFFFF" w:val="clear"/>
            <w:tcMar>
              <w:bottom w:w="0" w:type="dxa"/>
            </w:tcMar>
            <w:vAlign w:val="center"/>
          </w:tcPr>
          <w:p>
            <w:pPr>
              <w:pStyle w:val="TableContents"/>
              <w:bidi w:val="0"/>
              <w:spacing w:before="0" w:after="283"/>
              <w:jc w:val="center"/>
              <w:rPr/>
            </w:pPr>
            <w:r>
              <w:rPr/>
              <w:t>July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45" w:type="dxa"/>
            <w:tcBorders/>
            <w:shd w:fill="FFFFFF" w:val="clear"/>
            <w:tcMar>
              <w:bottom w:w="0" w:type="dxa"/>
            </w:tcMar>
            <w:vAlign w:val="center"/>
          </w:tcPr>
          <w:p>
            <w:pPr>
              <w:pStyle w:val="TableContents"/>
              <w:bidi w:val="0"/>
              <w:spacing w:before="0" w:after="283"/>
              <w:jc w:val="center"/>
              <w:rPr/>
            </w:pPr>
            <w:r>
              <w:rPr/>
              <w:t>1.55%</w:t>
            </w:r>
          </w:p>
        </w:tc>
      </w:tr>
      <w:tr>
        <w:trPr/>
        <w:tc>
          <w:tcPr>
            <w:tcW w:w="1565" w:type="dxa"/>
            <w:tcBorders/>
            <w:shd w:fill="EEEEEE" w:val="clear"/>
            <w:tcMar>
              <w:bottom w:w="0" w:type="dxa"/>
            </w:tcMar>
            <w:vAlign w:val="center"/>
          </w:tcPr>
          <w:p>
            <w:pPr>
              <w:pStyle w:val="TableContents"/>
              <w:bidi w:val="0"/>
              <w:spacing w:before="0" w:after="283"/>
              <w:jc w:val="center"/>
              <w:rPr/>
            </w:pPr>
            <w:r>
              <w:rPr/>
              <w:t>October 2021</w:t>
            </w:r>
          </w:p>
        </w:tc>
        <w:tc>
          <w:tcPr>
            <w:tcW w:w="60" w:type="dxa"/>
            <w:tcBorders/>
            <w:shd w:fill="EEEEEE" w:val="clear"/>
            <w:tcMar>
              <w:bottom w:w="0" w:type="dxa"/>
            </w:tcMar>
            <w:vAlign w:val="center"/>
          </w:tcPr>
          <w:p>
            <w:pPr>
              <w:pStyle w:val="TableContents"/>
              <w:bidi w:val="0"/>
              <w:spacing w:before="0" w:after="283"/>
              <w:jc w:val="left"/>
              <w:rPr/>
            </w:pPr>
            <w:r>
              <w:rPr/>
              <w:t> </w:t>
            </w:r>
          </w:p>
        </w:tc>
        <w:tc>
          <w:tcPr>
            <w:tcW w:w="2345" w:type="dxa"/>
            <w:tcBorders/>
            <w:shd w:fill="EEEEEE" w:val="clear"/>
            <w:tcMar>
              <w:bottom w:w="0" w:type="dxa"/>
            </w:tcMar>
            <w:vAlign w:val="center"/>
          </w:tcPr>
          <w:p>
            <w:pPr>
              <w:pStyle w:val="TableContents"/>
              <w:bidi w:val="0"/>
              <w:spacing w:before="0" w:after="283"/>
              <w:jc w:val="center"/>
              <w:rPr/>
            </w:pPr>
            <w:r>
              <w:rPr/>
              <w:t>2.09%</w:t>
            </w:r>
          </w:p>
        </w:tc>
      </w:tr>
      <w:tr>
        <w:trPr/>
        <w:tc>
          <w:tcPr>
            <w:tcW w:w="1565" w:type="dxa"/>
            <w:tcBorders/>
            <w:shd w:fill="FFFFFF" w:val="clear"/>
            <w:tcMar>
              <w:bottom w:w="0" w:type="dxa"/>
            </w:tcMar>
            <w:vAlign w:val="center"/>
          </w:tcPr>
          <w:p>
            <w:pPr>
              <w:pStyle w:val="TableContents"/>
              <w:bidi w:val="0"/>
              <w:spacing w:before="0" w:after="283"/>
              <w:jc w:val="center"/>
              <w:rPr/>
            </w:pPr>
            <w:r>
              <w:rPr/>
              <w:t>January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45" w:type="dxa"/>
            <w:tcBorders/>
            <w:shd w:fill="FFFFFF" w:val="clear"/>
            <w:tcMar>
              <w:bottom w:w="0" w:type="dxa"/>
            </w:tcMar>
            <w:vAlign w:val="center"/>
          </w:tcPr>
          <w:p>
            <w:pPr>
              <w:pStyle w:val="TableContents"/>
              <w:bidi w:val="0"/>
              <w:spacing w:before="0" w:after="283"/>
              <w:jc w:val="center"/>
              <w:rPr/>
            </w:pPr>
            <w:r>
              <w:rPr/>
              <w:t>2.54%</w:t>
            </w:r>
          </w:p>
        </w:tc>
      </w:tr>
      <w:tr>
        <w:trPr/>
        <w:tc>
          <w:tcPr>
            <w:tcW w:w="1565" w:type="dxa"/>
            <w:tcBorders/>
            <w:shd w:fill="EEEEEE" w:val="clear"/>
            <w:tcMar>
              <w:bottom w:w="0" w:type="dxa"/>
            </w:tcMar>
            <w:vAlign w:val="center"/>
          </w:tcPr>
          <w:p>
            <w:pPr>
              <w:pStyle w:val="TableContents"/>
              <w:bidi w:val="0"/>
              <w:spacing w:before="0" w:after="283"/>
              <w:jc w:val="center"/>
              <w:rPr/>
            </w:pPr>
            <w:r>
              <w:rPr/>
              <w:t>April 2022</w:t>
            </w:r>
          </w:p>
        </w:tc>
        <w:tc>
          <w:tcPr>
            <w:tcW w:w="60" w:type="dxa"/>
            <w:tcBorders/>
            <w:shd w:fill="EEEEEE" w:val="clear"/>
            <w:tcMar>
              <w:bottom w:w="0" w:type="dxa"/>
            </w:tcMar>
            <w:vAlign w:val="center"/>
          </w:tcPr>
          <w:p>
            <w:pPr>
              <w:pStyle w:val="TableContents"/>
              <w:bidi w:val="0"/>
              <w:spacing w:before="0" w:after="283"/>
              <w:jc w:val="left"/>
              <w:rPr/>
            </w:pPr>
            <w:r>
              <w:rPr/>
              <w:t> </w:t>
            </w:r>
          </w:p>
        </w:tc>
        <w:tc>
          <w:tcPr>
            <w:tcW w:w="2345" w:type="dxa"/>
            <w:tcBorders/>
            <w:shd w:fill="EEEEEE" w:val="clear"/>
            <w:tcMar>
              <w:bottom w:w="0" w:type="dxa"/>
            </w:tcMar>
            <w:vAlign w:val="center"/>
          </w:tcPr>
          <w:p>
            <w:pPr>
              <w:pStyle w:val="TableContents"/>
              <w:bidi w:val="0"/>
              <w:spacing w:before="0" w:after="283"/>
              <w:jc w:val="center"/>
              <w:rPr/>
            </w:pPr>
            <w:r>
              <w:rPr/>
              <w:t>4.83%</w:t>
            </w:r>
          </w:p>
        </w:tc>
      </w:tr>
      <w:tr>
        <w:trPr/>
        <w:tc>
          <w:tcPr>
            <w:tcW w:w="1565" w:type="dxa"/>
            <w:tcBorders/>
            <w:shd w:fill="FFFFFF" w:val="clear"/>
            <w:tcMar>
              <w:bottom w:w="0" w:type="dxa"/>
            </w:tcMar>
            <w:vAlign w:val="center"/>
          </w:tcPr>
          <w:p>
            <w:pPr>
              <w:pStyle w:val="TableContents"/>
              <w:bidi w:val="0"/>
              <w:spacing w:before="0" w:after="283"/>
              <w:jc w:val="center"/>
              <w:rPr/>
            </w:pPr>
            <w:r>
              <w:rPr/>
              <w:t>July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45" w:type="dxa"/>
            <w:tcBorders/>
            <w:shd w:fill="FFFFFF" w:val="clear"/>
            <w:tcMar>
              <w:bottom w:w="0" w:type="dxa"/>
            </w:tcMar>
            <w:vAlign w:val="center"/>
          </w:tcPr>
          <w:p>
            <w:pPr>
              <w:pStyle w:val="TableContents"/>
              <w:bidi w:val="0"/>
              <w:spacing w:before="0" w:after="283"/>
              <w:jc w:val="center"/>
              <w:rPr/>
            </w:pPr>
            <w:r>
              <w:rPr/>
              <w:t>6.02%</w:t>
            </w:r>
          </w:p>
        </w:tc>
      </w:tr>
      <w:tr>
        <w:trPr/>
        <w:tc>
          <w:tcPr>
            <w:tcW w:w="1565" w:type="dxa"/>
            <w:tcBorders/>
            <w:shd w:fill="EEEEEE" w:val="clear"/>
            <w:tcMar>
              <w:bottom w:w="0" w:type="dxa"/>
            </w:tcMar>
            <w:vAlign w:val="center"/>
          </w:tcPr>
          <w:p>
            <w:pPr>
              <w:pStyle w:val="TableContents"/>
              <w:bidi w:val="0"/>
              <w:spacing w:before="0" w:after="283"/>
              <w:jc w:val="center"/>
              <w:rPr/>
            </w:pPr>
            <w:r>
              <w:rPr/>
              <w:t>October 2022</w:t>
            </w:r>
          </w:p>
        </w:tc>
        <w:tc>
          <w:tcPr>
            <w:tcW w:w="60" w:type="dxa"/>
            <w:tcBorders/>
            <w:shd w:fill="EEEEEE" w:val="clear"/>
            <w:tcMar>
              <w:bottom w:w="0" w:type="dxa"/>
            </w:tcMar>
            <w:vAlign w:val="center"/>
          </w:tcPr>
          <w:p>
            <w:pPr>
              <w:pStyle w:val="TableContents"/>
              <w:bidi w:val="0"/>
              <w:spacing w:before="0" w:after="283"/>
              <w:jc w:val="left"/>
              <w:rPr/>
            </w:pPr>
            <w:r>
              <w:rPr/>
              <w:t> </w:t>
            </w:r>
          </w:p>
        </w:tc>
        <w:tc>
          <w:tcPr>
            <w:tcW w:w="2345" w:type="dxa"/>
            <w:tcBorders/>
            <w:shd w:fill="EEEEEE" w:val="clear"/>
            <w:tcMar>
              <w:bottom w:w="0" w:type="dxa"/>
            </w:tcMar>
            <w:vAlign w:val="center"/>
          </w:tcPr>
          <w:p>
            <w:pPr>
              <w:pStyle w:val="TableContents"/>
              <w:bidi w:val="0"/>
              <w:spacing w:before="0" w:after="283"/>
              <w:jc w:val="center"/>
              <w:rPr/>
            </w:pPr>
            <w:r>
              <w:rPr/>
              <w:t>8.48%</w:t>
            </w:r>
          </w:p>
        </w:tc>
      </w:tr>
      <w:tr>
        <w:trPr/>
        <w:tc>
          <w:tcPr>
            <w:tcW w:w="1565" w:type="dxa"/>
            <w:tcBorders/>
            <w:shd w:fill="FFFFFF" w:val="clear"/>
            <w:tcMar>
              <w:bottom w:w="0" w:type="dxa"/>
            </w:tcMar>
            <w:vAlign w:val="center"/>
          </w:tcPr>
          <w:p>
            <w:pPr>
              <w:pStyle w:val="TableContents"/>
              <w:bidi w:val="0"/>
              <w:spacing w:before="0" w:after="283"/>
              <w:jc w:val="center"/>
              <w:rPr/>
            </w:pPr>
            <w:r>
              <w:rPr/>
              <w:t>January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45" w:type="dxa"/>
            <w:tcBorders/>
            <w:shd w:fill="FFFFFF" w:val="clear"/>
            <w:tcMar>
              <w:bottom w:w="0" w:type="dxa"/>
            </w:tcMar>
            <w:vAlign w:val="center"/>
          </w:tcPr>
          <w:p>
            <w:pPr>
              <w:pStyle w:val="TableContents"/>
              <w:bidi w:val="0"/>
              <w:spacing w:before="0" w:after="283"/>
              <w:jc w:val="center"/>
              <w:rPr/>
            </w:pPr>
            <w:r>
              <w:rPr/>
              <w:t>6.48%</w:t>
            </w:r>
          </w:p>
        </w:tc>
      </w:tr>
      <w:tr>
        <w:trPr/>
        <w:tc>
          <w:tcPr>
            <w:tcW w:w="1565" w:type="dxa"/>
            <w:tcBorders/>
            <w:shd w:fill="EEEEEE" w:val="clear"/>
            <w:tcMar>
              <w:bottom w:w="0" w:type="dxa"/>
            </w:tcMar>
            <w:vAlign w:val="center"/>
          </w:tcPr>
          <w:p>
            <w:pPr>
              <w:pStyle w:val="TableContents"/>
              <w:bidi w:val="0"/>
              <w:spacing w:before="0" w:after="283"/>
              <w:jc w:val="center"/>
              <w:rPr/>
            </w:pPr>
            <w:r>
              <w:rPr/>
              <w:t>April 2023</w:t>
            </w:r>
          </w:p>
        </w:tc>
        <w:tc>
          <w:tcPr>
            <w:tcW w:w="60" w:type="dxa"/>
            <w:tcBorders/>
            <w:shd w:fill="EEEEEE" w:val="clear"/>
            <w:tcMar>
              <w:bottom w:w="0" w:type="dxa"/>
            </w:tcMar>
            <w:vAlign w:val="center"/>
          </w:tcPr>
          <w:p>
            <w:pPr>
              <w:pStyle w:val="TableContents"/>
              <w:bidi w:val="0"/>
              <w:spacing w:before="0" w:after="283"/>
              <w:jc w:val="left"/>
              <w:rPr/>
            </w:pPr>
            <w:r>
              <w:rPr/>
              <w:t> </w:t>
            </w:r>
          </w:p>
        </w:tc>
        <w:tc>
          <w:tcPr>
            <w:tcW w:w="2345" w:type="dxa"/>
            <w:tcBorders/>
            <w:shd w:fill="EEEEEE" w:val="clear"/>
            <w:tcMar>
              <w:bottom w:w="0" w:type="dxa"/>
            </w:tcMar>
            <w:vAlign w:val="center"/>
          </w:tcPr>
          <w:p>
            <w:pPr>
              <w:pStyle w:val="TableContents"/>
              <w:bidi w:val="0"/>
              <w:spacing w:before="0" w:after="283"/>
              <w:jc w:val="center"/>
              <w:rPr/>
            </w:pPr>
            <w:r>
              <w:rPr/>
              <w:t>7.17%</w:t>
            </w:r>
          </w:p>
        </w:tc>
      </w:tr>
      <w:tr>
        <w:trPr/>
        <w:tc>
          <w:tcPr>
            <w:tcW w:w="1565" w:type="dxa"/>
            <w:tcBorders/>
            <w:shd w:fill="FFFFFF" w:val="clear"/>
            <w:tcMar>
              <w:bottom w:w="0" w:type="dxa"/>
            </w:tcMar>
            <w:vAlign w:val="center"/>
          </w:tcPr>
          <w:p>
            <w:pPr>
              <w:pStyle w:val="TableContents"/>
              <w:bidi w:val="0"/>
              <w:spacing w:before="0" w:after="283"/>
              <w:jc w:val="center"/>
              <w:rPr/>
            </w:pPr>
            <w:r>
              <w:rPr/>
              <w:t>July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45" w:type="dxa"/>
            <w:tcBorders/>
            <w:shd w:fill="FFFFFF" w:val="clear"/>
            <w:tcMar>
              <w:bottom w:w="0" w:type="dxa"/>
            </w:tcMar>
            <w:vAlign w:val="center"/>
          </w:tcPr>
          <w:p>
            <w:pPr>
              <w:pStyle w:val="TableContents"/>
              <w:bidi w:val="0"/>
              <w:spacing w:before="0" w:after="283"/>
              <w:jc w:val="center"/>
              <w:rPr/>
            </w:pPr>
            <w:r>
              <w:rPr/>
              <w:t>7.13%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on warehouse credit line debt increased by $8.6 million to $14.5 million for the nine months ended September 30, 2023 compared to $5.9 million in the prior year period. The increase was due to the higher rates and the higher utilization of our credit lines and on the debt during the nine month period compared to last year. The average balance of our warehouse debt was $186.3 million during the nine months ended September 30, 2023 compared to $108.7 million for the same period in 2022. The annualized average rate on our credit line debt was 10.4% for the nine months ended September 30, 2023 compared to 7.2% in the prior year period.</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on subordinated renewable notes was $1.4 million for the nine months ended September 30, 2023. The average balance of the outstanding subordinated debt decreased by $4.8 million to $22.1 million for the nine months ended September 30, 2023 compared to $26.9 million for the prior year. The average yield of subordinated notes decreased to 8.6% compared to 8.8% in the prior period.</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2021, we completed a residual interest financing of our residual interests from previously issued securitizations in the amount of $50.0 million. Interest expense on this residual interest financing was $3.2 million for the nine months ended September 30, 2023 and 2022.</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components of interest income and interest expense and a net interest yield analysis for the nine-month periods ended September 30, 2023 and 2022:</w:t>
      </w:r>
    </w:p>
    <w:p>
      <w:pPr>
        <w:pStyle w:val="TextBody"/>
        <w:bidi w:val="0"/>
        <w:spacing w:before="0" w:after="0"/>
        <w:ind w:left="0" w:right="0" w:firstLine="1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41"/>
        <w:gridCol w:w="60"/>
        <w:gridCol w:w="141"/>
        <w:gridCol w:w="987"/>
        <w:gridCol w:w="60"/>
        <w:gridCol w:w="60"/>
        <w:gridCol w:w="140"/>
        <w:gridCol w:w="800"/>
        <w:gridCol w:w="60"/>
        <w:gridCol w:w="60"/>
        <w:gridCol w:w="142"/>
        <w:gridCol w:w="1048"/>
        <w:gridCol w:w="215"/>
        <w:gridCol w:w="60"/>
        <w:gridCol w:w="141"/>
        <w:gridCol w:w="987"/>
        <w:gridCol w:w="60"/>
        <w:gridCol w:w="60"/>
        <w:gridCol w:w="140"/>
        <w:gridCol w:w="800"/>
        <w:gridCol w:w="60"/>
        <w:gridCol w:w="60"/>
        <w:gridCol w:w="142"/>
        <w:gridCol w:w="1048"/>
        <w:gridCol w:w="233"/>
      </w:tblGrid>
      <w:tr>
        <w:trPr/>
        <w:tc>
          <w:tcPr>
            <w:tcW w:w="26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71"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Nine Months Ended September 30,</w:t>
            </w:r>
          </w:p>
        </w:tc>
        <w:tc>
          <w:tcPr>
            <w:tcW w:w="233" w:type="dxa"/>
            <w:tcBorders/>
            <w:vAlign w:val="center"/>
          </w:tcPr>
          <w:p>
            <w:pPr>
              <w:pStyle w:val="TableContents"/>
              <w:bidi w:val="0"/>
              <w:spacing w:before="0" w:after="283"/>
              <w:jc w:val="left"/>
              <w:rPr/>
            </w:pPr>
            <w:r>
              <w:rPr/>
              <w:t> </w:t>
            </w:r>
          </w:p>
        </w:tc>
      </w:tr>
      <w:tr>
        <w:trPr/>
        <w:tc>
          <w:tcPr>
            <w:tcW w:w="26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98"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98"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233" w:type="dxa"/>
            <w:tcBorders/>
            <w:vAlign w:val="center"/>
          </w:tcPr>
          <w:p>
            <w:pPr>
              <w:pStyle w:val="TableContents"/>
              <w:bidi w:val="0"/>
              <w:spacing w:before="0" w:after="283"/>
              <w:jc w:val="left"/>
              <w:rPr/>
            </w:pPr>
            <w:r>
              <w:rPr/>
              <w:t> </w:t>
            </w:r>
          </w:p>
        </w:tc>
      </w:tr>
      <w:tr>
        <w:trPr/>
        <w:tc>
          <w:tcPr>
            <w:tcW w:w="26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71" w:type="dxa"/>
            <w:gridSpan w:val="22"/>
            <w:tcBorders/>
            <w:vAlign w:val="center"/>
          </w:tcPr>
          <w:p>
            <w:pPr>
              <w:pStyle w:val="TableContents"/>
              <w:bidi w:val="0"/>
              <w:spacing w:before="0" w:after="283"/>
              <w:jc w:val="center"/>
              <w:rPr>
                <w:b/>
              </w:rPr>
            </w:pPr>
            <w:r>
              <w:rPr>
                <w:b/>
              </w:rPr>
              <w:t>(Dollars in thousands)</w:t>
            </w:r>
          </w:p>
        </w:tc>
        <w:tc>
          <w:tcPr>
            <w:tcW w:w="233" w:type="dxa"/>
            <w:tcBorders/>
            <w:vAlign w:val="center"/>
          </w:tcPr>
          <w:p>
            <w:pPr>
              <w:pStyle w:val="TableContents"/>
              <w:bidi w:val="0"/>
              <w:spacing w:before="0" w:after="283"/>
              <w:jc w:val="left"/>
              <w:rPr/>
            </w:pPr>
            <w:r>
              <w:rPr/>
              <w:t> </w:t>
            </w:r>
          </w:p>
        </w:tc>
      </w:tr>
      <w:tr>
        <w:trPr/>
        <w:tc>
          <w:tcPr>
            <w:tcW w:w="26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8"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Annualized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8"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Annualized</w:t>
            </w:r>
          </w:p>
        </w:tc>
        <w:tc>
          <w:tcPr>
            <w:tcW w:w="233" w:type="dxa"/>
            <w:tcBorders/>
            <w:vAlign w:val="center"/>
          </w:tcPr>
          <w:p>
            <w:pPr>
              <w:pStyle w:val="TableContents"/>
              <w:bidi w:val="0"/>
              <w:spacing w:before="0" w:after="283"/>
              <w:jc w:val="left"/>
              <w:rPr/>
            </w:pPr>
            <w:r>
              <w:rPr/>
              <w:t> </w:t>
            </w:r>
          </w:p>
        </w:tc>
      </w:tr>
      <w:tr>
        <w:trPr/>
        <w:tc>
          <w:tcPr>
            <w:tcW w:w="26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8"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Average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8"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Average</w:t>
            </w:r>
          </w:p>
        </w:tc>
        <w:tc>
          <w:tcPr>
            <w:tcW w:w="233" w:type="dxa"/>
            <w:tcBorders/>
            <w:vAlign w:val="center"/>
          </w:tcPr>
          <w:p>
            <w:pPr>
              <w:pStyle w:val="TableContents"/>
              <w:bidi w:val="0"/>
              <w:spacing w:before="0" w:after="283"/>
              <w:jc w:val="left"/>
              <w:rPr/>
            </w:pPr>
            <w:r>
              <w:rPr/>
              <w:t> </w:t>
            </w:r>
          </w:p>
        </w:tc>
      </w:tr>
      <w:tr>
        <w:trPr/>
        <w:tc>
          <w:tcPr>
            <w:tcW w:w="26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Balance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Yield/Rate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Balance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Yield/Rate</w:t>
            </w:r>
          </w:p>
        </w:tc>
        <w:tc>
          <w:tcPr>
            <w:tcW w:w="233" w:type="dxa"/>
            <w:tcBorders/>
            <w:vAlign w:val="center"/>
          </w:tcPr>
          <w:p>
            <w:pPr>
              <w:pStyle w:val="TableContents"/>
              <w:bidi w:val="0"/>
              <w:spacing w:before="0" w:after="283"/>
              <w:jc w:val="left"/>
              <w:rPr/>
            </w:pPr>
            <w:r>
              <w:rPr/>
              <w:t> </w:t>
            </w:r>
          </w:p>
        </w:tc>
      </w:tr>
      <w:tr>
        <w:trPr/>
        <w:tc>
          <w:tcPr>
            <w:tcW w:w="2641" w:type="dxa"/>
            <w:tcBorders>
              <w:bottom w:val="single" w:sz="8" w:space="0" w:color="000000"/>
            </w:tcBorders>
            <w:tcMar>
              <w:bottom w:w="28" w:type="dxa"/>
            </w:tcMar>
            <w:vAlign w:val="center"/>
          </w:tcPr>
          <w:p>
            <w:pPr>
              <w:pStyle w:val="TableContents"/>
              <w:bidi w:val="0"/>
              <w:spacing w:before="0" w:after="283"/>
              <w:jc w:val="center"/>
              <w:rPr>
                <w:b/>
              </w:rPr>
            </w:pPr>
            <w:r>
              <w:rPr>
                <w:b/>
              </w:rPr>
              <w:t>Interest Earning Assets</w:t>
            </w:r>
          </w:p>
        </w:tc>
        <w:tc>
          <w:tcPr>
            <w:tcW w:w="60" w:type="dxa"/>
            <w:tcBorders/>
            <w:vAlign w:val="center"/>
          </w:tcPr>
          <w:p>
            <w:pPr>
              <w:pStyle w:val="TableContents"/>
              <w:bidi w:val="0"/>
              <w:spacing w:before="0" w:after="283"/>
              <w:jc w:val="left"/>
              <w:rPr/>
            </w:pPr>
            <w:r>
              <w:rPr/>
              <w:t> </w:t>
            </w:r>
          </w:p>
        </w:tc>
        <w:tc>
          <w:tcPr>
            <w:tcW w:w="1128"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8"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r>
      <w:tr>
        <w:trPr/>
        <w:tc>
          <w:tcPr>
            <w:tcW w:w="2641" w:type="dxa"/>
            <w:tcBorders/>
            <w:shd w:fill="EEEEEE" w:val="clear"/>
            <w:vAlign w:val="center"/>
          </w:tcPr>
          <w:p>
            <w:pPr>
              <w:pStyle w:val="TableContents"/>
              <w:bidi w:val="0"/>
              <w:spacing w:before="0" w:after="283"/>
              <w:jc w:val="left"/>
              <w:rPr/>
            </w:pPr>
            <w:r>
              <w:rPr/>
              <w:t>Loan portfolio</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w:t>
            </w:r>
          </w:p>
        </w:tc>
        <w:tc>
          <w:tcPr>
            <w:tcW w:w="987" w:type="dxa"/>
            <w:tcBorders/>
            <w:shd w:fill="EEEEEE" w:val="clear"/>
            <w:vAlign w:val="center"/>
          </w:tcPr>
          <w:p>
            <w:pPr>
              <w:pStyle w:val="TableContents"/>
              <w:bidi w:val="0"/>
              <w:spacing w:before="0" w:after="283"/>
              <w:jc w:val="right"/>
              <w:rPr/>
            </w:pPr>
            <w:r>
              <w:rPr/>
              <w:t>2,898,445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800" w:type="dxa"/>
            <w:tcBorders/>
            <w:shd w:fill="EEEEEE" w:val="clear"/>
            <w:vAlign w:val="center"/>
          </w:tcPr>
          <w:p>
            <w:pPr>
              <w:pStyle w:val="TableContents"/>
              <w:bidi w:val="0"/>
              <w:spacing w:before="0" w:after="283"/>
              <w:jc w:val="right"/>
              <w:rPr/>
            </w:pPr>
            <w:r>
              <w:rPr/>
              <w:t>245,960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11.3</w:t>
            </w:r>
          </w:p>
        </w:tc>
        <w:tc>
          <w:tcPr>
            <w:tcW w:w="21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w:t>
            </w:r>
          </w:p>
        </w:tc>
        <w:tc>
          <w:tcPr>
            <w:tcW w:w="987" w:type="dxa"/>
            <w:tcBorders/>
            <w:shd w:fill="EEEEEE" w:val="clear"/>
            <w:vAlign w:val="center"/>
          </w:tcPr>
          <w:p>
            <w:pPr>
              <w:pStyle w:val="TableContents"/>
              <w:bidi w:val="0"/>
              <w:spacing w:before="0" w:after="283"/>
              <w:jc w:val="right"/>
              <w:rPr/>
            </w:pPr>
            <w:r>
              <w:rPr/>
              <w:t>2,463,882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800" w:type="dxa"/>
            <w:tcBorders/>
            <w:shd w:fill="EEEEEE" w:val="clear"/>
            <w:vAlign w:val="center"/>
          </w:tcPr>
          <w:p>
            <w:pPr>
              <w:pStyle w:val="TableContents"/>
              <w:bidi w:val="0"/>
              <w:spacing w:before="0" w:after="283"/>
              <w:jc w:val="right"/>
              <w:rPr/>
            </w:pPr>
            <w:r>
              <w:rPr/>
              <w:t>225,547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12.2</w:t>
            </w:r>
          </w:p>
        </w:tc>
        <w:tc>
          <w:tcPr>
            <w:tcW w:w="233" w:type="dxa"/>
            <w:tcBorders/>
            <w:shd w:fill="EEEEEE" w:val="clear"/>
            <w:vAlign w:val="center"/>
          </w:tcPr>
          <w:p>
            <w:pPr>
              <w:pStyle w:val="TableContents"/>
              <w:bidi w:val="0"/>
              <w:spacing w:before="0" w:after="283"/>
              <w:jc w:val="left"/>
              <w:rPr/>
            </w:pPr>
            <w:r>
              <w:rPr/>
              <w:t>%</w:t>
            </w:r>
          </w:p>
        </w:tc>
      </w:tr>
      <w:tr>
        <w:trPr/>
        <w:tc>
          <w:tcPr>
            <w:tcW w:w="26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r>
      <w:tr>
        <w:trPr/>
        <w:tc>
          <w:tcPr>
            <w:tcW w:w="2641" w:type="dxa"/>
            <w:tcBorders/>
            <w:shd w:fill="EEEEEE" w:val="clear"/>
            <w:vAlign w:val="center"/>
          </w:tcPr>
          <w:p>
            <w:pPr>
              <w:pStyle w:val="TableContents"/>
              <w:bidi w:val="0"/>
              <w:spacing w:before="0" w:after="283"/>
              <w:jc w:val="center"/>
              <w:rPr>
                <w:b/>
                <w:u w:val="single"/>
              </w:rPr>
            </w:pPr>
            <w:r>
              <w:rPr>
                <w:b/>
                <w:u w:val="single"/>
              </w:rPr>
              <w:t>Interest Bearing Liabilities</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987"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 </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987"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 </w:t>
            </w:r>
          </w:p>
        </w:tc>
        <w:tc>
          <w:tcPr>
            <w:tcW w:w="233" w:type="dxa"/>
            <w:tcBorders/>
            <w:shd w:fill="EEEEEE" w:val="cle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pPr>
            <w:r>
              <w:rPr/>
              <w:t>Warehouse lines of credit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987" w:type="dxa"/>
            <w:tcBorders/>
            <w:shd w:fill="FFFFFF" w:val="clear"/>
            <w:vAlign w:val="center"/>
          </w:tcPr>
          <w:p>
            <w:pPr>
              <w:pStyle w:val="TableContents"/>
              <w:bidi w:val="0"/>
              <w:spacing w:before="0" w:after="283"/>
              <w:jc w:val="right"/>
              <w:rPr/>
            </w:pPr>
            <w:r>
              <w:rPr/>
              <w:t>186,311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14,521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10.4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987" w:type="dxa"/>
            <w:tcBorders/>
            <w:shd w:fill="FFFFFF" w:val="clear"/>
            <w:vAlign w:val="center"/>
          </w:tcPr>
          <w:p>
            <w:pPr>
              <w:pStyle w:val="TableContents"/>
              <w:bidi w:val="0"/>
              <w:spacing w:before="0" w:after="283"/>
              <w:jc w:val="right"/>
              <w:rPr/>
            </w:pPr>
            <w:r>
              <w:rPr/>
              <w:t>108,709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5,887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7.2</w:t>
            </w:r>
          </w:p>
        </w:tc>
        <w:tc>
          <w:tcPr>
            <w:tcW w:w="233" w:type="dxa"/>
            <w:tcBorders/>
            <w:shd w:fill="FFFFFF" w:val="clear"/>
            <w:vAlign w:val="center"/>
          </w:tcPr>
          <w:p>
            <w:pPr>
              <w:pStyle w:val="TableContents"/>
              <w:bidi w:val="0"/>
              <w:spacing w:before="0" w:after="283"/>
              <w:jc w:val="left"/>
              <w:rPr/>
            </w:pPr>
            <w:r>
              <w:rPr/>
              <w:t>%</w:t>
            </w:r>
          </w:p>
        </w:tc>
      </w:tr>
      <w:tr>
        <w:trPr/>
        <w:tc>
          <w:tcPr>
            <w:tcW w:w="2641" w:type="dxa"/>
            <w:tcBorders/>
            <w:shd w:fill="EEEEEE" w:val="clear"/>
            <w:vAlign w:val="center"/>
          </w:tcPr>
          <w:p>
            <w:pPr>
              <w:pStyle w:val="TableContents"/>
              <w:bidi w:val="0"/>
              <w:spacing w:before="0" w:after="283"/>
              <w:jc w:val="left"/>
              <w:rPr/>
            </w:pPr>
            <w:r>
              <w:rPr/>
              <w:t>Residual interest financing</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987" w:type="dxa"/>
            <w:tcBorders/>
            <w:shd w:fill="EEEEEE" w:val="clear"/>
            <w:vAlign w:val="center"/>
          </w:tcPr>
          <w:p>
            <w:pPr>
              <w:pStyle w:val="TableContents"/>
              <w:bidi w:val="0"/>
              <w:spacing w:before="0" w:after="283"/>
              <w:jc w:val="right"/>
              <w:rPr/>
            </w:pPr>
            <w:r>
              <w:rPr/>
              <w:t>50,000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3,149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8.4</w:t>
            </w:r>
          </w:p>
        </w:tc>
        <w:tc>
          <w:tcPr>
            <w:tcW w:w="21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987" w:type="dxa"/>
            <w:tcBorders/>
            <w:shd w:fill="EEEEEE" w:val="clear"/>
            <w:vAlign w:val="center"/>
          </w:tcPr>
          <w:p>
            <w:pPr>
              <w:pStyle w:val="TableContents"/>
              <w:bidi w:val="0"/>
              <w:spacing w:before="0" w:after="283"/>
              <w:jc w:val="right"/>
              <w:rPr/>
            </w:pPr>
            <w:r>
              <w:rPr/>
              <w:t>50,652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3,193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8.4</w:t>
            </w:r>
          </w:p>
        </w:tc>
        <w:tc>
          <w:tcPr>
            <w:tcW w:w="233" w:type="dxa"/>
            <w:tcBorders/>
            <w:shd w:fill="EEEEEE" w:val="clear"/>
            <w:vAlign w:val="center"/>
          </w:tcPr>
          <w:p>
            <w:pPr>
              <w:pStyle w:val="TableContents"/>
              <w:bidi w:val="0"/>
              <w:spacing w:before="0" w:after="283"/>
              <w:jc w:val="left"/>
              <w:rPr/>
            </w:pPr>
            <w:r>
              <w:rPr/>
              <w:t>%</w:t>
            </w:r>
          </w:p>
        </w:tc>
      </w:tr>
      <w:tr>
        <w:trPr/>
        <w:tc>
          <w:tcPr>
            <w:tcW w:w="2641" w:type="dxa"/>
            <w:tcBorders/>
            <w:shd w:fill="FFFFFF" w:val="clear"/>
            <w:vAlign w:val="center"/>
          </w:tcPr>
          <w:p>
            <w:pPr>
              <w:pStyle w:val="TableContents"/>
              <w:bidi w:val="0"/>
              <w:spacing w:before="0" w:after="283"/>
              <w:jc w:val="left"/>
              <w:rPr/>
            </w:pPr>
            <w:r>
              <w:rPr/>
              <w:t>Securitization trust debt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2,321,970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87,258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5.0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1,959,452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47,792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3.3</w:t>
            </w:r>
          </w:p>
        </w:tc>
        <w:tc>
          <w:tcPr>
            <w:tcW w:w="233" w:type="dxa"/>
            <w:tcBorders/>
            <w:shd w:fill="FFFFFF" w:val="clear"/>
            <w:vAlign w:val="center"/>
          </w:tcPr>
          <w:p>
            <w:pPr>
              <w:pStyle w:val="TableContents"/>
              <w:bidi w:val="0"/>
              <w:spacing w:before="0" w:after="283"/>
              <w:jc w:val="left"/>
              <w:rPr/>
            </w:pPr>
            <w:r>
              <w:rPr/>
              <w:t>%</w:t>
            </w:r>
          </w:p>
        </w:tc>
      </w:tr>
      <w:tr>
        <w:trPr/>
        <w:tc>
          <w:tcPr>
            <w:tcW w:w="2641" w:type="dxa"/>
            <w:tcBorders/>
            <w:shd w:fill="EEEEEE" w:val="clear"/>
            <w:vAlign w:val="center"/>
          </w:tcPr>
          <w:p>
            <w:pPr>
              <w:pStyle w:val="TableContents"/>
              <w:bidi w:val="0"/>
              <w:spacing w:before="0" w:after="283"/>
              <w:jc w:val="left"/>
              <w:rPr/>
            </w:pPr>
            <w:r>
              <w:rPr/>
              <w:t>Subordinated renewable notes</w:t>
            </w:r>
          </w:p>
        </w:tc>
        <w:tc>
          <w:tcPr>
            <w:tcW w:w="60" w:type="dxa"/>
            <w:tcBorders/>
            <w:shd w:fill="EEEEEE" w:val="clear"/>
            <w:vAlign w:val="center"/>
          </w:tcPr>
          <w:p>
            <w:pPr>
              <w:pStyle w:val="TableContents"/>
              <w:bidi w:val="0"/>
              <w:spacing w:before="0" w:after="283"/>
              <w:jc w:val="left"/>
              <w:rPr/>
            </w:pPr>
            <w:r>
              <w:rPr/>
              <w:t> </w:t>
            </w:r>
          </w:p>
        </w:tc>
        <w:tc>
          <w:tcPr>
            <w:tcW w:w="14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87" w:type="dxa"/>
            <w:tcBorders>
              <w:bottom w:val="single" w:sz="8" w:space="0" w:color="000000"/>
            </w:tcBorders>
            <w:shd w:fill="EEEEEE" w:val="clear"/>
            <w:tcMar>
              <w:bottom w:w="28" w:type="dxa"/>
            </w:tcMar>
            <w:vAlign w:val="center"/>
          </w:tcPr>
          <w:p>
            <w:pPr>
              <w:pStyle w:val="TableContents"/>
              <w:bidi w:val="0"/>
              <w:spacing w:before="0" w:after="283"/>
              <w:jc w:val="right"/>
              <w:rPr/>
            </w:pPr>
            <w:r>
              <w:rPr/>
              <w:t>22,070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EEEEEE" w:val="clear"/>
            <w:tcMar>
              <w:bottom w:w="28" w:type="dxa"/>
            </w:tcMar>
            <w:vAlign w:val="center"/>
          </w:tcPr>
          <w:p>
            <w:pPr>
              <w:pStyle w:val="TableContents"/>
              <w:bidi w:val="0"/>
              <w:spacing w:before="0" w:after="283"/>
              <w:jc w:val="right"/>
              <w:rPr/>
            </w:pPr>
            <w:r>
              <w:rPr/>
              <w:t>1,426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8.6</w:t>
            </w:r>
          </w:p>
        </w:tc>
        <w:tc>
          <w:tcPr>
            <w:tcW w:w="21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87" w:type="dxa"/>
            <w:tcBorders>
              <w:bottom w:val="single" w:sz="8" w:space="0" w:color="000000"/>
            </w:tcBorders>
            <w:shd w:fill="EEEEEE" w:val="clear"/>
            <w:tcMar>
              <w:bottom w:w="28" w:type="dxa"/>
            </w:tcMar>
            <w:vAlign w:val="center"/>
          </w:tcPr>
          <w:p>
            <w:pPr>
              <w:pStyle w:val="TableContents"/>
              <w:bidi w:val="0"/>
              <w:spacing w:before="0" w:after="283"/>
              <w:jc w:val="right"/>
              <w:rPr/>
            </w:pPr>
            <w:r>
              <w:rPr/>
              <w:t>26,910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EEEEEE" w:val="clear"/>
            <w:tcMar>
              <w:bottom w:w="28" w:type="dxa"/>
            </w:tcMar>
            <w:vAlign w:val="center"/>
          </w:tcPr>
          <w:p>
            <w:pPr>
              <w:pStyle w:val="TableContents"/>
              <w:bidi w:val="0"/>
              <w:spacing w:before="0" w:after="283"/>
              <w:jc w:val="right"/>
              <w:rPr/>
            </w:pPr>
            <w:r>
              <w:rPr/>
              <w:t>1,783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8.8</w:t>
            </w:r>
          </w:p>
        </w:tc>
        <w:tc>
          <w:tcPr>
            <w:tcW w:w="233" w:type="dxa"/>
            <w:tcBorders/>
            <w:shd w:fill="EEEEEE" w:val="clear"/>
            <w:vAlign w:val="center"/>
          </w:tcPr>
          <w:p>
            <w:pPr>
              <w:pStyle w:val="TableContents"/>
              <w:bidi w:val="0"/>
              <w:spacing w:before="0" w:after="283"/>
              <w:jc w:val="left"/>
              <w:rPr/>
            </w:pPr>
            <w:r>
              <w:rPr/>
              <w:t>%</w:t>
            </w:r>
          </w:p>
        </w:tc>
      </w:tr>
      <w:tr>
        <w:trPr/>
        <w:tc>
          <w:tcPr>
            <w:tcW w:w="26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7" w:type="dxa"/>
            <w:tcBorders>
              <w:bottom w:val="double" w:sz="6" w:space="0" w:color="000000"/>
            </w:tcBorders>
            <w:shd w:fill="FFFFFF" w:val="clear"/>
            <w:tcMar>
              <w:bottom w:w="28" w:type="dxa"/>
            </w:tcMar>
            <w:vAlign w:val="center"/>
          </w:tcPr>
          <w:p>
            <w:pPr>
              <w:pStyle w:val="TableContents"/>
              <w:bidi w:val="0"/>
              <w:spacing w:before="0" w:after="283"/>
              <w:jc w:val="right"/>
              <w:rPr/>
            </w:pPr>
            <w:r>
              <w:rPr/>
              <w:t>2,580,351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106,354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5.5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7" w:type="dxa"/>
            <w:tcBorders>
              <w:bottom w:val="double" w:sz="6" w:space="0" w:color="000000"/>
            </w:tcBorders>
            <w:shd w:fill="FFFFFF" w:val="clear"/>
            <w:tcMar>
              <w:bottom w:w="28" w:type="dxa"/>
            </w:tcMar>
            <w:vAlign w:val="center"/>
          </w:tcPr>
          <w:p>
            <w:pPr>
              <w:pStyle w:val="TableContents"/>
              <w:bidi w:val="0"/>
              <w:spacing w:before="0" w:after="283"/>
              <w:jc w:val="right"/>
              <w:rPr/>
            </w:pPr>
            <w:r>
              <w:rPr/>
              <w:t>2,145,723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58,655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3.6</w:t>
            </w:r>
          </w:p>
        </w:tc>
        <w:tc>
          <w:tcPr>
            <w:tcW w:w="233" w:type="dxa"/>
            <w:tcBorders/>
            <w:shd w:fill="FFFFFF" w:val="clear"/>
            <w:vAlign w:val="center"/>
          </w:tcPr>
          <w:p>
            <w:pPr>
              <w:pStyle w:val="TableContents"/>
              <w:bidi w:val="0"/>
              <w:spacing w:before="0" w:after="283"/>
              <w:jc w:val="left"/>
              <w:rPr/>
            </w:pPr>
            <w:r>
              <w:rPr/>
              <w:t>%</w:t>
            </w:r>
          </w:p>
        </w:tc>
      </w:tr>
      <w:tr>
        <w:trPr/>
        <w:tc>
          <w:tcPr>
            <w:tcW w:w="2641"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987"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EEEEEE" w:val="clear"/>
            <w:tcMar>
              <w:bottom w:w="28" w:type="dxa"/>
            </w:tcM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 </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987"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EEEEEE" w:val="clear"/>
            <w:tcMar>
              <w:bottom w:w="28" w:type="dxa"/>
            </w:tcM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 </w:t>
            </w:r>
          </w:p>
        </w:tc>
        <w:tc>
          <w:tcPr>
            <w:tcW w:w="233" w:type="dxa"/>
            <w:tcBorders/>
            <w:shd w:fill="EEEEEE" w:val="cle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pPr>
            <w:r>
              <w:rPr/>
              <w:t>Net interest income/spread</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139,606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166,892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r>
      <w:tr>
        <w:trPr/>
        <w:tc>
          <w:tcPr>
            <w:tcW w:w="2641" w:type="dxa"/>
            <w:tcBorders/>
            <w:shd w:fill="EEEEEE" w:val="clear"/>
            <w:vAlign w:val="center"/>
          </w:tcPr>
          <w:p>
            <w:pPr>
              <w:pStyle w:val="TableContents"/>
              <w:bidi w:val="0"/>
              <w:spacing w:before="0" w:after="283"/>
              <w:jc w:val="left"/>
              <w:rPr/>
            </w:pPr>
            <w:r>
              <w:rPr/>
              <w:t>Net interest yield (2)</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987"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5.8</w:t>
            </w:r>
          </w:p>
        </w:tc>
        <w:tc>
          <w:tcPr>
            <w:tcW w:w="21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1" w:type="dxa"/>
            <w:tcBorders/>
            <w:shd w:fill="EEEEEE" w:val="clear"/>
            <w:vAlign w:val="center"/>
          </w:tcPr>
          <w:p>
            <w:pPr>
              <w:pStyle w:val="TableContents"/>
              <w:bidi w:val="0"/>
              <w:spacing w:before="0" w:after="283"/>
              <w:jc w:val="left"/>
              <w:rPr/>
            </w:pPr>
            <w:r>
              <w:rPr/>
              <w:t> </w:t>
            </w:r>
          </w:p>
        </w:tc>
        <w:tc>
          <w:tcPr>
            <w:tcW w:w="987"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80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2" w:type="dxa"/>
            <w:tcBorders/>
            <w:shd w:fill="EEEEEE" w:val="clear"/>
            <w:vAlign w:val="center"/>
          </w:tcPr>
          <w:p>
            <w:pPr>
              <w:pStyle w:val="TableContents"/>
              <w:bidi w:val="0"/>
              <w:spacing w:before="0" w:after="283"/>
              <w:jc w:val="left"/>
              <w:rPr/>
            </w:pPr>
            <w:r>
              <w:rPr/>
              <w:t> </w:t>
            </w:r>
          </w:p>
        </w:tc>
        <w:tc>
          <w:tcPr>
            <w:tcW w:w="1048" w:type="dxa"/>
            <w:tcBorders/>
            <w:shd w:fill="EEEEEE" w:val="clear"/>
            <w:vAlign w:val="center"/>
          </w:tcPr>
          <w:p>
            <w:pPr>
              <w:pStyle w:val="TableContents"/>
              <w:bidi w:val="0"/>
              <w:spacing w:before="0" w:after="283"/>
              <w:jc w:val="right"/>
              <w:rPr/>
            </w:pPr>
            <w:r>
              <w:rPr/>
              <w:t>8.6</w:t>
            </w:r>
          </w:p>
        </w:tc>
        <w:tc>
          <w:tcPr>
            <w:tcW w:w="233" w:type="dxa"/>
            <w:tcBorders/>
            <w:shd w:fill="EEEEEE" w:val="clear"/>
            <w:vAlign w:val="center"/>
          </w:tcPr>
          <w:p>
            <w:pPr>
              <w:pStyle w:val="TableContents"/>
              <w:bidi w:val="0"/>
              <w:spacing w:before="0" w:after="283"/>
              <w:ind w:left="0" w:right="0" w:hanging="200"/>
              <w:jc w:val="left"/>
              <w:rPr/>
            </w:pPr>
            <w:r>
              <w:rPr/>
              <w:t>%</w:t>
            </w:r>
          </w:p>
        </w:tc>
      </w:tr>
      <w:tr>
        <w:trPr/>
        <w:tc>
          <w:tcPr>
            <w:tcW w:w="2641" w:type="dxa"/>
            <w:tcBorders/>
            <w:shd w:fill="FFFFFF" w:val="clear"/>
            <w:vAlign w:val="center"/>
          </w:tcPr>
          <w:p>
            <w:pPr>
              <w:pStyle w:val="TableContents"/>
              <w:bidi w:val="0"/>
              <w:spacing w:before="0" w:after="283"/>
              <w:jc w:val="left"/>
              <w:rPr/>
            </w:pPr>
            <w:r>
              <w:rPr/>
              <w:t>Ratio of average interest earning assets to average interest bearing liabilities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112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115</w:t>
            </w:r>
          </w:p>
        </w:tc>
        <w:tc>
          <w:tcPr>
            <w:tcW w:w="233"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(1)  Average balances are based on month end balances except for warehouse lines of credit, which are based on daily balances.</w:t>
      </w:r>
    </w:p>
    <w:p>
      <w:pPr>
        <w:pStyle w:val="TextBody"/>
        <w:bidi w:val="0"/>
        <w:spacing w:before="0" w:after="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(2)  Annualized net interest income divided by average interest earning assets.</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8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80"/>
        <w:jc w:val="both"/>
        <w:rPr>
          <w:caps w:val="false"/>
          <w:smallCaps w:val="false"/>
        </w:rPr>
      </w:pPr>
      <w:r>
        <w:rPr>
          <w:caps w:val="false"/>
          <w:smallCaps w:val="false"/>
        </w:rPr>
        <w:t> </w:t>
      </w:r>
    </w:p>
    <w:tbl>
      <w:tblPr>
        <w:tblW w:w="7344" w:type="dxa"/>
        <w:jc w:val="left"/>
        <w:tblInd w:w="0" w:type="dxa"/>
        <w:tblLayout w:type="fixed"/>
        <w:tblCellMar>
          <w:top w:w="0" w:type="dxa"/>
          <w:left w:w="0" w:type="dxa"/>
          <w:bottom w:w="0" w:type="dxa"/>
          <w:right w:w="0" w:type="dxa"/>
        </w:tblCellMar>
      </w:tblPr>
      <w:tblGrid>
        <w:gridCol w:w="2885"/>
        <w:gridCol w:w="60"/>
        <w:gridCol w:w="198"/>
        <w:gridCol w:w="1067"/>
        <w:gridCol w:w="134"/>
        <w:gridCol w:w="84"/>
        <w:gridCol w:w="221"/>
        <w:gridCol w:w="1073"/>
        <w:gridCol w:w="134"/>
        <w:gridCol w:w="84"/>
        <w:gridCol w:w="202"/>
        <w:gridCol w:w="1092"/>
        <w:gridCol w:w="110"/>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89" w:type="dxa"/>
            <w:gridSpan w:val="10"/>
            <w:tcBorders/>
            <w:vAlign w:val="center"/>
          </w:tcPr>
          <w:p>
            <w:pPr>
              <w:pStyle w:val="TableContents"/>
              <w:bidi w:val="0"/>
              <w:spacing w:before="0" w:after="283"/>
              <w:jc w:val="center"/>
              <w:rPr>
                <w:b/>
              </w:rPr>
            </w:pPr>
            <w:r>
              <w:rPr>
                <w:b/>
              </w:rPr>
              <w:t>Nine Months Ended September 30, 2023</w:t>
            </w:r>
          </w:p>
        </w:tc>
        <w:tc>
          <w:tcPr>
            <w:tcW w:w="11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289"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Compared to September 30, 2022</w:t>
            </w:r>
          </w:p>
        </w:tc>
        <w:tc>
          <w:tcPr>
            <w:tcW w:w="11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b/>
              </w:rPr>
            </w:pPr>
            <w:r>
              <w:rPr>
                <w:b/>
              </w:rPr>
              <w:t>Total</w:t>
            </w:r>
          </w:p>
        </w:tc>
        <w:tc>
          <w:tcPr>
            <w:tcW w:w="13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center"/>
              <w:rPr>
                <w:b/>
              </w:rPr>
            </w:pPr>
            <w:r>
              <w:rPr>
                <w:b/>
              </w:rPr>
              <w:t>Change Due</w:t>
            </w:r>
          </w:p>
        </w:tc>
        <w:tc>
          <w:tcPr>
            <w:tcW w:w="13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center"/>
              <w:rPr>
                <w:b/>
              </w:rPr>
            </w:pPr>
            <w:r>
              <w:rPr>
                <w:b/>
              </w:rPr>
              <w:t>Change Due</w:t>
            </w:r>
          </w:p>
        </w:tc>
        <w:tc>
          <w:tcPr>
            <w:tcW w:w="11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3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2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 Volume</w:t>
            </w:r>
          </w:p>
        </w:tc>
        <w:tc>
          <w:tcPr>
            <w:tcW w:w="13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2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 Rate</w:t>
            </w:r>
          </w:p>
        </w:tc>
        <w:tc>
          <w:tcPr>
            <w:tcW w:w="11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89" w:type="dxa"/>
            <w:gridSpan w:val="10"/>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2885" w:type="dxa"/>
            <w:tcBorders/>
            <w:shd w:fill="EEEEEE" w:val="clear"/>
            <w:vAlign w:val="center"/>
          </w:tcPr>
          <w:p>
            <w:pPr>
              <w:pStyle w:val="TableContents"/>
              <w:bidi w:val="0"/>
              <w:spacing w:before="0" w:after="283"/>
              <w:jc w:val="center"/>
              <w:rPr>
                <w:b/>
                <w:u w:val="single"/>
              </w:rPr>
            </w:pPr>
            <w:r>
              <w:rPr>
                <w:b/>
                <w:u w:val="single"/>
              </w:rPr>
              <w:t>Interest Earning Assets</w:t>
            </w:r>
          </w:p>
        </w:tc>
        <w:tc>
          <w:tcPr>
            <w:tcW w:w="60" w:type="dxa"/>
            <w:tcBorders/>
            <w:shd w:fill="EEEEEE" w:val="clear"/>
            <w:vAlign w:val="center"/>
          </w:tcPr>
          <w:p>
            <w:pPr>
              <w:pStyle w:val="TableContents"/>
              <w:bidi w:val="0"/>
              <w:spacing w:before="0" w:after="283"/>
              <w:jc w:val="left"/>
              <w:rPr/>
            </w:pPr>
            <w:r>
              <w:rPr/>
              <w:t> </w:t>
            </w:r>
          </w:p>
        </w:tc>
        <w:tc>
          <w:tcPr>
            <w:tcW w:w="198" w:type="dxa"/>
            <w:tcBorders/>
            <w:shd w:fill="EEEEEE" w:val="clear"/>
            <w:vAlign w:val="center"/>
          </w:tcPr>
          <w:p>
            <w:pPr>
              <w:pStyle w:val="TableContents"/>
              <w:bidi w:val="0"/>
              <w:spacing w:before="0" w:after="283"/>
              <w:jc w:val="left"/>
              <w:rPr/>
            </w:pPr>
            <w:r>
              <w:rPr/>
              <w:t> </w:t>
            </w:r>
          </w:p>
        </w:tc>
        <w:tc>
          <w:tcPr>
            <w:tcW w:w="1067" w:type="dxa"/>
            <w:tcBorders/>
            <w:shd w:fill="EEEEEE" w:val="clear"/>
            <w:vAlign w:val="center"/>
          </w:tcPr>
          <w:p>
            <w:pPr>
              <w:pStyle w:val="TableContents"/>
              <w:bidi w:val="0"/>
              <w:spacing w:before="0" w:after="283"/>
              <w:jc w:val="right"/>
              <w:rPr/>
            </w:pPr>
            <w:r>
              <w:rPr/>
              <w:t> </w:t>
            </w:r>
          </w:p>
        </w:tc>
        <w:tc>
          <w:tcPr>
            <w:tcW w:w="134" w:type="dxa"/>
            <w:tcBorders/>
            <w:shd w:fill="EEEEEE" w:val="clear"/>
            <w:vAlign w:val="center"/>
          </w:tcPr>
          <w:p>
            <w:pPr>
              <w:pStyle w:val="TableContents"/>
              <w:bidi w:val="0"/>
              <w:spacing w:before="0" w:after="283"/>
              <w:jc w:val="left"/>
              <w:rPr/>
            </w:pPr>
            <w:r>
              <w:rPr/>
              <w:t> </w:t>
            </w:r>
          </w:p>
        </w:tc>
        <w:tc>
          <w:tcPr>
            <w:tcW w:w="84" w:type="dxa"/>
            <w:tcBorders/>
            <w:shd w:fill="EEEEEE" w:val="clear"/>
            <w:vAlign w:val="center"/>
          </w:tcPr>
          <w:p>
            <w:pPr>
              <w:pStyle w:val="TableContents"/>
              <w:bidi w:val="0"/>
              <w:spacing w:before="0" w:after="283"/>
              <w:jc w:val="left"/>
              <w:rPr/>
            </w:pPr>
            <w:r>
              <w:rPr/>
              <w:t> </w:t>
            </w:r>
          </w:p>
        </w:tc>
        <w:tc>
          <w:tcPr>
            <w:tcW w:w="221" w:type="dxa"/>
            <w:tcBorders/>
            <w:shd w:fill="EEEEEE" w:val="clear"/>
            <w:vAlign w:val="center"/>
          </w:tcPr>
          <w:p>
            <w:pPr>
              <w:pStyle w:val="TableContents"/>
              <w:bidi w:val="0"/>
              <w:spacing w:before="0" w:after="283"/>
              <w:jc w:val="left"/>
              <w:rPr/>
            </w:pPr>
            <w:r>
              <w:rPr/>
              <w:t> </w:t>
            </w:r>
          </w:p>
        </w:tc>
        <w:tc>
          <w:tcPr>
            <w:tcW w:w="1073" w:type="dxa"/>
            <w:tcBorders/>
            <w:shd w:fill="EEEEEE" w:val="clear"/>
            <w:vAlign w:val="center"/>
          </w:tcPr>
          <w:p>
            <w:pPr>
              <w:pStyle w:val="TableContents"/>
              <w:bidi w:val="0"/>
              <w:spacing w:before="0" w:after="283"/>
              <w:jc w:val="right"/>
              <w:rPr/>
            </w:pPr>
            <w:r>
              <w:rPr/>
              <w:t> </w:t>
            </w:r>
          </w:p>
        </w:tc>
        <w:tc>
          <w:tcPr>
            <w:tcW w:w="134" w:type="dxa"/>
            <w:tcBorders/>
            <w:shd w:fill="EEEEEE" w:val="clear"/>
            <w:vAlign w:val="center"/>
          </w:tcPr>
          <w:p>
            <w:pPr>
              <w:pStyle w:val="TableContents"/>
              <w:bidi w:val="0"/>
              <w:spacing w:before="0" w:after="283"/>
              <w:jc w:val="left"/>
              <w:rPr/>
            </w:pPr>
            <w:r>
              <w:rPr/>
              <w:t> </w:t>
            </w:r>
          </w:p>
        </w:tc>
        <w:tc>
          <w:tcPr>
            <w:tcW w:w="84" w:type="dxa"/>
            <w:tcBorders/>
            <w:shd w:fill="EEEEEE" w:val="clear"/>
            <w:vAlign w:val="center"/>
          </w:tcPr>
          <w:p>
            <w:pPr>
              <w:pStyle w:val="TableContents"/>
              <w:bidi w:val="0"/>
              <w:spacing w:before="0" w:after="283"/>
              <w:jc w:val="left"/>
              <w:rPr/>
            </w:pPr>
            <w:r>
              <w:rPr/>
              <w:t> </w:t>
            </w:r>
          </w:p>
        </w:tc>
        <w:tc>
          <w:tcPr>
            <w:tcW w:w="202" w:type="dxa"/>
            <w:tcBorders/>
            <w:shd w:fill="EEEEEE" w:val="clear"/>
            <w:vAlign w:val="center"/>
          </w:tcPr>
          <w:p>
            <w:pPr>
              <w:pStyle w:val="TableContents"/>
              <w:bidi w:val="0"/>
              <w:spacing w:before="0" w:after="283"/>
              <w:jc w:val="left"/>
              <w:rPr/>
            </w:pPr>
            <w:r>
              <w:rPr/>
              <w:t> </w:t>
            </w:r>
          </w:p>
        </w:tc>
        <w:tc>
          <w:tcPr>
            <w:tcW w:w="1092"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Loan portfolio</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w:t>
            </w:r>
          </w:p>
        </w:tc>
        <w:tc>
          <w:tcPr>
            <w:tcW w:w="1067" w:type="dxa"/>
            <w:tcBorders/>
            <w:shd w:fill="FFFFFF" w:val="clear"/>
            <w:vAlign w:val="center"/>
          </w:tcPr>
          <w:p>
            <w:pPr>
              <w:pStyle w:val="TableContents"/>
              <w:bidi w:val="0"/>
              <w:spacing w:before="0" w:after="283"/>
              <w:jc w:val="right"/>
              <w:rPr/>
            </w:pPr>
            <w:r>
              <w:rPr/>
              <w:t>20,413</w:t>
            </w:r>
          </w:p>
        </w:tc>
        <w:tc>
          <w:tcPr>
            <w:tcW w:w="13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w:t>
            </w:r>
          </w:p>
        </w:tc>
        <w:tc>
          <w:tcPr>
            <w:tcW w:w="1073" w:type="dxa"/>
            <w:tcBorders/>
            <w:shd w:fill="FFFFFF" w:val="clear"/>
            <w:vAlign w:val="center"/>
          </w:tcPr>
          <w:p>
            <w:pPr>
              <w:pStyle w:val="TableContents"/>
              <w:bidi w:val="0"/>
              <w:spacing w:before="0" w:after="283"/>
              <w:jc w:val="right"/>
              <w:rPr/>
            </w:pPr>
            <w:r>
              <w:rPr/>
              <w:t>29,863</w:t>
            </w:r>
          </w:p>
        </w:tc>
        <w:tc>
          <w:tcPr>
            <w:tcW w:w="13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w:t>
            </w:r>
          </w:p>
        </w:tc>
        <w:tc>
          <w:tcPr>
            <w:tcW w:w="1092" w:type="dxa"/>
            <w:tcBorders/>
            <w:shd w:fill="FFFFFF" w:val="clear"/>
            <w:vAlign w:val="center"/>
          </w:tcPr>
          <w:p>
            <w:pPr>
              <w:pStyle w:val="TableContents"/>
              <w:bidi w:val="0"/>
              <w:spacing w:before="0" w:after="283"/>
              <w:jc w:val="right"/>
              <w:rPr/>
            </w:pPr>
            <w:r>
              <w:rPr/>
              <w:t>(9,450</w:t>
            </w:r>
          </w:p>
        </w:tc>
        <w:tc>
          <w:tcPr>
            <w:tcW w:w="110" w:type="dxa"/>
            <w:tcBorders/>
            <w:shd w:fill="FFFFFF" w:val="clear"/>
            <w:vAlign w:val="center"/>
          </w:tcPr>
          <w:p>
            <w:pPr>
              <w:pStyle w:val="TableContents"/>
              <w:bidi w:val="0"/>
              <w:spacing w:before="0" w:after="283"/>
              <w:jc w:val="left"/>
              <w:rPr/>
            </w:pPr>
            <w:r>
              <w:rPr/>
              <w:t>)</w:t>
            </w:r>
          </w:p>
        </w:tc>
      </w:tr>
      <w:tr>
        <w:trPr/>
        <w:tc>
          <w:tcPr>
            <w:tcW w:w="2885" w:type="dxa"/>
            <w:tcBorders/>
            <w:shd w:fill="EEEEEE" w:val="clear"/>
            <w:vAlign w:val="center"/>
          </w:tcPr>
          <w:p>
            <w:pPr>
              <w:pStyle w:val="TableContents"/>
              <w:bidi w:val="0"/>
              <w:spacing w:before="0" w:after="283"/>
              <w:jc w:val="center"/>
              <w:rPr>
                <w:b/>
                <w:u w:val="single"/>
              </w:rPr>
            </w:pPr>
            <w:r>
              <w:rPr>
                <w:b/>
                <w:u w:val="single"/>
              </w:rPr>
              <w:t>Interest Bearing Liabilities</w:t>
            </w:r>
          </w:p>
        </w:tc>
        <w:tc>
          <w:tcPr>
            <w:tcW w:w="60" w:type="dxa"/>
            <w:tcBorders/>
            <w:shd w:fill="EEEEEE" w:val="clear"/>
            <w:vAlign w:val="center"/>
          </w:tcPr>
          <w:p>
            <w:pPr>
              <w:pStyle w:val="TableContents"/>
              <w:bidi w:val="0"/>
              <w:spacing w:before="0" w:after="283"/>
              <w:jc w:val="left"/>
              <w:rPr/>
            </w:pPr>
            <w:r>
              <w:rPr/>
              <w:t> </w:t>
            </w:r>
          </w:p>
        </w:tc>
        <w:tc>
          <w:tcPr>
            <w:tcW w:w="198" w:type="dxa"/>
            <w:tcBorders/>
            <w:shd w:fill="EEEEEE" w:val="clear"/>
            <w:vAlign w:val="center"/>
          </w:tcPr>
          <w:p>
            <w:pPr>
              <w:pStyle w:val="TableContents"/>
              <w:bidi w:val="0"/>
              <w:spacing w:before="0" w:after="283"/>
              <w:jc w:val="left"/>
              <w:rPr/>
            </w:pPr>
            <w:r>
              <w:rPr/>
              <w:t> </w:t>
            </w:r>
          </w:p>
        </w:tc>
        <w:tc>
          <w:tcPr>
            <w:tcW w:w="1067" w:type="dxa"/>
            <w:tcBorders/>
            <w:shd w:fill="EEEEEE" w:val="clear"/>
            <w:vAlign w:val="center"/>
          </w:tcPr>
          <w:p>
            <w:pPr>
              <w:pStyle w:val="TableContents"/>
              <w:bidi w:val="0"/>
              <w:spacing w:before="0" w:after="283"/>
              <w:jc w:val="right"/>
              <w:rPr/>
            </w:pPr>
            <w:r>
              <w:rPr/>
              <w:t> </w:t>
            </w:r>
          </w:p>
        </w:tc>
        <w:tc>
          <w:tcPr>
            <w:tcW w:w="134" w:type="dxa"/>
            <w:tcBorders/>
            <w:shd w:fill="EEEEEE" w:val="clear"/>
            <w:vAlign w:val="center"/>
          </w:tcPr>
          <w:p>
            <w:pPr>
              <w:pStyle w:val="TableContents"/>
              <w:bidi w:val="0"/>
              <w:spacing w:before="0" w:after="283"/>
              <w:jc w:val="left"/>
              <w:rPr/>
            </w:pPr>
            <w:r>
              <w:rPr/>
              <w:t> </w:t>
            </w:r>
          </w:p>
        </w:tc>
        <w:tc>
          <w:tcPr>
            <w:tcW w:w="84" w:type="dxa"/>
            <w:tcBorders/>
            <w:shd w:fill="EEEEEE" w:val="clear"/>
            <w:vAlign w:val="center"/>
          </w:tcPr>
          <w:p>
            <w:pPr>
              <w:pStyle w:val="TableContents"/>
              <w:bidi w:val="0"/>
              <w:spacing w:before="0" w:after="283"/>
              <w:jc w:val="left"/>
              <w:rPr/>
            </w:pPr>
            <w:r>
              <w:rPr/>
              <w:t> </w:t>
            </w:r>
          </w:p>
        </w:tc>
        <w:tc>
          <w:tcPr>
            <w:tcW w:w="221" w:type="dxa"/>
            <w:tcBorders/>
            <w:shd w:fill="EEEEEE" w:val="clear"/>
            <w:vAlign w:val="center"/>
          </w:tcPr>
          <w:p>
            <w:pPr>
              <w:pStyle w:val="TableContents"/>
              <w:bidi w:val="0"/>
              <w:spacing w:before="0" w:after="283"/>
              <w:jc w:val="left"/>
              <w:rPr/>
            </w:pPr>
            <w:r>
              <w:rPr/>
              <w:t> </w:t>
            </w:r>
          </w:p>
        </w:tc>
        <w:tc>
          <w:tcPr>
            <w:tcW w:w="1073" w:type="dxa"/>
            <w:tcBorders/>
            <w:shd w:fill="EEEEEE" w:val="clear"/>
            <w:vAlign w:val="center"/>
          </w:tcPr>
          <w:p>
            <w:pPr>
              <w:pStyle w:val="TableContents"/>
              <w:bidi w:val="0"/>
              <w:spacing w:before="0" w:after="283"/>
              <w:jc w:val="right"/>
              <w:rPr/>
            </w:pPr>
            <w:r>
              <w:rPr/>
              <w:t> </w:t>
            </w:r>
          </w:p>
        </w:tc>
        <w:tc>
          <w:tcPr>
            <w:tcW w:w="134" w:type="dxa"/>
            <w:tcBorders/>
            <w:shd w:fill="EEEEEE" w:val="clear"/>
            <w:vAlign w:val="center"/>
          </w:tcPr>
          <w:p>
            <w:pPr>
              <w:pStyle w:val="TableContents"/>
              <w:bidi w:val="0"/>
              <w:spacing w:before="0" w:after="283"/>
              <w:jc w:val="left"/>
              <w:rPr/>
            </w:pPr>
            <w:r>
              <w:rPr/>
              <w:t> </w:t>
            </w:r>
          </w:p>
        </w:tc>
        <w:tc>
          <w:tcPr>
            <w:tcW w:w="84" w:type="dxa"/>
            <w:tcBorders/>
            <w:shd w:fill="EEEEEE" w:val="clear"/>
            <w:vAlign w:val="center"/>
          </w:tcPr>
          <w:p>
            <w:pPr>
              <w:pStyle w:val="TableContents"/>
              <w:bidi w:val="0"/>
              <w:spacing w:before="0" w:after="283"/>
              <w:jc w:val="left"/>
              <w:rPr/>
            </w:pPr>
            <w:r>
              <w:rPr/>
              <w:t> </w:t>
            </w:r>
          </w:p>
        </w:tc>
        <w:tc>
          <w:tcPr>
            <w:tcW w:w="202" w:type="dxa"/>
            <w:tcBorders/>
            <w:shd w:fill="EEEEEE" w:val="clear"/>
            <w:vAlign w:val="center"/>
          </w:tcPr>
          <w:p>
            <w:pPr>
              <w:pStyle w:val="TableContents"/>
              <w:bidi w:val="0"/>
              <w:spacing w:before="0" w:after="283"/>
              <w:jc w:val="left"/>
              <w:rPr/>
            </w:pPr>
            <w:r>
              <w:rPr/>
              <w:t> </w:t>
            </w:r>
          </w:p>
        </w:tc>
        <w:tc>
          <w:tcPr>
            <w:tcW w:w="1092"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Warehouse lines of credit</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8,634</w:t>
            </w:r>
          </w:p>
        </w:tc>
        <w:tc>
          <w:tcPr>
            <w:tcW w:w="13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2,724</w:t>
            </w:r>
          </w:p>
        </w:tc>
        <w:tc>
          <w:tcPr>
            <w:tcW w:w="13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pPr>
            <w:r>
              <w:rPr/>
              <w:t>5,910</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EEEEEE" w:val="clear"/>
            <w:vAlign w:val="center"/>
          </w:tcPr>
          <w:p>
            <w:pPr>
              <w:pStyle w:val="TableContents"/>
              <w:bidi w:val="0"/>
              <w:spacing w:before="0" w:after="283"/>
              <w:jc w:val="left"/>
              <w:rPr/>
            </w:pPr>
            <w:r>
              <w:rPr/>
              <w:t>Residual interest financing</w:t>
            </w:r>
          </w:p>
        </w:tc>
        <w:tc>
          <w:tcPr>
            <w:tcW w:w="60" w:type="dxa"/>
            <w:tcBorders/>
            <w:shd w:fill="EEEEEE" w:val="clear"/>
            <w:vAlign w:val="center"/>
          </w:tcPr>
          <w:p>
            <w:pPr>
              <w:pStyle w:val="TableContents"/>
              <w:bidi w:val="0"/>
              <w:spacing w:before="0" w:after="283"/>
              <w:jc w:val="left"/>
              <w:rPr/>
            </w:pPr>
            <w:r>
              <w:rPr/>
              <w:t> </w:t>
            </w:r>
          </w:p>
        </w:tc>
        <w:tc>
          <w:tcPr>
            <w:tcW w:w="198" w:type="dxa"/>
            <w:tcBorders/>
            <w:shd w:fill="EEEEEE" w:val="clear"/>
            <w:vAlign w:val="center"/>
          </w:tcPr>
          <w:p>
            <w:pPr>
              <w:pStyle w:val="TableContents"/>
              <w:bidi w:val="0"/>
              <w:spacing w:before="0" w:after="283"/>
              <w:jc w:val="left"/>
              <w:rPr/>
            </w:pPr>
            <w:r>
              <w:rPr/>
              <w:t> </w:t>
            </w:r>
          </w:p>
        </w:tc>
        <w:tc>
          <w:tcPr>
            <w:tcW w:w="1067" w:type="dxa"/>
            <w:tcBorders/>
            <w:shd w:fill="EEEEEE" w:val="clear"/>
            <w:vAlign w:val="center"/>
          </w:tcPr>
          <w:p>
            <w:pPr>
              <w:pStyle w:val="TableContents"/>
              <w:bidi w:val="0"/>
              <w:spacing w:before="0" w:after="283"/>
              <w:jc w:val="right"/>
              <w:rPr/>
            </w:pPr>
            <w:r>
              <w:rPr/>
              <w:t>(44</w:t>
            </w:r>
          </w:p>
        </w:tc>
        <w:tc>
          <w:tcPr>
            <w:tcW w:w="134" w:type="dxa"/>
            <w:tcBorders/>
            <w:shd w:fill="EEEEEE" w:val="clear"/>
            <w:vAlign w:val="center"/>
          </w:tcPr>
          <w:p>
            <w:pPr>
              <w:pStyle w:val="TableContents"/>
              <w:bidi w:val="0"/>
              <w:spacing w:before="0" w:after="283"/>
              <w:jc w:val="left"/>
              <w:rPr/>
            </w:pPr>
            <w:r>
              <w:rPr/>
              <w:t>)</w:t>
            </w:r>
          </w:p>
        </w:tc>
        <w:tc>
          <w:tcPr>
            <w:tcW w:w="84" w:type="dxa"/>
            <w:tcBorders/>
            <w:shd w:fill="EEEEEE" w:val="clear"/>
            <w:vAlign w:val="center"/>
          </w:tcPr>
          <w:p>
            <w:pPr>
              <w:pStyle w:val="TableContents"/>
              <w:bidi w:val="0"/>
              <w:spacing w:before="0" w:after="283"/>
              <w:jc w:val="left"/>
              <w:rPr/>
            </w:pPr>
            <w:r>
              <w:rPr/>
              <w:t> </w:t>
            </w:r>
          </w:p>
        </w:tc>
        <w:tc>
          <w:tcPr>
            <w:tcW w:w="221" w:type="dxa"/>
            <w:tcBorders/>
            <w:shd w:fill="EEEEEE" w:val="clear"/>
            <w:vAlign w:val="center"/>
          </w:tcPr>
          <w:p>
            <w:pPr>
              <w:pStyle w:val="TableContents"/>
              <w:bidi w:val="0"/>
              <w:spacing w:before="0" w:after="283"/>
              <w:jc w:val="left"/>
              <w:rPr/>
            </w:pPr>
            <w:r>
              <w:rPr/>
              <w:t> </w:t>
            </w:r>
          </w:p>
        </w:tc>
        <w:tc>
          <w:tcPr>
            <w:tcW w:w="1073" w:type="dxa"/>
            <w:tcBorders/>
            <w:shd w:fill="EEEEEE" w:val="clear"/>
            <w:vAlign w:val="center"/>
          </w:tcPr>
          <w:p>
            <w:pPr>
              <w:pStyle w:val="TableContents"/>
              <w:bidi w:val="0"/>
              <w:spacing w:before="0" w:after="283"/>
              <w:jc w:val="right"/>
              <w:rPr/>
            </w:pPr>
            <w:r>
              <w:rPr/>
              <w:t>(40</w:t>
            </w:r>
          </w:p>
        </w:tc>
        <w:tc>
          <w:tcPr>
            <w:tcW w:w="134" w:type="dxa"/>
            <w:tcBorders/>
            <w:shd w:fill="EEEEEE" w:val="clear"/>
            <w:vAlign w:val="center"/>
          </w:tcPr>
          <w:p>
            <w:pPr>
              <w:pStyle w:val="TableContents"/>
              <w:bidi w:val="0"/>
              <w:spacing w:before="0" w:after="283"/>
              <w:jc w:val="left"/>
              <w:rPr/>
            </w:pPr>
            <w:r>
              <w:rPr/>
              <w:t>)</w:t>
            </w:r>
          </w:p>
        </w:tc>
        <w:tc>
          <w:tcPr>
            <w:tcW w:w="84" w:type="dxa"/>
            <w:tcBorders/>
            <w:shd w:fill="EEEEEE" w:val="clear"/>
            <w:vAlign w:val="center"/>
          </w:tcPr>
          <w:p>
            <w:pPr>
              <w:pStyle w:val="TableContents"/>
              <w:bidi w:val="0"/>
              <w:spacing w:before="0" w:after="283"/>
              <w:jc w:val="left"/>
              <w:rPr/>
            </w:pPr>
            <w:r>
              <w:rPr/>
              <w:t> </w:t>
            </w:r>
          </w:p>
        </w:tc>
        <w:tc>
          <w:tcPr>
            <w:tcW w:w="202" w:type="dxa"/>
            <w:tcBorders/>
            <w:shd w:fill="EEEEEE" w:val="clear"/>
            <w:vAlign w:val="center"/>
          </w:tcPr>
          <w:p>
            <w:pPr>
              <w:pStyle w:val="TableContents"/>
              <w:bidi w:val="0"/>
              <w:spacing w:before="0" w:after="283"/>
              <w:jc w:val="left"/>
              <w:rPr/>
            </w:pPr>
            <w:r>
              <w:rPr/>
              <w:t> </w:t>
            </w:r>
          </w:p>
        </w:tc>
        <w:tc>
          <w:tcPr>
            <w:tcW w:w="1092" w:type="dxa"/>
            <w:tcBorders/>
            <w:shd w:fill="EEEEEE" w:val="clear"/>
            <w:vAlign w:val="center"/>
          </w:tcPr>
          <w:p>
            <w:pPr>
              <w:pStyle w:val="TableContents"/>
              <w:bidi w:val="0"/>
              <w:spacing w:before="0" w:after="283"/>
              <w:jc w:val="right"/>
              <w:rPr/>
            </w:pPr>
            <w:r>
              <w:rPr/>
              <w:t>(4</w:t>
            </w:r>
          </w:p>
        </w:tc>
        <w:tc>
          <w:tcPr>
            <w:tcW w:w="110" w:type="dxa"/>
            <w:tcBorders/>
            <w:shd w:fill="EEEEEE"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pPr>
            <w:r>
              <w:rPr/>
              <w:t>Securitization trust debt</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39,466</w:t>
            </w:r>
          </w:p>
        </w:tc>
        <w:tc>
          <w:tcPr>
            <w:tcW w:w="13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(1,366</w:t>
            </w:r>
          </w:p>
        </w:tc>
        <w:tc>
          <w:tcPr>
            <w:tcW w:w="134" w:type="dxa"/>
            <w:tcBorders/>
            <w:shd w:fill="FFFFFF" w:val="clear"/>
            <w:vAlign w:val="center"/>
          </w:tcPr>
          <w:p>
            <w:pPr>
              <w:pStyle w:val="TableContents"/>
              <w:bidi w:val="0"/>
              <w:spacing w:before="0" w:after="283"/>
              <w:jc w:val="left"/>
              <w:rPr/>
            </w:pPr>
            <w:r>
              <w:rPr/>
              <w:t>)</w:t>
            </w:r>
          </w:p>
        </w:tc>
        <w:tc>
          <w:tcPr>
            <w:tcW w:w="84"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pPr>
            <w:r>
              <w:rPr/>
              <w:t>40,832</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EEEEEE" w:val="clear"/>
            <w:vAlign w:val="center"/>
          </w:tcPr>
          <w:p>
            <w:pPr>
              <w:pStyle w:val="TableContents"/>
              <w:bidi w:val="0"/>
              <w:spacing w:before="0" w:after="283"/>
              <w:jc w:val="left"/>
              <w:rPr/>
            </w:pPr>
            <w:r>
              <w:rPr/>
              <w:t>Subordinated renewable notes</w:t>
            </w:r>
          </w:p>
        </w:tc>
        <w:tc>
          <w:tcPr>
            <w:tcW w:w="60" w:type="dxa"/>
            <w:tcBorders/>
            <w:shd w:fill="EEEEEE" w:val="clear"/>
            <w:vAlign w:val="center"/>
          </w:tcPr>
          <w:p>
            <w:pPr>
              <w:pStyle w:val="TableContents"/>
              <w:bidi w:val="0"/>
              <w:spacing w:before="0" w:after="283"/>
              <w:jc w:val="left"/>
              <w:rPr/>
            </w:pPr>
            <w:r>
              <w:rPr/>
              <w:t> </w:t>
            </w:r>
          </w:p>
        </w:tc>
        <w:tc>
          <w:tcPr>
            <w:tcW w:w="198"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67" w:type="dxa"/>
            <w:tcBorders>
              <w:bottom w:val="single" w:sz="8" w:space="0" w:color="000000"/>
            </w:tcBorders>
            <w:shd w:fill="EEEEEE" w:val="clear"/>
            <w:tcMar>
              <w:bottom w:w="28" w:type="dxa"/>
            </w:tcMar>
            <w:vAlign w:val="center"/>
          </w:tcPr>
          <w:p>
            <w:pPr>
              <w:pStyle w:val="TableContents"/>
              <w:bidi w:val="0"/>
              <w:spacing w:before="0" w:after="283"/>
              <w:jc w:val="right"/>
              <w:rPr/>
            </w:pPr>
            <w:r>
              <w:rPr/>
              <w:t>(357</w:t>
            </w:r>
          </w:p>
        </w:tc>
        <w:tc>
          <w:tcPr>
            <w:tcW w:w="134" w:type="dxa"/>
            <w:tcBorders/>
            <w:shd w:fill="EEEEEE" w:val="clear"/>
            <w:vAlign w:val="center"/>
          </w:tcPr>
          <w:p>
            <w:pPr>
              <w:pStyle w:val="TableContents"/>
              <w:bidi w:val="0"/>
              <w:spacing w:before="0" w:after="283"/>
              <w:jc w:val="left"/>
              <w:rPr/>
            </w:pPr>
            <w:r>
              <w:rPr/>
              <w:t>)</w:t>
            </w:r>
          </w:p>
        </w:tc>
        <w:tc>
          <w:tcPr>
            <w:tcW w:w="84" w:type="dxa"/>
            <w:tcBorders/>
            <w:shd w:fill="EEEEEE" w:val="clear"/>
            <w:vAlign w:val="center"/>
          </w:tcPr>
          <w:p>
            <w:pPr>
              <w:pStyle w:val="TableContents"/>
              <w:bidi w:val="0"/>
              <w:spacing w:before="0" w:after="283"/>
              <w:jc w:val="left"/>
              <w:rPr/>
            </w:pPr>
            <w:r>
              <w:rPr/>
              <w:t> </w:t>
            </w:r>
          </w:p>
        </w:tc>
        <w:tc>
          <w:tcPr>
            <w:tcW w:w="221"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EEEEEE" w:val="clear"/>
            <w:tcMar>
              <w:bottom w:w="28" w:type="dxa"/>
            </w:tcMar>
            <w:vAlign w:val="center"/>
          </w:tcPr>
          <w:p>
            <w:pPr>
              <w:pStyle w:val="TableContents"/>
              <w:bidi w:val="0"/>
              <w:spacing w:before="0" w:after="283"/>
              <w:jc w:val="right"/>
              <w:rPr/>
            </w:pPr>
            <w:r>
              <w:rPr/>
              <w:t>(309</w:t>
            </w:r>
          </w:p>
        </w:tc>
        <w:tc>
          <w:tcPr>
            <w:tcW w:w="134" w:type="dxa"/>
            <w:tcBorders/>
            <w:shd w:fill="EEEEEE" w:val="clear"/>
            <w:vAlign w:val="center"/>
          </w:tcPr>
          <w:p>
            <w:pPr>
              <w:pStyle w:val="TableContents"/>
              <w:bidi w:val="0"/>
              <w:spacing w:before="0" w:after="283"/>
              <w:jc w:val="left"/>
              <w:rPr/>
            </w:pPr>
            <w:r>
              <w:rPr/>
              <w:t>)</w:t>
            </w:r>
          </w:p>
        </w:tc>
        <w:tc>
          <w:tcPr>
            <w:tcW w:w="84" w:type="dxa"/>
            <w:tcBorders/>
            <w:shd w:fill="EEEEEE" w:val="clear"/>
            <w:vAlign w:val="center"/>
          </w:tcPr>
          <w:p>
            <w:pPr>
              <w:pStyle w:val="TableContents"/>
              <w:bidi w:val="0"/>
              <w:spacing w:before="0" w:after="283"/>
              <w:jc w:val="left"/>
              <w:rPr/>
            </w:pPr>
            <w:r>
              <w:rPr/>
              <w:t> </w:t>
            </w:r>
          </w:p>
        </w:tc>
        <w:tc>
          <w:tcPr>
            <w:tcW w:w="202"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92" w:type="dxa"/>
            <w:tcBorders>
              <w:bottom w:val="single" w:sz="8" w:space="0" w:color="000000"/>
            </w:tcBorders>
            <w:shd w:fill="EEEEEE" w:val="clear"/>
            <w:tcMar>
              <w:bottom w:w="28" w:type="dxa"/>
            </w:tcMar>
            <w:vAlign w:val="center"/>
          </w:tcPr>
          <w:p>
            <w:pPr>
              <w:pStyle w:val="TableContents"/>
              <w:bidi w:val="0"/>
              <w:spacing w:before="0" w:after="283"/>
              <w:jc w:val="right"/>
              <w:rPr/>
            </w:pPr>
            <w:r>
              <w:rPr/>
              <w:t>(48</w:t>
            </w:r>
          </w:p>
        </w:tc>
        <w:tc>
          <w:tcPr>
            <w:tcW w:w="110" w:type="dxa"/>
            <w:tcBorders/>
            <w:shd w:fill="EEEEEE"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7" w:type="dxa"/>
            <w:tcBorders>
              <w:bottom w:val="single" w:sz="8" w:space="0" w:color="000000"/>
            </w:tcBorders>
            <w:shd w:fill="FFFFFF" w:val="clear"/>
            <w:tcMar>
              <w:bottom w:w="28" w:type="dxa"/>
            </w:tcMar>
            <w:vAlign w:val="center"/>
          </w:tcPr>
          <w:p>
            <w:pPr>
              <w:pStyle w:val="TableContents"/>
              <w:bidi w:val="0"/>
              <w:spacing w:before="0" w:after="283"/>
              <w:jc w:val="right"/>
              <w:rPr/>
            </w:pPr>
            <w:r>
              <w:rPr/>
              <w:t>47,699</w:t>
            </w:r>
          </w:p>
        </w:tc>
        <w:tc>
          <w:tcPr>
            <w:tcW w:w="13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FFFFFF" w:val="clear"/>
            <w:tcMar>
              <w:bottom w:w="28" w:type="dxa"/>
            </w:tcMar>
            <w:vAlign w:val="center"/>
          </w:tcPr>
          <w:p>
            <w:pPr>
              <w:pStyle w:val="TableContents"/>
              <w:bidi w:val="0"/>
              <w:spacing w:before="0" w:after="283"/>
              <w:jc w:val="right"/>
              <w:rPr/>
            </w:pPr>
            <w:r>
              <w:rPr/>
              <w:t>1,009</w:t>
            </w:r>
          </w:p>
        </w:tc>
        <w:tc>
          <w:tcPr>
            <w:tcW w:w="13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2" w:type="dxa"/>
            <w:tcBorders>
              <w:bottom w:val="single" w:sz="8" w:space="0" w:color="000000"/>
            </w:tcBorders>
            <w:shd w:fill="FFFFFF" w:val="clear"/>
            <w:tcMar>
              <w:bottom w:w="28" w:type="dxa"/>
            </w:tcMar>
            <w:vAlign w:val="center"/>
          </w:tcPr>
          <w:p>
            <w:pPr>
              <w:pStyle w:val="TableContents"/>
              <w:bidi w:val="0"/>
              <w:spacing w:before="0" w:after="283"/>
              <w:jc w:val="right"/>
              <w:rPr/>
            </w:pPr>
            <w:r>
              <w:rPr/>
              <w:t>46,690</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98" w:type="dxa"/>
            <w:tcBorders/>
            <w:shd w:fill="EEEEEE" w:val="clear"/>
            <w:vAlign w:val="center"/>
          </w:tcPr>
          <w:p>
            <w:pPr>
              <w:pStyle w:val="TableContents"/>
              <w:bidi w:val="0"/>
              <w:spacing w:before="0" w:after="283"/>
              <w:jc w:val="left"/>
              <w:rPr/>
            </w:pPr>
            <w:r>
              <w:rPr/>
              <w:t> </w:t>
            </w:r>
          </w:p>
        </w:tc>
        <w:tc>
          <w:tcPr>
            <w:tcW w:w="1067" w:type="dxa"/>
            <w:tcBorders/>
            <w:shd w:fill="EEEEEE" w:val="clear"/>
            <w:vAlign w:val="center"/>
          </w:tcPr>
          <w:p>
            <w:pPr>
              <w:pStyle w:val="TableContents"/>
              <w:bidi w:val="0"/>
              <w:spacing w:before="0" w:after="283"/>
              <w:jc w:val="right"/>
              <w:rPr/>
            </w:pPr>
            <w:r>
              <w:rPr/>
              <w:t> </w:t>
            </w:r>
          </w:p>
        </w:tc>
        <w:tc>
          <w:tcPr>
            <w:tcW w:w="134" w:type="dxa"/>
            <w:tcBorders/>
            <w:shd w:fill="EEEEEE" w:val="clear"/>
            <w:vAlign w:val="center"/>
          </w:tcPr>
          <w:p>
            <w:pPr>
              <w:pStyle w:val="TableContents"/>
              <w:bidi w:val="0"/>
              <w:spacing w:before="0" w:after="283"/>
              <w:jc w:val="left"/>
              <w:rPr/>
            </w:pPr>
            <w:r>
              <w:rPr/>
              <w:t> </w:t>
            </w:r>
          </w:p>
        </w:tc>
        <w:tc>
          <w:tcPr>
            <w:tcW w:w="84" w:type="dxa"/>
            <w:tcBorders/>
            <w:shd w:fill="EEEEEE" w:val="clear"/>
            <w:vAlign w:val="center"/>
          </w:tcPr>
          <w:p>
            <w:pPr>
              <w:pStyle w:val="TableContents"/>
              <w:bidi w:val="0"/>
              <w:spacing w:before="0" w:after="283"/>
              <w:jc w:val="left"/>
              <w:rPr/>
            </w:pPr>
            <w:r>
              <w:rPr/>
              <w:t> </w:t>
            </w:r>
          </w:p>
        </w:tc>
        <w:tc>
          <w:tcPr>
            <w:tcW w:w="221" w:type="dxa"/>
            <w:tcBorders/>
            <w:shd w:fill="EEEEEE" w:val="clear"/>
            <w:vAlign w:val="center"/>
          </w:tcPr>
          <w:p>
            <w:pPr>
              <w:pStyle w:val="TableContents"/>
              <w:bidi w:val="0"/>
              <w:spacing w:before="0" w:after="283"/>
              <w:jc w:val="left"/>
              <w:rPr/>
            </w:pPr>
            <w:r>
              <w:rPr/>
              <w:t> </w:t>
            </w:r>
          </w:p>
        </w:tc>
        <w:tc>
          <w:tcPr>
            <w:tcW w:w="1073" w:type="dxa"/>
            <w:tcBorders/>
            <w:shd w:fill="EEEEEE" w:val="clear"/>
            <w:vAlign w:val="center"/>
          </w:tcPr>
          <w:p>
            <w:pPr>
              <w:pStyle w:val="TableContents"/>
              <w:bidi w:val="0"/>
              <w:spacing w:before="0" w:after="283"/>
              <w:jc w:val="right"/>
              <w:rPr/>
            </w:pPr>
            <w:r>
              <w:rPr/>
              <w:t> </w:t>
            </w:r>
          </w:p>
        </w:tc>
        <w:tc>
          <w:tcPr>
            <w:tcW w:w="134" w:type="dxa"/>
            <w:tcBorders/>
            <w:shd w:fill="EEEEEE" w:val="clear"/>
            <w:vAlign w:val="center"/>
          </w:tcPr>
          <w:p>
            <w:pPr>
              <w:pStyle w:val="TableContents"/>
              <w:bidi w:val="0"/>
              <w:spacing w:before="0" w:after="283"/>
              <w:jc w:val="left"/>
              <w:rPr/>
            </w:pPr>
            <w:r>
              <w:rPr/>
              <w:t> </w:t>
            </w:r>
          </w:p>
        </w:tc>
        <w:tc>
          <w:tcPr>
            <w:tcW w:w="84" w:type="dxa"/>
            <w:tcBorders/>
            <w:shd w:fill="EEEEEE" w:val="clear"/>
            <w:vAlign w:val="center"/>
          </w:tcPr>
          <w:p>
            <w:pPr>
              <w:pStyle w:val="TableContents"/>
              <w:bidi w:val="0"/>
              <w:spacing w:before="0" w:after="283"/>
              <w:jc w:val="left"/>
              <w:rPr/>
            </w:pPr>
            <w:r>
              <w:rPr/>
              <w:t> </w:t>
            </w:r>
          </w:p>
        </w:tc>
        <w:tc>
          <w:tcPr>
            <w:tcW w:w="202" w:type="dxa"/>
            <w:tcBorders/>
            <w:shd w:fill="EEEEEE" w:val="clear"/>
            <w:vAlign w:val="center"/>
          </w:tcPr>
          <w:p>
            <w:pPr>
              <w:pStyle w:val="TableContents"/>
              <w:bidi w:val="0"/>
              <w:spacing w:before="0" w:after="283"/>
              <w:jc w:val="left"/>
              <w:rPr/>
            </w:pPr>
            <w:r>
              <w:rPr/>
              <w:t> </w:t>
            </w:r>
          </w:p>
        </w:tc>
        <w:tc>
          <w:tcPr>
            <w:tcW w:w="1092"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Net interest income/spread</w:t>
            </w:r>
          </w:p>
        </w:tc>
        <w:tc>
          <w:tcPr>
            <w:tcW w:w="60"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67" w:type="dxa"/>
            <w:tcBorders>
              <w:bottom w:val="double" w:sz="6" w:space="0" w:color="000000"/>
            </w:tcBorders>
            <w:shd w:fill="FFFFFF" w:val="clear"/>
            <w:tcMar>
              <w:bottom w:w="28" w:type="dxa"/>
            </w:tcMar>
            <w:vAlign w:val="center"/>
          </w:tcPr>
          <w:p>
            <w:pPr>
              <w:pStyle w:val="TableContents"/>
              <w:bidi w:val="0"/>
              <w:spacing w:before="0" w:after="283"/>
              <w:jc w:val="right"/>
              <w:rPr/>
            </w:pPr>
            <w:r>
              <w:rPr/>
              <w:t>(27,286</w:t>
            </w:r>
          </w:p>
        </w:tc>
        <w:tc>
          <w:tcPr>
            <w:tcW w:w="134" w:type="dxa"/>
            <w:tcBorders/>
            <w:shd w:fill="FFFFFF" w:val="clear"/>
            <w:vAlign w:val="center"/>
          </w:tcPr>
          <w:p>
            <w:pPr>
              <w:pStyle w:val="TableContents"/>
              <w:bidi w:val="0"/>
              <w:spacing w:before="0" w:after="283"/>
              <w:jc w:val="left"/>
              <w:rPr/>
            </w:pPr>
            <w:r>
              <w:rPr/>
              <w:t>)</w:t>
            </w:r>
          </w:p>
        </w:tc>
        <w:tc>
          <w:tcPr>
            <w:tcW w:w="84"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73" w:type="dxa"/>
            <w:tcBorders>
              <w:bottom w:val="double" w:sz="6" w:space="0" w:color="000000"/>
            </w:tcBorders>
            <w:shd w:fill="FFFFFF" w:val="clear"/>
            <w:tcMar>
              <w:bottom w:w="28" w:type="dxa"/>
            </w:tcMar>
            <w:vAlign w:val="center"/>
          </w:tcPr>
          <w:p>
            <w:pPr>
              <w:pStyle w:val="TableContents"/>
              <w:bidi w:val="0"/>
              <w:spacing w:before="0" w:after="283"/>
              <w:jc w:val="right"/>
              <w:rPr/>
            </w:pPr>
            <w:r>
              <w:rPr/>
              <w:t>28,854</w:t>
            </w:r>
          </w:p>
        </w:tc>
        <w:tc>
          <w:tcPr>
            <w:tcW w:w="13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92" w:type="dxa"/>
            <w:tcBorders>
              <w:bottom w:val="double" w:sz="6" w:space="0" w:color="000000"/>
            </w:tcBorders>
            <w:shd w:fill="FFFFFF" w:val="clear"/>
            <w:tcMar>
              <w:bottom w:w="28" w:type="dxa"/>
            </w:tcMar>
            <w:vAlign w:val="center"/>
          </w:tcPr>
          <w:p>
            <w:pPr>
              <w:pStyle w:val="TableContents"/>
              <w:bidi w:val="0"/>
              <w:spacing w:before="0" w:after="283"/>
              <w:jc w:val="right"/>
              <w:rPr/>
            </w:pPr>
            <w:r>
              <w:rPr/>
              <w:t>(56,140</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2023, we recorded a reduction to provision for credit losses on finance receivables in the amount of $20.7 million. The reserve decrease was primarily due to a decrease in lifetime expected credit losses resulting from improved credit performance as our previous estimates for future losses exceeded actual incurred losses. This compares to $23.4 million in reductions to provision for credit losses for the nine months ended September 30, 2022.</w:t>
      </w:r>
    </w:p>
    <w:p>
      <w:pPr>
        <w:pStyle w:val="TextBody"/>
        <w:bidi w:val="0"/>
        <w:spacing w:before="0" w:after="0"/>
        <w:ind w:left="0" w:right="0" w:hanging="0"/>
        <w:jc w:val="left"/>
        <w:rPr/>
      </w:pPr>
      <w:r>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evaluation of the allowance for credit losses indicated that the reserves against future losses are adequate as of September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allowance applies only to our finance receivables originated through December 2017, which we refer to as our legacy portfolio. Finance receivables that we have originated since January 2018 are accounted for at fair value. Under the fair value method of accounting, we recognize interest income net of expected credit losses. Thus, no provision for credit loss expense is recorded for finance receivables measured at fair value.</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expense consists primarily of commission-based compensation paid to our employee sales representatives. Our sales representatives earn a salary plus commissions based on volume of contract purchases and sales of ancillary products and services that we offer our dealers. Sales expenses were $16.5 million for the nine months ended September 30, 2023, and represented 7.9% of total operating expenses. This compares to $17.2 million in the previous year. We purchased $1,056.0 million of new contracts during the nine months ended September 30, 2023 compared to $1,426.3 million in the prior year period.</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Occupancy expenses was $4.8 million for the nine months ending September 30, 2023, which is down from $5.8 million for the same period in 2022.</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expenses decreased to $642,000 compared to $1.2 million in the previous year.</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2023, we recorded income tax expense of $13.1 million, representing a 26% effective tax rate. In the prior period, our income tax expense was $26.0 million, representing a 27% effective tax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Credit Experience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results are dependent on the performance of the automobile contracts in which we retain an ownership interest. Broad economic factors such as recession and significant changes in unemployment levels influence the credit performance of our portfolio, as does the weighted average age of the receivables at any given time. The tables below document the delinquency, repossession and net credit loss experience of all such automobile contracts that we originated or own an interest in as of the respective dates shown.</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Delinquency, Repossession and Extension Experience (1)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Owned Portfolio</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5"/>
        <w:gridCol w:w="60"/>
        <w:gridCol w:w="78"/>
        <w:gridCol w:w="956"/>
        <w:gridCol w:w="215"/>
        <w:gridCol w:w="60"/>
        <w:gridCol w:w="140"/>
        <w:gridCol w:w="980"/>
        <w:gridCol w:w="215"/>
        <w:gridCol w:w="60"/>
        <w:gridCol w:w="78"/>
        <w:gridCol w:w="956"/>
        <w:gridCol w:w="215"/>
        <w:gridCol w:w="60"/>
        <w:gridCol w:w="140"/>
        <w:gridCol w:w="980"/>
        <w:gridCol w:w="215"/>
        <w:gridCol w:w="60"/>
        <w:gridCol w:w="78"/>
        <w:gridCol w:w="956"/>
        <w:gridCol w:w="215"/>
        <w:gridCol w:w="60"/>
        <w:gridCol w:w="140"/>
        <w:gridCol w:w="980"/>
        <w:gridCol w:w="233"/>
      </w:tblGrid>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 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 2022</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 2022</w:t>
            </w:r>
          </w:p>
        </w:tc>
        <w:tc>
          <w:tcPr>
            <w:tcW w:w="233"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4" w:type="dxa"/>
            <w:gridSpan w:val="2"/>
            <w:tcBorders/>
            <w:vAlign w:val="center"/>
          </w:tcPr>
          <w:p>
            <w:pPr>
              <w:pStyle w:val="TableContents"/>
              <w:bidi w:val="0"/>
              <w:spacing w:before="0" w:after="283"/>
              <w:jc w:val="center"/>
              <w:rPr>
                <w:b/>
              </w:rPr>
            </w:pPr>
            <w:r>
              <w:rPr>
                <w:b/>
              </w:rPr>
              <w:t>Number of</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4" w:type="dxa"/>
            <w:gridSpan w:val="2"/>
            <w:tcBorders/>
            <w:vAlign w:val="center"/>
          </w:tcPr>
          <w:p>
            <w:pPr>
              <w:pStyle w:val="TableContents"/>
              <w:bidi w:val="0"/>
              <w:spacing w:before="0" w:after="283"/>
              <w:jc w:val="center"/>
              <w:rPr>
                <w:b/>
              </w:rPr>
            </w:pPr>
            <w:r>
              <w:rPr>
                <w:b/>
              </w:rPr>
              <w:t>Number of</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4" w:type="dxa"/>
            <w:gridSpan w:val="2"/>
            <w:tcBorders/>
            <w:vAlign w:val="center"/>
          </w:tcPr>
          <w:p>
            <w:pPr>
              <w:pStyle w:val="TableContents"/>
              <w:bidi w:val="0"/>
              <w:spacing w:before="0" w:after="283"/>
              <w:jc w:val="center"/>
              <w:rPr>
                <w:b/>
              </w:rPr>
            </w:pPr>
            <w:r>
              <w:rPr>
                <w:b/>
              </w:rPr>
              <w:t>Number of</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233"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Contracts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Contracts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Contracts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233"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37" w:type="dxa"/>
            <w:gridSpan w:val="22"/>
            <w:tcBorders/>
            <w:vAlign w:val="center"/>
          </w:tcPr>
          <w:p>
            <w:pPr>
              <w:pStyle w:val="TableContents"/>
              <w:bidi w:val="0"/>
              <w:spacing w:before="0" w:after="283"/>
              <w:jc w:val="center"/>
              <w:rPr>
                <w:b/>
              </w:rPr>
            </w:pPr>
            <w:r>
              <w:rPr>
                <w:b/>
              </w:rPr>
              <w:t>(Dollars in thousands)</w:t>
            </w:r>
          </w:p>
        </w:tc>
        <w:tc>
          <w:tcPr>
            <w:tcW w:w="233" w:type="dxa"/>
            <w:tcBorders/>
            <w:vAlign w:val="center"/>
          </w:tcPr>
          <w:p>
            <w:pPr>
              <w:pStyle w:val="TableContents"/>
              <w:bidi w:val="0"/>
              <w:spacing w:before="0" w:after="283"/>
              <w:jc w:val="left"/>
              <w:rPr/>
            </w:pPr>
            <w:r>
              <w:rPr/>
              <w:t> </w:t>
            </w:r>
          </w:p>
        </w:tc>
      </w:tr>
      <w:tr>
        <w:trPr/>
        <w:tc>
          <w:tcPr>
            <w:tcW w:w="2075" w:type="dxa"/>
            <w:tcBorders/>
            <w:shd w:fill="EEEEEE" w:val="clear"/>
            <w:vAlign w:val="center"/>
          </w:tcPr>
          <w:p>
            <w:pPr>
              <w:pStyle w:val="TableContents"/>
              <w:bidi w:val="0"/>
              <w:spacing w:before="0" w:after="283"/>
              <w:jc w:val="left"/>
              <w:rPr>
                <w:b/>
                <w:i/>
              </w:rPr>
            </w:pPr>
            <w:r>
              <w:rPr>
                <w:b/>
                <w:i/>
              </w:rPr>
              <w:t>Delinquency Experience</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56" w:type="dxa"/>
            <w:tcBorders/>
            <w:shd w:fill="EEEEEE" w:val="clear"/>
            <w:vAlign w:val="center"/>
          </w:tcPr>
          <w:p>
            <w:pPr>
              <w:pStyle w:val="TableContents"/>
              <w:bidi w:val="0"/>
              <w:spacing w:before="0" w:after="283"/>
              <w:jc w:val="right"/>
              <w:rPr/>
            </w:pPr>
            <w:r>
              <w:rPr/>
              <w:t> </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56" w:type="dxa"/>
            <w:tcBorders/>
            <w:shd w:fill="EEEEEE" w:val="clear"/>
            <w:vAlign w:val="center"/>
          </w:tcPr>
          <w:p>
            <w:pPr>
              <w:pStyle w:val="TableContents"/>
              <w:bidi w:val="0"/>
              <w:spacing w:before="0" w:after="283"/>
              <w:jc w:val="right"/>
              <w:rPr/>
            </w:pPr>
            <w:r>
              <w:rPr/>
              <w:t> </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56" w:type="dxa"/>
            <w:tcBorders/>
            <w:shd w:fill="EEEEEE" w:val="clear"/>
            <w:vAlign w:val="center"/>
          </w:tcPr>
          <w:p>
            <w:pPr>
              <w:pStyle w:val="TableContents"/>
              <w:bidi w:val="0"/>
              <w:spacing w:before="0" w:after="283"/>
              <w:jc w:val="right"/>
              <w:rPr/>
            </w:pPr>
            <w:r>
              <w:rPr/>
              <w:t> </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233" w:type="dxa"/>
            <w:tcBorders/>
            <w:shd w:fill="EEEEEE"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pPr>
            <w:r>
              <w:rPr/>
              <w:t>Gross servicing portfolio (1)</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177,709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2,943,332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166,370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2,687,308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170,658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2,795,383</w:t>
            </w:r>
          </w:p>
        </w:tc>
        <w:tc>
          <w:tcPr>
            <w:tcW w:w="233" w:type="dxa"/>
            <w:tcBorders/>
            <w:shd w:fill="FFFFFF" w:val="clear"/>
            <w:vAlign w:val="center"/>
          </w:tcPr>
          <w:p>
            <w:pPr>
              <w:pStyle w:val="TableContents"/>
              <w:bidi w:val="0"/>
              <w:spacing w:before="0" w:after="283"/>
              <w:jc w:val="left"/>
              <w:rPr/>
            </w:pPr>
            <w:r>
              <w:rPr/>
              <w:t> </w:t>
            </w:r>
          </w:p>
        </w:tc>
      </w:tr>
      <w:tr>
        <w:trPr/>
        <w:tc>
          <w:tcPr>
            <w:tcW w:w="2075" w:type="dxa"/>
            <w:tcBorders/>
            <w:shd w:fill="EEEEEE" w:val="clear"/>
            <w:vAlign w:val="center"/>
          </w:tcPr>
          <w:p>
            <w:pPr>
              <w:pStyle w:val="TableContents"/>
              <w:bidi w:val="0"/>
              <w:spacing w:before="0" w:after="283"/>
              <w:jc w:val="left"/>
              <w:rPr/>
            </w:pPr>
            <w:r>
              <w:rPr/>
              <w:t>Period of delinquency (2)</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56" w:type="dxa"/>
            <w:tcBorders/>
            <w:shd w:fill="EEEEEE" w:val="clear"/>
            <w:vAlign w:val="center"/>
          </w:tcPr>
          <w:p>
            <w:pPr>
              <w:pStyle w:val="TableContents"/>
              <w:bidi w:val="0"/>
              <w:spacing w:before="0" w:after="283"/>
              <w:jc w:val="right"/>
              <w:rPr/>
            </w:pPr>
            <w:r>
              <w:rPr/>
              <w:t> </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56" w:type="dxa"/>
            <w:tcBorders/>
            <w:shd w:fill="EEEEEE" w:val="clear"/>
            <w:vAlign w:val="center"/>
          </w:tcPr>
          <w:p>
            <w:pPr>
              <w:pStyle w:val="TableContents"/>
              <w:bidi w:val="0"/>
              <w:spacing w:before="0" w:after="283"/>
              <w:jc w:val="right"/>
              <w:rPr/>
            </w:pPr>
            <w:r>
              <w:rPr/>
              <w:t> </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56" w:type="dxa"/>
            <w:tcBorders/>
            <w:shd w:fill="EEEEEE" w:val="clear"/>
            <w:vAlign w:val="center"/>
          </w:tcPr>
          <w:p>
            <w:pPr>
              <w:pStyle w:val="TableContents"/>
              <w:bidi w:val="0"/>
              <w:spacing w:before="0" w:after="283"/>
              <w:jc w:val="right"/>
              <w:rPr/>
            </w:pPr>
            <w:r>
              <w:rPr/>
              <w:t> </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233" w:type="dxa"/>
            <w:tcBorders/>
            <w:shd w:fill="EEEEEE"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pPr>
            <w:r>
              <w:rPr/>
              <w:t>   </w:t>
            </w:r>
            <w:r>
              <w:rPr/>
              <w:t>31-60 days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12,813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199,902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11,642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170,712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13,434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201,764</w:t>
            </w:r>
          </w:p>
        </w:tc>
        <w:tc>
          <w:tcPr>
            <w:tcW w:w="233" w:type="dxa"/>
            <w:tcBorders/>
            <w:shd w:fill="FFFFFF" w:val="clear"/>
            <w:vAlign w:val="center"/>
          </w:tcPr>
          <w:p>
            <w:pPr>
              <w:pStyle w:val="TableContents"/>
              <w:bidi w:val="0"/>
              <w:spacing w:before="0" w:after="283"/>
              <w:jc w:val="left"/>
              <w:rPr/>
            </w:pPr>
            <w:r>
              <w:rPr/>
              <w:t> </w:t>
            </w:r>
          </w:p>
        </w:tc>
      </w:tr>
      <w:tr>
        <w:trPr/>
        <w:tc>
          <w:tcPr>
            <w:tcW w:w="2075" w:type="dxa"/>
            <w:tcBorders/>
            <w:shd w:fill="EEEEEE" w:val="clear"/>
            <w:vAlign w:val="center"/>
          </w:tcPr>
          <w:p>
            <w:pPr>
              <w:pStyle w:val="TableContents"/>
              <w:bidi w:val="0"/>
              <w:spacing w:before="0" w:after="283"/>
              <w:jc w:val="left"/>
              <w:rPr/>
            </w:pPr>
            <w:r>
              <w:rPr/>
              <w:t>   </w:t>
            </w:r>
            <w:r>
              <w:rPr/>
              <w:t>61-90 days</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56" w:type="dxa"/>
            <w:tcBorders/>
            <w:shd w:fill="EEEEEE" w:val="clear"/>
            <w:vAlign w:val="center"/>
          </w:tcPr>
          <w:p>
            <w:pPr>
              <w:pStyle w:val="TableContents"/>
              <w:bidi w:val="0"/>
              <w:spacing w:before="0" w:after="283"/>
              <w:jc w:val="right"/>
              <w:rPr/>
            </w:pPr>
            <w:r>
              <w:rPr/>
              <w:t>6,177</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94,934</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56" w:type="dxa"/>
            <w:tcBorders/>
            <w:shd w:fill="EEEEEE" w:val="clear"/>
            <w:vAlign w:val="center"/>
          </w:tcPr>
          <w:p>
            <w:pPr>
              <w:pStyle w:val="TableContents"/>
              <w:bidi w:val="0"/>
              <w:spacing w:before="0" w:after="283"/>
              <w:jc w:val="right"/>
              <w:rPr/>
            </w:pPr>
            <w:r>
              <w:rPr/>
              <w:t>4,672</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65,935</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56" w:type="dxa"/>
            <w:tcBorders/>
            <w:shd w:fill="EEEEEE" w:val="clear"/>
            <w:vAlign w:val="center"/>
          </w:tcPr>
          <w:p>
            <w:pPr>
              <w:pStyle w:val="TableContents"/>
              <w:bidi w:val="0"/>
              <w:spacing w:before="0" w:after="283"/>
              <w:jc w:val="right"/>
              <w:rPr/>
            </w:pPr>
            <w:r>
              <w:rPr/>
              <w:t>5,481</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80,145</w:t>
            </w:r>
          </w:p>
        </w:tc>
        <w:tc>
          <w:tcPr>
            <w:tcW w:w="233" w:type="dxa"/>
            <w:tcBorders/>
            <w:shd w:fill="EEEEEE"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pPr>
            <w:r>
              <w:rPr/>
              <w:t>   </w:t>
            </w:r>
            <w:r>
              <w:rPr/>
              <w:t>91+ days</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6" w:type="dxa"/>
            <w:tcBorders>
              <w:bottom w:val="single" w:sz="8" w:space="0" w:color="000000"/>
            </w:tcBorders>
            <w:shd w:fill="FFFFFF" w:val="clear"/>
            <w:tcMar>
              <w:bottom w:w="28" w:type="dxa"/>
            </w:tcMar>
            <w:vAlign w:val="center"/>
          </w:tcPr>
          <w:p>
            <w:pPr>
              <w:pStyle w:val="TableContents"/>
              <w:bidi w:val="0"/>
              <w:spacing w:before="0" w:after="283"/>
              <w:jc w:val="right"/>
              <w:rPr/>
            </w:pPr>
            <w:r>
              <w:rPr/>
              <w:t>3,238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50,772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6" w:type="dxa"/>
            <w:tcBorders>
              <w:bottom w:val="single" w:sz="8" w:space="0" w:color="000000"/>
            </w:tcBorders>
            <w:shd w:fill="FFFFFF" w:val="clear"/>
            <w:tcMar>
              <w:bottom w:w="28" w:type="dxa"/>
            </w:tcMar>
            <w:vAlign w:val="center"/>
          </w:tcPr>
          <w:p>
            <w:pPr>
              <w:pStyle w:val="TableContents"/>
              <w:bidi w:val="0"/>
              <w:spacing w:before="0" w:after="283"/>
              <w:jc w:val="right"/>
              <w:rPr/>
            </w:pPr>
            <w:r>
              <w:rPr/>
              <w:t>1,795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24,527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6" w:type="dxa"/>
            <w:tcBorders>
              <w:bottom w:val="single" w:sz="8" w:space="0" w:color="000000"/>
            </w:tcBorders>
            <w:shd w:fill="FFFFFF" w:val="clear"/>
            <w:tcMar>
              <w:bottom w:w="28" w:type="dxa"/>
            </w:tcMar>
            <w:vAlign w:val="center"/>
          </w:tcPr>
          <w:p>
            <w:pPr>
              <w:pStyle w:val="TableContents"/>
              <w:bidi w:val="0"/>
              <w:spacing w:before="0" w:after="283"/>
              <w:jc w:val="right"/>
              <w:rPr/>
            </w:pPr>
            <w:r>
              <w:rPr/>
              <w:t>2,148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31,036</w:t>
            </w:r>
          </w:p>
        </w:tc>
        <w:tc>
          <w:tcPr>
            <w:tcW w:w="233" w:type="dxa"/>
            <w:tcBorders/>
            <w:shd w:fill="FFFFFF" w:val="clear"/>
            <w:vAlign w:val="center"/>
          </w:tcPr>
          <w:p>
            <w:pPr>
              <w:pStyle w:val="TableContents"/>
              <w:bidi w:val="0"/>
              <w:spacing w:before="0" w:after="283"/>
              <w:jc w:val="left"/>
              <w:rPr/>
            </w:pPr>
            <w:r>
              <w:rPr/>
              <w:t> </w:t>
            </w:r>
          </w:p>
        </w:tc>
      </w:tr>
      <w:tr>
        <w:trPr/>
        <w:tc>
          <w:tcPr>
            <w:tcW w:w="2075" w:type="dxa"/>
            <w:tcBorders/>
            <w:shd w:fill="EEEEEE" w:val="clear"/>
            <w:vAlign w:val="center"/>
          </w:tcPr>
          <w:p>
            <w:pPr>
              <w:pStyle w:val="TableContents"/>
              <w:bidi w:val="0"/>
              <w:spacing w:before="0" w:after="283"/>
              <w:jc w:val="left"/>
              <w:rPr/>
            </w:pPr>
            <w:r>
              <w:rPr/>
              <w:t>Total delinquencies (2)</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56" w:type="dxa"/>
            <w:tcBorders/>
            <w:shd w:fill="EEEEEE" w:val="clear"/>
            <w:vAlign w:val="center"/>
          </w:tcPr>
          <w:p>
            <w:pPr>
              <w:pStyle w:val="TableContents"/>
              <w:bidi w:val="0"/>
              <w:spacing w:before="0" w:after="283"/>
              <w:jc w:val="right"/>
              <w:rPr/>
            </w:pPr>
            <w:r>
              <w:rPr/>
              <w:t>22,228</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345,608</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56" w:type="dxa"/>
            <w:tcBorders/>
            <w:shd w:fill="EEEEEE" w:val="clear"/>
            <w:vAlign w:val="center"/>
          </w:tcPr>
          <w:p>
            <w:pPr>
              <w:pStyle w:val="TableContents"/>
              <w:bidi w:val="0"/>
              <w:spacing w:before="0" w:after="283"/>
              <w:jc w:val="right"/>
              <w:rPr/>
            </w:pPr>
            <w:r>
              <w:rPr/>
              <w:t>18,109</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261,174</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56" w:type="dxa"/>
            <w:tcBorders/>
            <w:shd w:fill="EEEEEE" w:val="clear"/>
            <w:vAlign w:val="center"/>
          </w:tcPr>
          <w:p>
            <w:pPr>
              <w:pStyle w:val="TableContents"/>
              <w:bidi w:val="0"/>
              <w:spacing w:before="0" w:after="283"/>
              <w:jc w:val="right"/>
              <w:rPr/>
            </w:pPr>
            <w:r>
              <w:rPr/>
              <w:t>21,063</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312,946</w:t>
            </w:r>
          </w:p>
        </w:tc>
        <w:tc>
          <w:tcPr>
            <w:tcW w:w="233" w:type="dxa"/>
            <w:tcBorders/>
            <w:shd w:fill="EEEEEE"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pPr>
            <w:r>
              <w:rPr/>
              <w:t>Amount in repossession (3)</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6" w:type="dxa"/>
            <w:tcBorders>
              <w:bottom w:val="single" w:sz="8" w:space="0" w:color="000000"/>
            </w:tcBorders>
            <w:shd w:fill="FFFFFF" w:val="clear"/>
            <w:tcMar>
              <w:bottom w:w="28" w:type="dxa"/>
            </w:tcMar>
            <w:vAlign w:val="center"/>
          </w:tcPr>
          <w:p>
            <w:pPr>
              <w:pStyle w:val="TableContents"/>
              <w:bidi w:val="0"/>
              <w:spacing w:before="0" w:after="283"/>
              <w:jc w:val="right"/>
              <w:rPr/>
            </w:pPr>
            <w:r>
              <w:rPr/>
              <w:t>3,284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46,091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6" w:type="dxa"/>
            <w:tcBorders>
              <w:bottom w:val="single" w:sz="8" w:space="0" w:color="000000"/>
            </w:tcBorders>
            <w:shd w:fill="FFFFFF" w:val="clear"/>
            <w:tcMar>
              <w:bottom w:w="28" w:type="dxa"/>
            </w:tcMar>
            <w:vAlign w:val="center"/>
          </w:tcPr>
          <w:p>
            <w:pPr>
              <w:pStyle w:val="TableContents"/>
              <w:bidi w:val="0"/>
              <w:spacing w:before="0" w:after="283"/>
              <w:jc w:val="right"/>
              <w:rPr/>
            </w:pPr>
            <w:r>
              <w:rPr/>
              <w:t>2,331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30,479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6" w:type="dxa"/>
            <w:tcBorders>
              <w:bottom w:val="single" w:sz="8" w:space="0" w:color="000000"/>
            </w:tcBorders>
            <w:shd w:fill="FFFFFF" w:val="clear"/>
            <w:tcMar>
              <w:bottom w:w="28" w:type="dxa"/>
            </w:tcMar>
            <w:vAlign w:val="center"/>
          </w:tcPr>
          <w:p>
            <w:pPr>
              <w:pStyle w:val="TableContents"/>
              <w:bidi w:val="0"/>
              <w:spacing w:before="0" w:after="283"/>
              <w:jc w:val="right"/>
              <w:rPr/>
            </w:pPr>
            <w:r>
              <w:rPr/>
              <w:t>2,904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41,401</w:t>
            </w:r>
          </w:p>
        </w:tc>
        <w:tc>
          <w:tcPr>
            <w:tcW w:w="233" w:type="dxa"/>
            <w:tcBorders/>
            <w:shd w:fill="FFFFFF" w:val="clear"/>
            <w:vAlign w:val="center"/>
          </w:tcPr>
          <w:p>
            <w:pPr>
              <w:pStyle w:val="TableContents"/>
              <w:bidi w:val="0"/>
              <w:spacing w:before="0" w:after="283"/>
              <w:jc w:val="left"/>
              <w:rPr/>
            </w:pPr>
            <w:r>
              <w:rPr/>
              <w:t> </w:t>
            </w:r>
          </w:p>
        </w:tc>
      </w:tr>
      <w:tr>
        <w:trPr/>
        <w:tc>
          <w:tcPr>
            <w:tcW w:w="2075" w:type="dxa"/>
            <w:tcBorders/>
            <w:shd w:fill="EEEEEE" w:val="clear"/>
            <w:vAlign w:val="center"/>
          </w:tcPr>
          <w:p>
            <w:pPr>
              <w:pStyle w:val="TableContents"/>
              <w:bidi w:val="0"/>
              <w:spacing w:before="0" w:after="283"/>
              <w:jc w:val="left"/>
              <w:rPr/>
            </w:pPr>
            <w:r>
              <w:rPr/>
              <w:t>Total delinquencies and amount in repossession (2)</w:t>
            </w:r>
          </w:p>
        </w:tc>
        <w:tc>
          <w:tcPr>
            <w:tcW w:w="60" w:type="dxa"/>
            <w:tcBorders/>
            <w:shd w:fill="EEEEEE" w:val="clear"/>
            <w:vAlign w:val="center"/>
          </w:tcPr>
          <w:p>
            <w:pPr>
              <w:pStyle w:val="TableContents"/>
              <w:bidi w:val="0"/>
              <w:spacing w:before="0" w:after="283"/>
              <w:jc w:val="left"/>
              <w:rPr/>
            </w:pPr>
            <w:r>
              <w:rPr/>
              <w:t> </w:t>
            </w:r>
          </w:p>
        </w:tc>
        <w:tc>
          <w:tcPr>
            <w:tcW w:w="78"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956" w:type="dxa"/>
            <w:tcBorders>
              <w:bottom w:val="double" w:sz="6" w:space="0" w:color="000000"/>
            </w:tcBorders>
            <w:shd w:fill="EEEEEE" w:val="clear"/>
            <w:tcMar>
              <w:bottom w:w="28" w:type="dxa"/>
            </w:tcMar>
            <w:vAlign w:val="center"/>
          </w:tcPr>
          <w:p>
            <w:pPr>
              <w:pStyle w:val="TableContents"/>
              <w:bidi w:val="0"/>
              <w:spacing w:before="0" w:after="283"/>
              <w:jc w:val="right"/>
              <w:rPr/>
            </w:pPr>
            <w:r>
              <w:rPr/>
              <w:t>25,512</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r>
              <w:rPr/>
              <w:t>391,699</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8"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956" w:type="dxa"/>
            <w:tcBorders>
              <w:bottom w:val="double" w:sz="6" w:space="0" w:color="000000"/>
            </w:tcBorders>
            <w:shd w:fill="EEEEEE" w:val="clear"/>
            <w:tcMar>
              <w:bottom w:w="28" w:type="dxa"/>
            </w:tcMar>
            <w:vAlign w:val="center"/>
          </w:tcPr>
          <w:p>
            <w:pPr>
              <w:pStyle w:val="TableContents"/>
              <w:bidi w:val="0"/>
              <w:spacing w:before="0" w:after="283"/>
              <w:jc w:val="right"/>
              <w:rPr/>
            </w:pPr>
            <w:r>
              <w:rPr/>
              <w:t>20,440</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r>
              <w:rPr/>
              <w:t>291,653</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8"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956" w:type="dxa"/>
            <w:tcBorders>
              <w:bottom w:val="double" w:sz="6" w:space="0" w:color="000000"/>
            </w:tcBorders>
            <w:shd w:fill="EEEEEE" w:val="clear"/>
            <w:tcMar>
              <w:bottom w:w="28" w:type="dxa"/>
            </w:tcMar>
            <w:vAlign w:val="center"/>
          </w:tcPr>
          <w:p>
            <w:pPr>
              <w:pStyle w:val="TableContents"/>
              <w:bidi w:val="0"/>
              <w:spacing w:before="0" w:after="283"/>
              <w:jc w:val="right"/>
              <w:rPr/>
            </w:pPr>
            <w:r>
              <w:rPr/>
              <w:t>23,967</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r>
              <w:rPr/>
              <w:t>354,347</w:t>
            </w:r>
          </w:p>
        </w:tc>
        <w:tc>
          <w:tcPr>
            <w:tcW w:w="233" w:type="dxa"/>
            <w:tcBorders/>
            <w:shd w:fill="EEEEEE"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r>
      <w:tr>
        <w:trPr/>
        <w:tc>
          <w:tcPr>
            <w:tcW w:w="2075" w:type="dxa"/>
            <w:tcBorders/>
            <w:shd w:fill="EEEEEE" w:val="clear"/>
            <w:vAlign w:val="center"/>
          </w:tcPr>
          <w:p>
            <w:pPr>
              <w:pStyle w:val="TableContents"/>
              <w:bidi w:val="0"/>
              <w:spacing w:before="0" w:after="283"/>
              <w:jc w:val="left"/>
              <w:rPr/>
            </w:pPr>
            <w:r>
              <w:rPr/>
              <w:t>Delinquencies as a percentage of gross servicing portfolio</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56" w:type="dxa"/>
            <w:tcBorders/>
            <w:shd w:fill="EEEEEE" w:val="clear"/>
            <w:vAlign w:val="center"/>
          </w:tcPr>
          <w:p>
            <w:pPr>
              <w:pStyle w:val="TableContents"/>
              <w:bidi w:val="0"/>
              <w:spacing w:before="0" w:after="283"/>
              <w:jc w:val="right"/>
              <w:rPr/>
            </w:pPr>
            <w:r>
              <w:rPr/>
              <w:t>12.5</w:t>
            </w:r>
          </w:p>
        </w:tc>
        <w:tc>
          <w:tcPr>
            <w:tcW w:w="21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11.7</w:t>
            </w:r>
          </w:p>
        </w:tc>
        <w:tc>
          <w:tcPr>
            <w:tcW w:w="21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56" w:type="dxa"/>
            <w:tcBorders/>
            <w:shd w:fill="EEEEEE" w:val="clear"/>
            <w:vAlign w:val="center"/>
          </w:tcPr>
          <w:p>
            <w:pPr>
              <w:pStyle w:val="TableContents"/>
              <w:bidi w:val="0"/>
              <w:spacing w:before="0" w:after="283"/>
              <w:jc w:val="right"/>
              <w:rPr/>
            </w:pPr>
            <w:r>
              <w:rPr/>
              <w:t>10.9</w:t>
            </w:r>
          </w:p>
        </w:tc>
        <w:tc>
          <w:tcPr>
            <w:tcW w:w="21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9.7</w:t>
            </w:r>
          </w:p>
        </w:tc>
        <w:tc>
          <w:tcPr>
            <w:tcW w:w="21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56" w:type="dxa"/>
            <w:tcBorders/>
            <w:shd w:fill="EEEEEE" w:val="clear"/>
            <w:vAlign w:val="center"/>
          </w:tcPr>
          <w:p>
            <w:pPr>
              <w:pStyle w:val="TableContents"/>
              <w:bidi w:val="0"/>
              <w:spacing w:before="0" w:after="283"/>
              <w:jc w:val="right"/>
              <w:rPr/>
            </w:pPr>
            <w:r>
              <w:rPr/>
              <w:t>12.3</w:t>
            </w:r>
          </w:p>
        </w:tc>
        <w:tc>
          <w:tcPr>
            <w:tcW w:w="21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11.2</w:t>
            </w:r>
          </w:p>
        </w:tc>
        <w:tc>
          <w:tcPr>
            <w:tcW w:w="233" w:type="dxa"/>
            <w:tcBorders/>
            <w:shd w:fill="EEEEEE" w:val="clear"/>
            <w:vAlign w:val="center"/>
          </w:tcPr>
          <w:p>
            <w:pPr>
              <w:pStyle w:val="TableContents"/>
              <w:bidi w:val="0"/>
              <w:spacing w:before="0" w:after="283"/>
              <w:jc w:val="left"/>
              <w:rPr/>
            </w:pPr>
            <w:r>
              <w:rPr/>
              <w:t>%</w:t>
            </w:r>
          </w:p>
        </w:tc>
      </w:tr>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r>
      <w:tr>
        <w:trPr/>
        <w:tc>
          <w:tcPr>
            <w:tcW w:w="2075" w:type="dxa"/>
            <w:tcBorders/>
            <w:shd w:fill="EEEEEE" w:val="clear"/>
            <w:vAlign w:val="center"/>
          </w:tcPr>
          <w:p>
            <w:pPr>
              <w:pStyle w:val="TableContents"/>
              <w:bidi w:val="0"/>
              <w:spacing w:before="0" w:after="283"/>
              <w:jc w:val="left"/>
              <w:rPr/>
            </w:pPr>
            <w:r>
              <w:rPr/>
              <w:t>Total delinquencies and amount in repossession as a percentage of gross servicing portfolio</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56" w:type="dxa"/>
            <w:tcBorders/>
            <w:shd w:fill="EEEEEE" w:val="clear"/>
            <w:vAlign w:val="center"/>
          </w:tcPr>
          <w:p>
            <w:pPr>
              <w:pStyle w:val="TableContents"/>
              <w:bidi w:val="0"/>
              <w:spacing w:before="0" w:after="283"/>
              <w:jc w:val="right"/>
              <w:rPr/>
            </w:pPr>
            <w:r>
              <w:rPr/>
              <w:t>14.4</w:t>
            </w:r>
          </w:p>
        </w:tc>
        <w:tc>
          <w:tcPr>
            <w:tcW w:w="21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13.3</w:t>
            </w:r>
          </w:p>
        </w:tc>
        <w:tc>
          <w:tcPr>
            <w:tcW w:w="21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56" w:type="dxa"/>
            <w:tcBorders/>
            <w:shd w:fill="EEEEEE" w:val="clear"/>
            <w:vAlign w:val="center"/>
          </w:tcPr>
          <w:p>
            <w:pPr>
              <w:pStyle w:val="TableContents"/>
              <w:bidi w:val="0"/>
              <w:spacing w:before="0" w:after="283"/>
              <w:jc w:val="right"/>
              <w:rPr/>
            </w:pPr>
            <w:r>
              <w:rPr/>
              <w:t>12.3</w:t>
            </w:r>
          </w:p>
        </w:tc>
        <w:tc>
          <w:tcPr>
            <w:tcW w:w="21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10.9</w:t>
            </w:r>
          </w:p>
        </w:tc>
        <w:tc>
          <w:tcPr>
            <w:tcW w:w="21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56" w:type="dxa"/>
            <w:tcBorders/>
            <w:shd w:fill="EEEEEE" w:val="clear"/>
            <w:vAlign w:val="center"/>
          </w:tcPr>
          <w:p>
            <w:pPr>
              <w:pStyle w:val="TableContents"/>
              <w:bidi w:val="0"/>
              <w:spacing w:before="0" w:after="283"/>
              <w:jc w:val="right"/>
              <w:rPr/>
            </w:pPr>
            <w:r>
              <w:rPr/>
              <w:t>14.0</w:t>
            </w:r>
          </w:p>
        </w:tc>
        <w:tc>
          <w:tcPr>
            <w:tcW w:w="21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12.7</w:t>
            </w:r>
          </w:p>
        </w:tc>
        <w:tc>
          <w:tcPr>
            <w:tcW w:w="233" w:type="dxa"/>
            <w:tcBorders/>
            <w:shd w:fill="EEEEEE" w:val="clear"/>
            <w:vAlign w:val="center"/>
          </w:tcPr>
          <w:p>
            <w:pPr>
              <w:pStyle w:val="TableContents"/>
              <w:bidi w:val="0"/>
              <w:spacing w:before="0" w:after="283"/>
              <w:jc w:val="left"/>
              <w:rPr/>
            </w:pPr>
            <w:r>
              <w:rPr/>
              <w:t>%</w:t>
            </w:r>
          </w:p>
        </w:tc>
      </w:tr>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r>
      <w:tr>
        <w:trPr/>
        <w:tc>
          <w:tcPr>
            <w:tcW w:w="2075" w:type="dxa"/>
            <w:tcBorders/>
            <w:shd w:fill="EEEEEE" w:val="clear"/>
            <w:vAlign w:val="center"/>
          </w:tcPr>
          <w:p>
            <w:pPr>
              <w:pStyle w:val="TableContents"/>
              <w:bidi w:val="0"/>
              <w:spacing w:before="0" w:after="283"/>
              <w:jc w:val="left"/>
              <w:rPr>
                <w:b/>
                <w:i/>
              </w:rPr>
            </w:pPr>
            <w:r>
              <w:rPr>
                <w:b/>
                <w:i/>
              </w:rPr>
              <w:t>Extension Experience</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56" w:type="dxa"/>
            <w:tcBorders/>
            <w:shd w:fill="EEEEEE" w:val="clear"/>
            <w:vAlign w:val="center"/>
          </w:tcPr>
          <w:p>
            <w:pPr>
              <w:pStyle w:val="TableContents"/>
              <w:bidi w:val="0"/>
              <w:spacing w:before="0" w:after="283"/>
              <w:jc w:val="right"/>
              <w:rPr/>
            </w:pPr>
            <w:r>
              <w:rPr/>
              <w:t> </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56" w:type="dxa"/>
            <w:tcBorders/>
            <w:shd w:fill="EEEEEE" w:val="clear"/>
            <w:vAlign w:val="center"/>
          </w:tcPr>
          <w:p>
            <w:pPr>
              <w:pStyle w:val="TableContents"/>
              <w:bidi w:val="0"/>
              <w:spacing w:before="0" w:after="283"/>
              <w:jc w:val="right"/>
              <w:rPr/>
            </w:pPr>
            <w:r>
              <w:rPr/>
              <w:t> </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56" w:type="dxa"/>
            <w:tcBorders/>
            <w:shd w:fill="EEEEEE" w:val="clear"/>
            <w:vAlign w:val="center"/>
          </w:tcPr>
          <w:p>
            <w:pPr>
              <w:pStyle w:val="TableContents"/>
              <w:bidi w:val="0"/>
              <w:spacing w:before="0" w:after="283"/>
              <w:jc w:val="right"/>
              <w:rPr/>
            </w:pPr>
            <w:r>
              <w:rPr/>
              <w:t> </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233" w:type="dxa"/>
            <w:tcBorders/>
            <w:shd w:fill="EEEEEE"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pPr>
            <w:r>
              <w:rPr/>
              <w:t>Contracts with one extension, accruing</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32,763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591,593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29,683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397,622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27,584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464,323</w:t>
            </w:r>
          </w:p>
        </w:tc>
        <w:tc>
          <w:tcPr>
            <w:tcW w:w="233" w:type="dxa"/>
            <w:tcBorders/>
            <w:shd w:fill="FFFFFF" w:val="clear"/>
            <w:vAlign w:val="center"/>
          </w:tcPr>
          <w:p>
            <w:pPr>
              <w:pStyle w:val="TableContents"/>
              <w:bidi w:val="0"/>
              <w:spacing w:before="0" w:after="283"/>
              <w:jc w:val="left"/>
              <w:rPr/>
            </w:pPr>
            <w:r>
              <w:rPr/>
              <w:t> </w:t>
            </w:r>
          </w:p>
        </w:tc>
      </w:tr>
      <w:tr>
        <w:trPr/>
        <w:tc>
          <w:tcPr>
            <w:tcW w:w="2075" w:type="dxa"/>
            <w:tcBorders/>
            <w:shd w:fill="EEEEEE" w:val="clear"/>
            <w:vAlign w:val="center"/>
          </w:tcPr>
          <w:p>
            <w:pPr>
              <w:pStyle w:val="TableContents"/>
              <w:bidi w:val="0"/>
              <w:spacing w:before="0" w:after="283"/>
              <w:jc w:val="left"/>
              <w:rPr/>
            </w:pPr>
            <w:r>
              <w:rPr/>
              <w:t>Contracts with two or more extensions, accruing</w:t>
            </w:r>
          </w:p>
        </w:tc>
        <w:tc>
          <w:tcPr>
            <w:tcW w:w="60" w:type="dxa"/>
            <w:tcBorders/>
            <w:shd w:fill="EEEEEE" w:val="clear"/>
            <w:vAlign w:val="center"/>
          </w:tcPr>
          <w:p>
            <w:pPr>
              <w:pStyle w:val="TableContents"/>
              <w:bidi w:val="0"/>
              <w:spacing w:before="0" w:after="283"/>
              <w:jc w:val="left"/>
              <w:rPr/>
            </w:pPr>
            <w:r>
              <w:rPr/>
              <w:t> </w:t>
            </w:r>
          </w:p>
        </w:tc>
        <w:tc>
          <w:tcPr>
            <w:tcW w:w="78"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56" w:type="dxa"/>
            <w:tcBorders>
              <w:bottom w:val="single" w:sz="8" w:space="0" w:color="000000"/>
            </w:tcBorders>
            <w:shd w:fill="EEEEEE" w:val="clear"/>
            <w:tcMar>
              <w:bottom w:w="28" w:type="dxa"/>
            </w:tcMar>
            <w:vAlign w:val="center"/>
          </w:tcPr>
          <w:p>
            <w:pPr>
              <w:pStyle w:val="TableContents"/>
              <w:bidi w:val="0"/>
              <w:spacing w:before="0" w:after="283"/>
              <w:jc w:val="right"/>
              <w:rPr/>
            </w:pPr>
            <w:r>
              <w:rPr/>
              <w:t>40,689</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511,241</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8"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56" w:type="dxa"/>
            <w:tcBorders>
              <w:bottom w:val="single" w:sz="8" w:space="0" w:color="000000"/>
            </w:tcBorders>
            <w:shd w:fill="EEEEEE" w:val="clear"/>
            <w:tcMar>
              <w:bottom w:w="28" w:type="dxa"/>
            </w:tcMar>
            <w:vAlign w:val="center"/>
          </w:tcPr>
          <w:p>
            <w:pPr>
              <w:pStyle w:val="TableContents"/>
              <w:bidi w:val="0"/>
              <w:spacing w:before="0" w:after="283"/>
              <w:jc w:val="right"/>
              <w:rPr/>
            </w:pPr>
            <w:r>
              <w:rPr/>
              <w:t>58,254</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794,789</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8"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56" w:type="dxa"/>
            <w:tcBorders>
              <w:bottom w:val="single" w:sz="8" w:space="0" w:color="000000"/>
            </w:tcBorders>
            <w:shd w:fill="EEEEEE" w:val="clear"/>
            <w:tcMar>
              <w:bottom w:w="28" w:type="dxa"/>
            </w:tcMar>
            <w:vAlign w:val="center"/>
          </w:tcPr>
          <w:p>
            <w:pPr>
              <w:pStyle w:val="TableContents"/>
              <w:bidi w:val="0"/>
              <w:spacing w:before="0" w:after="283"/>
              <w:jc w:val="right"/>
              <w:rPr/>
            </w:pPr>
            <w:r>
              <w:rPr/>
              <w:t>38,714</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417,682</w:t>
            </w:r>
          </w:p>
        </w:tc>
        <w:tc>
          <w:tcPr>
            <w:tcW w:w="233" w:type="dxa"/>
            <w:tcBorders/>
            <w:shd w:fill="EEEEEE"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73,452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1,102,834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87,937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1,192,411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66,298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882,005</w:t>
            </w:r>
          </w:p>
        </w:tc>
        <w:tc>
          <w:tcPr>
            <w:tcW w:w="233" w:type="dxa"/>
            <w:tcBorders/>
            <w:shd w:fill="FFFFFF" w:val="clear"/>
            <w:vAlign w:val="center"/>
          </w:tcPr>
          <w:p>
            <w:pPr>
              <w:pStyle w:val="TableContents"/>
              <w:bidi w:val="0"/>
              <w:spacing w:before="0" w:after="283"/>
              <w:jc w:val="left"/>
              <w:rPr/>
            </w:pPr>
            <w:r>
              <w:rPr/>
              <w:t> </w:t>
            </w:r>
          </w:p>
        </w:tc>
      </w:tr>
      <w:tr>
        <w:trPr/>
        <w:tc>
          <w:tcPr>
            <w:tcW w:w="207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56" w:type="dxa"/>
            <w:tcBorders/>
            <w:shd w:fill="EEEEEE" w:val="clear"/>
            <w:vAlign w:val="center"/>
          </w:tcPr>
          <w:p>
            <w:pPr>
              <w:pStyle w:val="TableContents"/>
              <w:bidi w:val="0"/>
              <w:spacing w:before="0" w:after="283"/>
              <w:jc w:val="right"/>
              <w:rPr/>
            </w:pPr>
            <w:r>
              <w:rPr/>
              <w:t> </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56" w:type="dxa"/>
            <w:tcBorders/>
            <w:shd w:fill="EEEEEE" w:val="clear"/>
            <w:vAlign w:val="center"/>
          </w:tcPr>
          <w:p>
            <w:pPr>
              <w:pStyle w:val="TableContents"/>
              <w:bidi w:val="0"/>
              <w:spacing w:before="0" w:after="283"/>
              <w:jc w:val="right"/>
              <w:rPr/>
            </w:pPr>
            <w:r>
              <w:rPr/>
              <w:t> </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56" w:type="dxa"/>
            <w:tcBorders/>
            <w:shd w:fill="EEEEEE" w:val="clear"/>
            <w:vAlign w:val="center"/>
          </w:tcPr>
          <w:p>
            <w:pPr>
              <w:pStyle w:val="TableContents"/>
              <w:bidi w:val="0"/>
              <w:spacing w:before="0" w:after="283"/>
              <w:jc w:val="right"/>
              <w:rPr/>
            </w:pPr>
            <w:r>
              <w:rPr/>
              <w:t> </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233" w:type="dxa"/>
            <w:tcBorders/>
            <w:shd w:fill="EEEEEE"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pPr>
            <w:r>
              <w:rPr/>
              <w:t>Contracts with one extension, non-accrual (4)</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1,843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31,114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833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9,958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981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14,792</w:t>
            </w:r>
          </w:p>
        </w:tc>
        <w:tc>
          <w:tcPr>
            <w:tcW w:w="233" w:type="dxa"/>
            <w:tcBorders/>
            <w:shd w:fill="FFFFFF" w:val="clear"/>
            <w:vAlign w:val="center"/>
          </w:tcPr>
          <w:p>
            <w:pPr>
              <w:pStyle w:val="TableContents"/>
              <w:bidi w:val="0"/>
              <w:spacing w:before="0" w:after="283"/>
              <w:jc w:val="left"/>
              <w:rPr/>
            </w:pPr>
            <w:r>
              <w:rPr/>
              <w:t> </w:t>
            </w:r>
          </w:p>
        </w:tc>
      </w:tr>
      <w:tr>
        <w:trPr/>
        <w:tc>
          <w:tcPr>
            <w:tcW w:w="2075" w:type="dxa"/>
            <w:tcBorders/>
            <w:shd w:fill="EEEEEE" w:val="clear"/>
            <w:vAlign w:val="center"/>
          </w:tcPr>
          <w:p>
            <w:pPr>
              <w:pStyle w:val="TableContents"/>
              <w:bidi w:val="0"/>
              <w:spacing w:before="0" w:after="283"/>
              <w:jc w:val="left"/>
              <w:rPr/>
            </w:pPr>
            <w:r>
              <w:rPr/>
              <w:t>Contracts with two or more extensions, non-accrual (4)</w:t>
            </w:r>
          </w:p>
        </w:tc>
        <w:tc>
          <w:tcPr>
            <w:tcW w:w="60" w:type="dxa"/>
            <w:tcBorders/>
            <w:shd w:fill="EEEEEE" w:val="clear"/>
            <w:vAlign w:val="center"/>
          </w:tcPr>
          <w:p>
            <w:pPr>
              <w:pStyle w:val="TableContents"/>
              <w:bidi w:val="0"/>
              <w:spacing w:before="0" w:after="283"/>
              <w:jc w:val="left"/>
              <w:rPr/>
            </w:pPr>
            <w:r>
              <w:rPr/>
              <w:t> </w:t>
            </w:r>
          </w:p>
        </w:tc>
        <w:tc>
          <w:tcPr>
            <w:tcW w:w="78"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56" w:type="dxa"/>
            <w:tcBorders>
              <w:bottom w:val="single" w:sz="8" w:space="0" w:color="000000"/>
            </w:tcBorders>
            <w:shd w:fill="EEEEEE" w:val="clear"/>
            <w:tcMar>
              <w:bottom w:w="28" w:type="dxa"/>
            </w:tcMar>
            <w:vAlign w:val="center"/>
          </w:tcPr>
          <w:p>
            <w:pPr>
              <w:pStyle w:val="TableContents"/>
              <w:bidi w:val="0"/>
              <w:spacing w:before="0" w:after="283"/>
              <w:jc w:val="right"/>
              <w:rPr/>
            </w:pPr>
            <w:r>
              <w:rPr/>
              <w:t>1,720</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20,856</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8"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56" w:type="dxa"/>
            <w:tcBorders>
              <w:bottom w:val="single" w:sz="8" w:space="0" w:color="000000"/>
            </w:tcBorders>
            <w:shd w:fill="EEEEEE" w:val="clear"/>
            <w:tcMar>
              <w:bottom w:w="28" w:type="dxa"/>
            </w:tcMar>
            <w:vAlign w:val="center"/>
          </w:tcPr>
          <w:p>
            <w:pPr>
              <w:pStyle w:val="TableContents"/>
              <w:bidi w:val="0"/>
              <w:spacing w:before="0" w:after="283"/>
              <w:jc w:val="right"/>
              <w:rPr/>
            </w:pPr>
            <w:r>
              <w:rPr/>
              <w:t>2,558</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33,133</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8"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56" w:type="dxa"/>
            <w:tcBorders>
              <w:bottom w:val="single" w:sz="8" w:space="0" w:color="000000"/>
            </w:tcBorders>
            <w:shd w:fill="EEEEEE" w:val="clear"/>
            <w:tcMar>
              <w:bottom w:w="28" w:type="dxa"/>
            </w:tcMar>
            <w:vAlign w:val="center"/>
          </w:tcPr>
          <w:p>
            <w:pPr>
              <w:pStyle w:val="TableContents"/>
              <w:bidi w:val="0"/>
              <w:spacing w:before="0" w:after="283"/>
              <w:jc w:val="right"/>
              <w:rPr/>
            </w:pPr>
            <w:r>
              <w:rPr/>
              <w:t>1,485</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15,395</w:t>
            </w:r>
          </w:p>
        </w:tc>
        <w:tc>
          <w:tcPr>
            <w:tcW w:w="233" w:type="dxa"/>
            <w:tcBorders/>
            <w:shd w:fill="EEEEEE"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6" w:type="dxa"/>
            <w:tcBorders>
              <w:bottom w:val="single" w:sz="8" w:space="0" w:color="000000"/>
            </w:tcBorders>
            <w:shd w:fill="FFFFFF" w:val="clear"/>
            <w:tcMar>
              <w:bottom w:w="28" w:type="dxa"/>
            </w:tcMar>
            <w:vAlign w:val="center"/>
          </w:tcPr>
          <w:p>
            <w:pPr>
              <w:pStyle w:val="TableContents"/>
              <w:bidi w:val="0"/>
              <w:spacing w:before="0" w:after="283"/>
              <w:jc w:val="right"/>
              <w:rPr/>
            </w:pPr>
            <w:r>
              <w:rPr/>
              <w:t>3,563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51,970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6" w:type="dxa"/>
            <w:tcBorders>
              <w:bottom w:val="single" w:sz="8" w:space="0" w:color="000000"/>
            </w:tcBorders>
            <w:shd w:fill="FFFFFF" w:val="clear"/>
            <w:tcMar>
              <w:bottom w:w="28" w:type="dxa"/>
            </w:tcMar>
            <w:vAlign w:val="center"/>
          </w:tcPr>
          <w:p>
            <w:pPr>
              <w:pStyle w:val="TableContents"/>
              <w:bidi w:val="0"/>
              <w:spacing w:before="0" w:after="283"/>
              <w:jc w:val="right"/>
              <w:rPr/>
            </w:pPr>
            <w:r>
              <w:rPr/>
              <w:t>3,391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43,091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6" w:type="dxa"/>
            <w:tcBorders>
              <w:bottom w:val="single" w:sz="8" w:space="0" w:color="000000"/>
            </w:tcBorders>
            <w:shd w:fill="FFFFFF" w:val="clear"/>
            <w:tcMar>
              <w:bottom w:w="28" w:type="dxa"/>
            </w:tcMar>
            <w:vAlign w:val="center"/>
          </w:tcPr>
          <w:p>
            <w:pPr>
              <w:pStyle w:val="TableContents"/>
              <w:bidi w:val="0"/>
              <w:spacing w:before="0" w:after="283"/>
              <w:jc w:val="right"/>
              <w:rPr/>
            </w:pPr>
            <w:r>
              <w:rPr/>
              <w:t>2,466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30,187</w:t>
            </w:r>
          </w:p>
        </w:tc>
        <w:tc>
          <w:tcPr>
            <w:tcW w:w="233" w:type="dxa"/>
            <w:tcBorders/>
            <w:shd w:fill="FFFFFF" w:val="clear"/>
            <w:vAlign w:val="center"/>
          </w:tcPr>
          <w:p>
            <w:pPr>
              <w:pStyle w:val="TableContents"/>
              <w:bidi w:val="0"/>
              <w:spacing w:before="0" w:after="283"/>
              <w:jc w:val="left"/>
              <w:rPr/>
            </w:pPr>
            <w:r>
              <w:rPr/>
              <w:t> </w:t>
            </w:r>
          </w:p>
        </w:tc>
      </w:tr>
      <w:tr>
        <w:trPr/>
        <w:tc>
          <w:tcPr>
            <w:tcW w:w="207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56" w:type="dxa"/>
            <w:tcBorders/>
            <w:shd w:fill="EEEEEE" w:val="clear"/>
            <w:vAlign w:val="center"/>
          </w:tcPr>
          <w:p>
            <w:pPr>
              <w:pStyle w:val="TableContents"/>
              <w:bidi w:val="0"/>
              <w:spacing w:before="0" w:after="283"/>
              <w:jc w:val="right"/>
              <w:rPr/>
            </w:pPr>
            <w:r>
              <w:rPr/>
              <w:t> </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56" w:type="dxa"/>
            <w:tcBorders/>
            <w:shd w:fill="EEEEEE" w:val="clear"/>
            <w:vAlign w:val="center"/>
          </w:tcPr>
          <w:p>
            <w:pPr>
              <w:pStyle w:val="TableContents"/>
              <w:bidi w:val="0"/>
              <w:spacing w:before="0" w:after="283"/>
              <w:jc w:val="right"/>
              <w:rPr/>
            </w:pPr>
            <w:r>
              <w:rPr/>
              <w:t> </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8" w:type="dxa"/>
            <w:tcBorders/>
            <w:shd w:fill="EEEEEE" w:val="clear"/>
            <w:vAlign w:val="center"/>
          </w:tcPr>
          <w:p>
            <w:pPr>
              <w:pStyle w:val="TableContents"/>
              <w:bidi w:val="0"/>
              <w:spacing w:before="0" w:after="283"/>
              <w:jc w:val="left"/>
              <w:rPr/>
            </w:pPr>
            <w:r>
              <w:rPr/>
              <w:t> </w:t>
            </w:r>
          </w:p>
        </w:tc>
        <w:tc>
          <w:tcPr>
            <w:tcW w:w="956" w:type="dxa"/>
            <w:tcBorders/>
            <w:shd w:fill="EEEEEE" w:val="clear"/>
            <w:vAlign w:val="center"/>
          </w:tcPr>
          <w:p>
            <w:pPr>
              <w:pStyle w:val="TableContents"/>
              <w:bidi w:val="0"/>
              <w:spacing w:before="0" w:after="283"/>
              <w:jc w:val="right"/>
              <w:rPr/>
            </w:pPr>
            <w:r>
              <w:rPr/>
              <w:t> </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233" w:type="dxa"/>
            <w:tcBorders/>
            <w:shd w:fill="EEEEEE"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pPr>
            <w:r>
              <w:rPr/>
              <w:t>Total contracts with extensions</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6" w:type="dxa"/>
            <w:tcBorders>
              <w:bottom w:val="double" w:sz="6" w:space="0" w:color="000000"/>
            </w:tcBorders>
            <w:shd w:fill="FFFFFF" w:val="clear"/>
            <w:tcMar>
              <w:bottom w:w="28" w:type="dxa"/>
            </w:tcMar>
            <w:vAlign w:val="center"/>
          </w:tcPr>
          <w:p>
            <w:pPr>
              <w:pStyle w:val="TableContents"/>
              <w:bidi w:val="0"/>
              <w:spacing w:before="0" w:after="283"/>
              <w:jc w:val="right"/>
              <w:rPr/>
            </w:pPr>
            <w:r>
              <w:rPr/>
              <w:t>77,015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1,154,804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6" w:type="dxa"/>
            <w:tcBorders>
              <w:bottom w:val="double" w:sz="6" w:space="0" w:color="000000"/>
            </w:tcBorders>
            <w:shd w:fill="FFFFFF" w:val="clear"/>
            <w:tcMar>
              <w:bottom w:w="28" w:type="dxa"/>
            </w:tcMar>
            <w:vAlign w:val="center"/>
          </w:tcPr>
          <w:p>
            <w:pPr>
              <w:pStyle w:val="TableContents"/>
              <w:bidi w:val="0"/>
              <w:spacing w:before="0" w:after="283"/>
              <w:jc w:val="right"/>
              <w:rPr/>
            </w:pPr>
            <w:r>
              <w:rPr/>
              <w:t>91,328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1,235,502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6" w:type="dxa"/>
            <w:tcBorders>
              <w:bottom w:val="double" w:sz="6" w:space="0" w:color="000000"/>
            </w:tcBorders>
            <w:shd w:fill="FFFFFF" w:val="clear"/>
            <w:tcMar>
              <w:bottom w:w="28" w:type="dxa"/>
            </w:tcMar>
            <w:vAlign w:val="center"/>
          </w:tcPr>
          <w:p>
            <w:pPr>
              <w:pStyle w:val="TableContents"/>
              <w:bidi w:val="0"/>
              <w:spacing w:before="0" w:after="283"/>
              <w:jc w:val="right"/>
              <w:rPr/>
            </w:pPr>
            <w:r>
              <w:rPr/>
              <w:t>68,764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912,192</w:t>
            </w:r>
          </w:p>
        </w:tc>
        <w:tc>
          <w:tcPr>
            <w:tcW w:w="23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sz w:val="20"/>
        </w:rPr>
      </w:pPr>
      <w:r>
        <w:rPr>
          <w:sz w:val="20"/>
        </w:rPr>
        <w:t>____________________________________</w:t>
      </w:r>
    </w:p>
    <w:p>
      <w:pPr>
        <w:pStyle w:val="TextBody"/>
        <w:bidi w:val="0"/>
        <w:spacing w:before="0" w:after="0"/>
        <w:ind w:left="0" w:right="0" w:hanging="0"/>
        <w:jc w:val="both"/>
        <w:rPr>
          <w:rFonts w:ascii="Times New Roman;Times;Serif" w:hAnsi="Times New Roman;Times;Serif"/>
          <w:b w:val="false"/>
          <w:i/>
          <w:caps w:val="false"/>
          <w:smallCaps w:val="false"/>
          <w:sz w:val="18"/>
        </w:rPr>
      </w:pPr>
      <w:r>
        <w:rPr>
          <w:rFonts w:ascii="Times New Roman;Times;Serif" w:hAnsi="Times New Roman;Times;Serif"/>
          <w:b w:val="false"/>
          <w:i/>
          <w:caps w:val="false"/>
          <w:smallCaps w:val="false"/>
          <w:sz w:val="18"/>
        </w:rPr>
        <w:t xml:space="preserve">(1) All amounts and percentages are based on the amount remaining to be repaid on each automobile contract. The information in the table represents the gross principal amount of all automobile contracts we have purchased, including automobile contracts subsequently sold in securitization transactions that we continue to service. The table does not include certain contracts we have serviced for third parties on which we earn servicing fees only and have no credit risk. </w:t>
      </w:r>
    </w:p>
    <w:p>
      <w:pPr>
        <w:pStyle w:val="TextBody"/>
        <w:bidi w:val="0"/>
        <w:spacing w:before="0" w:after="0"/>
        <w:ind w:left="0" w:right="0" w:hanging="0"/>
        <w:jc w:val="both"/>
        <w:rPr>
          <w:rFonts w:ascii="Times New Roman;Times;Serif" w:hAnsi="Times New Roman;Times;Serif"/>
          <w:b w:val="false"/>
          <w:i/>
          <w:caps w:val="false"/>
          <w:smallCaps w:val="false"/>
          <w:sz w:val="18"/>
        </w:rPr>
      </w:pPr>
      <w:r>
        <w:rPr>
          <w:rFonts w:ascii="Times New Roman;Times;Serif" w:hAnsi="Times New Roman;Times;Serif"/>
          <w:b w:val="false"/>
          <w:i/>
          <w:caps w:val="false"/>
          <w:smallCaps w:val="false"/>
          <w:sz w:val="18"/>
        </w:rPr>
        <w:t>(2) 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Automobile contracts less than 31 days delinquent are not included. The delinquency aging categories shown in the tables reflect the effect of extensions.</w:t>
      </w:r>
    </w:p>
    <w:p>
      <w:pPr>
        <w:pStyle w:val="TextBody"/>
        <w:bidi w:val="0"/>
        <w:spacing w:before="0" w:after="0"/>
        <w:ind w:left="0" w:right="0" w:hanging="0"/>
        <w:jc w:val="both"/>
        <w:rPr>
          <w:rFonts w:ascii="Times New Roman;Times;Serif" w:hAnsi="Times New Roman;Times;Serif"/>
          <w:b w:val="false"/>
          <w:i/>
          <w:caps w:val="false"/>
          <w:smallCaps w:val="false"/>
          <w:sz w:val="18"/>
        </w:rPr>
      </w:pPr>
      <w:r>
        <w:rPr>
          <w:rFonts w:ascii="Times New Roman;Times;Serif" w:hAnsi="Times New Roman;Times;Serif"/>
          <w:b w:val="false"/>
          <w:i/>
          <w:caps w:val="false"/>
          <w:smallCaps w:val="false"/>
          <w:sz w:val="18"/>
        </w:rPr>
        <w:t>(3) Amount in repossession represents financed vehicles that have been repossessed but not yet liquidated.</w:t>
      </w:r>
    </w:p>
    <w:p>
      <w:pPr>
        <w:pStyle w:val="TextBody"/>
        <w:bidi w:val="0"/>
        <w:spacing w:before="0" w:after="0"/>
        <w:ind w:left="0" w:right="0" w:hanging="0"/>
        <w:jc w:val="both"/>
        <w:rPr>
          <w:rFonts w:ascii="Times New Roman;Times;Serif" w:hAnsi="Times New Roman;Times;Serif"/>
          <w:b w:val="false"/>
          <w:i/>
          <w:caps w:val="false"/>
          <w:smallCaps w:val="false"/>
          <w:sz w:val="18"/>
        </w:rPr>
      </w:pPr>
      <w:r>
        <w:rPr>
          <w:rFonts w:ascii="Times New Roman;Times;Serif" w:hAnsi="Times New Roman;Times;Serif"/>
          <w:b w:val="false"/>
          <w:i/>
          <w:caps w:val="false"/>
          <w:smallCaps w:val="false"/>
          <w:sz w:val="18"/>
        </w:rPr>
        <w:t>(4) Amount in repossession and accounts past due more than 90 days are on non-accrual.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Charge-Off Experience (1)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Owned Portfolio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20"/>
        <w:gridCol w:w="60"/>
        <w:gridCol w:w="170"/>
        <w:gridCol w:w="1191"/>
        <w:gridCol w:w="215"/>
        <w:gridCol w:w="60"/>
        <w:gridCol w:w="170"/>
        <w:gridCol w:w="1191"/>
        <w:gridCol w:w="215"/>
        <w:gridCol w:w="60"/>
        <w:gridCol w:w="164"/>
        <w:gridCol w:w="1156"/>
        <w:gridCol w:w="233"/>
      </w:tblGrid>
      <w:tr>
        <w:trPr/>
        <w:tc>
          <w:tcPr>
            <w:tcW w:w="5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92" w:type="dxa"/>
            <w:gridSpan w:val="10"/>
            <w:tcBorders/>
            <w:vAlign w:val="center"/>
          </w:tcPr>
          <w:p>
            <w:pPr>
              <w:pStyle w:val="TableContents"/>
              <w:bidi w:val="0"/>
              <w:spacing w:before="0" w:after="283"/>
              <w:jc w:val="center"/>
              <w:rPr>
                <w:b/>
              </w:rPr>
            </w:pPr>
            <w:r>
              <w:rPr>
                <w:b/>
              </w:rPr>
              <w:t>Finance Receivables Portfolio</w:t>
            </w:r>
          </w:p>
        </w:tc>
        <w:tc>
          <w:tcPr>
            <w:tcW w:w="233" w:type="dxa"/>
            <w:tcBorders/>
            <w:vAlign w:val="center"/>
          </w:tcPr>
          <w:p>
            <w:pPr>
              <w:pStyle w:val="TableContents"/>
              <w:bidi w:val="0"/>
              <w:spacing w:before="0" w:after="283"/>
              <w:jc w:val="left"/>
              <w:rPr/>
            </w:pPr>
            <w:r>
              <w:rPr/>
              <w:t> </w:t>
            </w:r>
          </w:p>
        </w:tc>
      </w:tr>
      <w:tr>
        <w:trPr/>
        <w:tc>
          <w:tcPr>
            <w:tcW w:w="5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1" w:type="dxa"/>
            <w:gridSpan w:val="2"/>
            <w:tcBorders/>
            <w:vAlign w:val="center"/>
          </w:tcPr>
          <w:p>
            <w:pPr>
              <w:pStyle w:val="TableContents"/>
              <w:bidi w:val="0"/>
              <w:spacing w:before="0" w:after="283"/>
              <w:jc w:val="center"/>
              <w:rPr>
                <w:b/>
              </w:rPr>
            </w:pPr>
            <w:r>
              <w:rPr>
                <w:b/>
              </w:rPr>
              <w:t>September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1" w:type="dxa"/>
            <w:gridSpan w:val="2"/>
            <w:tcBorders/>
            <w:vAlign w:val="center"/>
          </w:tcPr>
          <w:p>
            <w:pPr>
              <w:pStyle w:val="TableContents"/>
              <w:bidi w:val="0"/>
              <w:spacing w:before="0" w:after="283"/>
              <w:jc w:val="center"/>
              <w:rPr>
                <w:b/>
              </w:rPr>
            </w:pPr>
            <w:r>
              <w:rPr>
                <w:b/>
              </w:rPr>
              <w:t>September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0" w:type="dxa"/>
            <w:gridSpan w:val="2"/>
            <w:tcBorders/>
            <w:vAlign w:val="center"/>
          </w:tcPr>
          <w:p>
            <w:pPr>
              <w:pStyle w:val="TableContents"/>
              <w:bidi w:val="0"/>
              <w:spacing w:before="0" w:after="283"/>
              <w:jc w:val="center"/>
              <w:rPr>
                <w:b/>
              </w:rPr>
            </w:pPr>
            <w:r>
              <w:rPr>
                <w:b/>
              </w:rPr>
              <w:t>December 31,</w:t>
            </w:r>
          </w:p>
        </w:tc>
        <w:tc>
          <w:tcPr>
            <w:tcW w:w="233" w:type="dxa"/>
            <w:tcBorders/>
            <w:vAlign w:val="center"/>
          </w:tcPr>
          <w:p>
            <w:pPr>
              <w:pStyle w:val="TableContents"/>
              <w:bidi w:val="0"/>
              <w:spacing w:before="0" w:after="283"/>
              <w:jc w:val="left"/>
              <w:rPr/>
            </w:pPr>
            <w:r>
              <w:rPr/>
              <w:t> </w:t>
            </w:r>
          </w:p>
        </w:tc>
      </w:tr>
      <w:tr>
        <w:trPr/>
        <w:tc>
          <w:tcPr>
            <w:tcW w:w="5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233" w:type="dxa"/>
            <w:tcBorders/>
            <w:vAlign w:val="center"/>
          </w:tcPr>
          <w:p>
            <w:pPr>
              <w:pStyle w:val="TableContents"/>
              <w:bidi w:val="0"/>
              <w:spacing w:before="0" w:after="283"/>
              <w:jc w:val="left"/>
              <w:rPr/>
            </w:pPr>
            <w:r>
              <w:rPr/>
              <w:t> </w:t>
            </w:r>
          </w:p>
        </w:tc>
      </w:tr>
      <w:tr>
        <w:trPr/>
        <w:tc>
          <w:tcPr>
            <w:tcW w:w="5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92" w:type="dxa"/>
            <w:gridSpan w:val="10"/>
            <w:tcBorders/>
            <w:vAlign w:val="center"/>
          </w:tcPr>
          <w:p>
            <w:pPr>
              <w:pStyle w:val="TableContents"/>
              <w:bidi w:val="0"/>
              <w:spacing w:before="0" w:after="283"/>
              <w:jc w:val="center"/>
              <w:rPr>
                <w:b/>
              </w:rPr>
            </w:pPr>
            <w:r>
              <w:rPr>
                <w:b/>
              </w:rPr>
              <w:t>(Dollars in thousands)</w:t>
            </w:r>
          </w:p>
        </w:tc>
        <w:tc>
          <w:tcPr>
            <w:tcW w:w="233" w:type="dxa"/>
            <w:tcBorders/>
            <w:vAlign w:val="center"/>
          </w:tcPr>
          <w:p>
            <w:pPr>
              <w:pStyle w:val="TableContents"/>
              <w:bidi w:val="0"/>
              <w:spacing w:before="0" w:after="283"/>
              <w:jc w:val="left"/>
              <w:rPr/>
            </w:pPr>
            <w:r>
              <w:rPr/>
              <w:t> </w:t>
            </w:r>
          </w:p>
        </w:tc>
      </w:tr>
      <w:tr>
        <w:trPr/>
        <w:tc>
          <w:tcPr>
            <w:tcW w:w="5320" w:type="dxa"/>
            <w:tcBorders/>
            <w:shd w:fill="EEEEEE" w:val="clear"/>
            <w:vAlign w:val="center"/>
          </w:tcPr>
          <w:p>
            <w:pPr>
              <w:pStyle w:val="TableContents"/>
              <w:bidi w:val="0"/>
              <w:spacing w:before="0" w:after="283"/>
              <w:jc w:val="left"/>
              <w:rPr/>
            </w:pPr>
            <w:r>
              <w:rPr/>
              <w:t>Average servicing portfolio outstanding</w:t>
            </w:r>
          </w:p>
        </w:tc>
        <w:tc>
          <w:tcPr>
            <w:tcW w:w="60" w:type="dxa"/>
            <w:tcBorders/>
            <w:shd w:fill="EEEEEE" w:val="clear"/>
            <w:vAlign w:val="center"/>
          </w:tcPr>
          <w:p>
            <w:pPr>
              <w:pStyle w:val="TableContents"/>
              <w:bidi w:val="0"/>
              <w:spacing w:before="0" w:after="283"/>
              <w:jc w:val="left"/>
              <w:rPr/>
            </w:pPr>
            <w:r>
              <w:rPr/>
              <w:t> </w:t>
            </w:r>
          </w:p>
        </w:tc>
        <w:tc>
          <w:tcPr>
            <w:tcW w:w="170" w:type="dxa"/>
            <w:tcBorders/>
            <w:shd w:fill="EEEEEE" w:val="clear"/>
            <w:vAlign w:val="center"/>
          </w:tcPr>
          <w:p>
            <w:pPr>
              <w:pStyle w:val="TableContents"/>
              <w:bidi w:val="0"/>
              <w:spacing w:before="0" w:after="283"/>
              <w:jc w:val="left"/>
              <w:rPr/>
            </w:pPr>
            <w:r>
              <w:rPr/>
              <w:t>$</w:t>
            </w:r>
          </w:p>
        </w:tc>
        <w:tc>
          <w:tcPr>
            <w:tcW w:w="1191" w:type="dxa"/>
            <w:tcBorders/>
            <w:shd w:fill="EEEEEE" w:val="clear"/>
            <w:vAlign w:val="center"/>
          </w:tcPr>
          <w:p>
            <w:pPr>
              <w:pStyle w:val="TableContents"/>
              <w:bidi w:val="0"/>
              <w:spacing w:before="0" w:after="283"/>
              <w:jc w:val="right"/>
              <w:rPr/>
            </w:pPr>
            <w:r>
              <w:rPr/>
              <w:t>2,934,749</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0" w:type="dxa"/>
            <w:tcBorders/>
            <w:shd w:fill="EEEEEE" w:val="clear"/>
            <w:vAlign w:val="center"/>
          </w:tcPr>
          <w:p>
            <w:pPr>
              <w:pStyle w:val="TableContents"/>
              <w:bidi w:val="0"/>
              <w:spacing w:before="0" w:after="283"/>
              <w:jc w:val="left"/>
              <w:rPr/>
            </w:pPr>
            <w:r>
              <w:rPr/>
              <w:t>$</w:t>
            </w:r>
          </w:p>
        </w:tc>
        <w:tc>
          <w:tcPr>
            <w:tcW w:w="1191" w:type="dxa"/>
            <w:tcBorders/>
            <w:shd w:fill="EEEEEE" w:val="clear"/>
            <w:vAlign w:val="center"/>
          </w:tcPr>
          <w:p>
            <w:pPr>
              <w:pStyle w:val="TableContents"/>
              <w:bidi w:val="0"/>
              <w:spacing w:before="0" w:after="283"/>
              <w:jc w:val="right"/>
              <w:rPr/>
            </w:pPr>
            <w:r>
              <w:rPr/>
              <w:t>2,648,209</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4" w:type="dxa"/>
            <w:tcBorders/>
            <w:shd w:fill="EEEEEE" w:val="clear"/>
            <w:vAlign w:val="center"/>
          </w:tcPr>
          <w:p>
            <w:pPr>
              <w:pStyle w:val="TableContents"/>
              <w:bidi w:val="0"/>
              <w:spacing w:before="0" w:after="283"/>
              <w:jc w:val="left"/>
              <w:rPr/>
            </w:pPr>
            <w:r>
              <w:rPr/>
              <w:t>$</w:t>
            </w:r>
          </w:p>
        </w:tc>
        <w:tc>
          <w:tcPr>
            <w:tcW w:w="1156" w:type="dxa"/>
            <w:tcBorders/>
            <w:shd w:fill="EEEEEE" w:val="clear"/>
            <w:vAlign w:val="center"/>
          </w:tcPr>
          <w:p>
            <w:pPr>
              <w:pStyle w:val="TableContents"/>
              <w:bidi w:val="0"/>
              <w:spacing w:before="0" w:after="283"/>
              <w:jc w:val="right"/>
              <w:rPr/>
            </w:pPr>
            <w:r>
              <w:rPr/>
              <w:t>2,764,796</w:t>
            </w:r>
          </w:p>
        </w:tc>
        <w:tc>
          <w:tcPr>
            <w:tcW w:w="233" w:type="dxa"/>
            <w:tcBorders/>
            <w:shd w:fill="EEEEEE" w:val="clear"/>
            <w:vAlign w:val="center"/>
          </w:tcPr>
          <w:p>
            <w:pPr>
              <w:pStyle w:val="TableContents"/>
              <w:bidi w:val="0"/>
              <w:spacing w:before="0" w:after="283"/>
              <w:ind w:left="0" w:right="0" w:hanging="200"/>
              <w:jc w:val="left"/>
              <w:rPr/>
            </w:pPr>
            <w:r>
              <w:rPr/>
              <w:t> </w:t>
            </w:r>
          </w:p>
        </w:tc>
      </w:tr>
      <w:tr>
        <w:trPr/>
        <w:tc>
          <w:tcPr>
            <w:tcW w:w="5320" w:type="dxa"/>
            <w:tcBorders/>
            <w:shd w:fill="FFFFFF" w:val="clear"/>
            <w:vAlign w:val="center"/>
          </w:tcPr>
          <w:p>
            <w:pPr>
              <w:pStyle w:val="TableContents"/>
              <w:bidi w:val="0"/>
              <w:spacing w:before="0" w:after="283"/>
              <w:jc w:val="left"/>
              <w:rPr/>
            </w:pPr>
            <w:r>
              <w:rPr/>
              <w:t>Annualized net charge-offs as a percentage of average servicing portfolio (2)</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6.9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4.9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5.8</w:t>
            </w:r>
          </w:p>
        </w:tc>
        <w:tc>
          <w:tcPr>
            <w:tcW w:w="233"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_________________________</w:t>
      </w:r>
    </w:p>
    <w:p>
      <w:pPr>
        <w:pStyle w:val="TextBody"/>
        <w:bidi w:val="0"/>
        <w:spacing w:before="0" w:after="0"/>
        <w:ind w:left="0" w:right="0" w:hanging="0"/>
        <w:jc w:val="both"/>
        <w:rPr>
          <w:rFonts w:ascii="Times New Roman;Times;Serif" w:hAnsi="Times New Roman;Times;Serif"/>
          <w:b w:val="false"/>
          <w:i/>
          <w:caps w:val="false"/>
          <w:smallCaps w:val="false"/>
          <w:sz w:val="18"/>
        </w:rPr>
      </w:pPr>
      <w:r>
        <w:rPr>
          <w:rFonts w:ascii="Times New Roman;Times;Serif" w:hAnsi="Times New Roman;Times;Serif"/>
          <w:b w:val="false"/>
          <w:i/>
          <w:caps w:val="false"/>
          <w:smallCaps w:val="false"/>
          <w:sz w:val="18"/>
        </w:rPr>
        <w:t xml:space="preserve">(1) All amounts and percentages are based on the principal amount scheduled to be paid on each automobile contract. </w:t>
      </w:r>
    </w:p>
    <w:p>
      <w:pPr>
        <w:pStyle w:val="TextBody"/>
        <w:bidi w:val="0"/>
        <w:spacing w:before="0" w:after="0"/>
        <w:ind w:left="0" w:right="0" w:hanging="0"/>
        <w:jc w:val="both"/>
        <w:rPr>
          <w:rFonts w:ascii="Times New Roman;Times;Serif" w:hAnsi="Times New Roman;Times;Serif"/>
          <w:b w:val="false"/>
          <w:i/>
          <w:caps w:val="false"/>
          <w:smallCaps w:val="false"/>
          <w:sz w:val="18"/>
        </w:rPr>
      </w:pPr>
      <w:r>
        <w:rPr>
          <w:rFonts w:ascii="Times New Roman;Times;Serif" w:hAnsi="Times New Roman;Times;Serif"/>
          <w:b w:val="false"/>
          <w:i/>
          <w:caps w:val="false"/>
          <w:smallCaps w:val="false"/>
          <w:sz w:val="18"/>
        </w:rPr>
        <w:t>(2) Net charge-offs include the remaining principal balance, after the application of the net proceeds from the liquidation of the vehicle (excluding accrued and unpaid interest) and amounts collected subsequent to the date of charge-off, including some recoveries which have been classified as other income in the accompanying interim consolidated financial statements. September 30, 2023 and September 30, 2022 percentages represent three months ended September 30, 2023 and September 30, 2022 annualized. December 31, 2022 represents 12 months ended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Extensions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certain circumstances we will grant obligors one-month payment extensions to assist them with temporary cash flow problems. In general, we are bound by our securitization agreements to refrain from agreeing to more than two such extensions in any 12-month period and to more than six over the life of the contract. The only modification of terms is to advance the obligor’s next due date by one month and extend the maturity date of the receivable by one month. In some cases, a two-month extension may be granted. There are no other concessions such as a reduction in interest rate, forgiveness of principal or of accrued interest. </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basic question in deciding to grant an extension is whether or not we will (a) be delaying the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so that the obligor might prioritize us over other creditors on future payments. Our servicing staff are trained to identify when a past due obligor is facing a temporary problem that may be resolved with an extension. In some cases, the extension will be granted in conjunction with our receiving all or a portion of a past due payment from the obligor, thereby indicating an additional monetary and psychological commitment to the contract on the obligor’s part.</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 (2) whether or not the reason for the delinquency is temporary, and if it is, have conditions changed such that the obligor can begin making regular monthly payments again after the extension; (3) the obligor's past payment history, including past extensions if applicable; (4) the obligor’s willingness to communicate and cooperate on resolving the delinquency; and (5) a numeric score from our internal risk assessment system that indicating the likelihood that the extension will prove beneficial. If the collector believes the obligor is a good candidate for an extension, an approval is obtained from a supervisor, who will review the same factors stated above prior to offering the extension to the obligor. After receiving an extension, an account remains subject to our normal policies and procedures for interest accrual, reporting delinquency and recognizing charge-offs.</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8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believe that a prudent extension program is an integral component to mitigating losses in our portfolio of sub-prime automobile receivables. The table below summarizes the status, as of September 30, 2023, for accounts that received extensions from 2010 through 2022: </w:t>
      </w:r>
    </w:p>
    <w:p>
      <w:pPr>
        <w:pStyle w:val="TextBody"/>
        <w:bidi w:val="0"/>
        <w:spacing w:before="0" w:after="0"/>
        <w:ind w:left="0" w:right="0" w:firstLine="180"/>
        <w:jc w:val="both"/>
        <w:rPr>
          <w:caps w:val="false"/>
          <w:smallCaps w:val="false"/>
        </w:rPr>
      </w:pPr>
      <w:r>
        <w:rPr>
          <w:caps w:val="false"/>
          <w:smallCaps w:val="false"/>
        </w:rPr>
        <w:t> </w:t>
      </w:r>
    </w:p>
    <w:tbl>
      <w:tblPr>
        <w:tblW w:w="10830" w:type="dxa"/>
        <w:jc w:val="left"/>
        <w:tblInd w:w="0" w:type="dxa"/>
        <w:tblLayout w:type="fixed"/>
        <w:tblCellMar>
          <w:top w:w="0" w:type="dxa"/>
          <w:left w:w="0" w:type="dxa"/>
          <w:bottom w:w="28" w:type="dxa"/>
          <w:right w:w="0" w:type="dxa"/>
        </w:tblCellMar>
      </w:tblPr>
      <w:tblGrid>
        <w:gridCol w:w="980"/>
        <w:gridCol w:w="60"/>
        <w:gridCol w:w="60"/>
        <w:gridCol w:w="86"/>
        <w:gridCol w:w="1149"/>
        <w:gridCol w:w="60"/>
        <w:gridCol w:w="60"/>
        <w:gridCol w:w="83"/>
        <w:gridCol w:w="942"/>
        <w:gridCol w:w="60"/>
        <w:gridCol w:w="60"/>
        <w:gridCol w:w="123"/>
        <w:gridCol w:w="902"/>
        <w:gridCol w:w="215"/>
        <w:gridCol w:w="60"/>
        <w:gridCol w:w="78"/>
        <w:gridCol w:w="887"/>
        <w:gridCol w:w="60"/>
        <w:gridCol w:w="60"/>
        <w:gridCol w:w="130"/>
        <w:gridCol w:w="955"/>
        <w:gridCol w:w="215"/>
        <w:gridCol w:w="60"/>
        <w:gridCol w:w="93"/>
        <w:gridCol w:w="872"/>
        <w:gridCol w:w="60"/>
        <w:gridCol w:w="60"/>
        <w:gridCol w:w="171"/>
        <w:gridCol w:w="914"/>
        <w:gridCol w:w="215"/>
        <w:gridCol w:w="60"/>
        <w:gridCol w:w="180"/>
        <w:gridCol w:w="785"/>
        <w:gridCol w:w="75"/>
      </w:tblGrid>
      <w:tr>
        <w:trPr/>
        <w:tc>
          <w:tcPr>
            <w:tcW w:w="980" w:type="dxa"/>
            <w:tcBorders>
              <w:bottom w:val="single" w:sz="8" w:space="0" w:color="000000"/>
            </w:tcBorders>
            <w:vAlign w:val="center"/>
          </w:tcPr>
          <w:p>
            <w:pPr>
              <w:pStyle w:val="TableContents"/>
              <w:bidi w:val="0"/>
              <w:spacing w:before="0" w:after="283"/>
              <w:jc w:val="center"/>
              <w:rPr/>
            </w:pPr>
            <w:r>
              <w:rPr/>
              <w:t>Period of Extension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8" w:space="0" w:color="000000"/>
            </w:tcBorders>
            <w:vAlign w:val="center"/>
          </w:tcPr>
          <w:p>
            <w:pPr>
              <w:pStyle w:val="TableContents"/>
              <w:bidi w:val="0"/>
              <w:spacing w:before="0" w:after="283"/>
              <w:jc w:val="center"/>
              <w:rPr/>
            </w:pPr>
            <w:r>
              <w:rPr/>
              <w:t># Extensions Granted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25" w:type="dxa"/>
            <w:gridSpan w:val="2"/>
            <w:tcBorders>
              <w:bottom w:val="single" w:sz="8" w:space="0" w:color="000000"/>
            </w:tcBorders>
            <w:vAlign w:val="center"/>
          </w:tcPr>
          <w:p>
            <w:pPr>
              <w:pStyle w:val="TableContents"/>
              <w:bidi w:val="0"/>
              <w:spacing w:before="0" w:after="283"/>
              <w:jc w:val="center"/>
              <w:rPr/>
            </w:pPr>
            <w:r>
              <w:rPr/>
              <w:t>Active or Paid Off at September 30, 2023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25" w:type="dxa"/>
            <w:gridSpan w:val="2"/>
            <w:tcBorders>
              <w:bottom w:val="single" w:sz="8" w:space="0" w:color="000000"/>
            </w:tcBorders>
            <w:vAlign w:val="center"/>
          </w:tcPr>
          <w:p>
            <w:pPr>
              <w:pStyle w:val="TableContents"/>
              <w:bidi w:val="0"/>
              <w:spacing w:before="0" w:after="283"/>
              <w:jc w:val="center"/>
              <w:rPr/>
            </w:pPr>
            <w:r>
              <w:rPr/>
              <w:t>% Active or Paid Off at September 30, 2023</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gridSpan w:val="2"/>
            <w:tcBorders>
              <w:bottom w:val="single" w:sz="8" w:space="0" w:color="000000"/>
            </w:tcBorders>
            <w:vAlign w:val="center"/>
          </w:tcPr>
          <w:p>
            <w:pPr>
              <w:pStyle w:val="TableContents"/>
              <w:bidi w:val="0"/>
              <w:spacing w:before="0" w:after="283"/>
              <w:jc w:val="center"/>
              <w:rPr/>
            </w:pPr>
            <w:r>
              <w:rPr/>
              <w:t>Charged Off &gt; 6 Months After Extension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85" w:type="dxa"/>
            <w:gridSpan w:val="2"/>
            <w:tcBorders>
              <w:bottom w:val="single" w:sz="8" w:space="0" w:color="000000"/>
            </w:tcBorders>
            <w:vAlign w:val="center"/>
          </w:tcPr>
          <w:p>
            <w:pPr>
              <w:pStyle w:val="TableContents"/>
              <w:bidi w:val="0"/>
              <w:spacing w:before="0" w:after="283"/>
              <w:jc w:val="center"/>
              <w:rPr/>
            </w:pPr>
            <w:r>
              <w:rPr/>
              <w:t>% Charged Off &gt; 6 Months After Extension</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gridSpan w:val="2"/>
            <w:tcBorders>
              <w:bottom w:val="single" w:sz="8" w:space="0" w:color="000000"/>
            </w:tcBorders>
            <w:vAlign w:val="center"/>
          </w:tcPr>
          <w:p>
            <w:pPr>
              <w:pStyle w:val="TableContents"/>
              <w:bidi w:val="0"/>
              <w:spacing w:before="0" w:after="283"/>
              <w:jc w:val="center"/>
              <w:rPr/>
            </w:pPr>
            <w:r>
              <w:rPr/>
              <w:t>Charged Off &lt;= 6 Months After Extension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85" w:type="dxa"/>
            <w:gridSpan w:val="2"/>
            <w:tcBorders>
              <w:bottom w:val="single" w:sz="8" w:space="0" w:color="000000"/>
            </w:tcBorders>
            <w:vAlign w:val="center"/>
          </w:tcPr>
          <w:p>
            <w:pPr>
              <w:pStyle w:val="TableContents"/>
              <w:bidi w:val="0"/>
              <w:spacing w:before="0" w:after="283"/>
              <w:jc w:val="center"/>
              <w:rPr/>
            </w:pPr>
            <w:r>
              <w:rPr/>
              <w:t>% Charged Off &lt;= 6 Months After Extension</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gridSpan w:val="2"/>
            <w:tcBorders>
              <w:bottom w:val="single" w:sz="8" w:space="0" w:color="000000"/>
            </w:tcBorders>
            <w:vAlign w:val="center"/>
          </w:tcPr>
          <w:p>
            <w:pPr>
              <w:pStyle w:val="TableContents"/>
              <w:bidi w:val="0"/>
              <w:spacing w:before="0" w:after="283"/>
              <w:jc w:val="center"/>
              <w:rPr/>
            </w:pPr>
            <w:r>
              <w:rPr/>
              <w:t>Avg Months to Charge Off Post Extension</w:t>
            </w:r>
          </w:p>
        </w:tc>
        <w:tc>
          <w:tcPr>
            <w:tcW w:w="75"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25"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25" w:type="dxa"/>
            <w:gridSpan w:val="2"/>
            <w:tcBorders/>
            <w:tcMar>
              <w:bottom w:w="0" w:type="dxa"/>
            </w:tcMar>
            <w:vAlign w:val="center"/>
          </w:tcPr>
          <w:p>
            <w:pPr>
              <w:pStyle w:val="TableContents"/>
              <w:bidi w:val="0"/>
              <w:spacing w:before="0" w:after="283"/>
              <w:jc w:val="right"/>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85" w:type="dxa"/>
            <w:gridSpan w:val="2"/>
            <w:tcBorders/>
            <w:tcMar>
              <w:bottom w:w="0" w:type="dxa"/>
            </w:tcMar>
            <w:vAlign w:val="center"/>
          </w:tcPr>
          <w:p>
            <w:pPr>
              <w:pStyle w:val="TableContents"/>
              <w:bidi w:val="0"/>
              <w:spacing w:before="0" w:after="283"/>
              <w:jc w:val="right"/>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85" w:type="dxa"/>
            <w:gridSpan w:val="2"/>
            <w:tcBorders/>
            <w:tcMar>
              <w:bottom w:w="0" w:type="dxa"/>
            </w:tcMar>
            <w:vAlign w:val="center"/>
          </w:tcPr>
          <w:p>
            <w:pPr>
              <w:pStyle w:val="TableContents"/>
              <w:bidi w:val="0"/>
              <w:spacing w:before="0" w:after="283"/>
              <w:jc w:val="right"/>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980" w:type="dxa"/>
            <w:tcBorders/>
            <w:shd w:fill="EEEEEE" w:val="clear"/>
            <w:tcMar>
              <w:bottom w:w="0" w:type="dxa"/>
            </w:tcMar>
            <w:vAlign w:val="center"/>
          </w:tcPr>
          <w:p>
            <w:pPr>
              <w:pStyle w:val="TableContents"/>
              <w:bidi w:val="0"/>
              <w:spacing w:before="0" w:after="283"/>
              <w:jc w:val="center"/>
              <w:rPr/>
            </w:pPr>
            <w:r>
              <w:rPr/>
              <w:t>2010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6" w:type="dxa"/>
            <w:tcBorders/>
            <w:shd w:fill="EEEEEE" w:val="clear"/>
            <w:tcMar>
              <w:bottom w:w="0" w:type="dxa"/>
            </w:tcMar>
            <w:vAlign w:val="center"/>
          </w:tcPr>
          <w:p>
            <w:pPr>
              <w:pStyle w:val="TableContents"/>
              <w:bidi w:val="0"/>
              <w:spacing w:before="0" w:after="283"/>
              <w:jc w:val="left"/>
              <w:rPr/>
            </w:pPr>
            <w:r>
              <w:rPr/>
              <w:t> </w:t>
            </w:r>
          </w:p>
        </w:tc>
        <w:tc>
          <w:tcPr>
            <w:tcW w:w="1149" w:type="dxa"/>
            <w:tcBorders/>
            <w:shd w:fill="EEEEEE" w:val="clear"/>
            <w:tcMar>
              <w:bottom w:w="0" w:type="dxa"/>
            </w:tcMar>
            <w:vAlign w:val="center"/>
          </w:tcPr>
          <w:p>
            <w:pPr>
              <w:pStyle w:val="TableContents"/>
              <w:bidi w:val="0"/>
              <w:spacing w:before="0" w:after="283"/>
              <w:jc w:val="right"/>
              <w:rPr/>
            </w:pPr>
            <w:r>
              <w:rPr/>
              <w:t>26,167</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3" w:type="dxa"/>
            <w:tcBorders/>
            <w:shd w:fill="EEEEEE" w:val="clear"/>
            <w:tcMar>
              <w:bottom w:w="0" w:type="dxa"/>
            </w:tcMar>
            <w:vAlign w:val="center"/>
          </w:tcPr>
          <w:p>
            <w:pPr>
              <w:pStyle w:val="TableContents"/>
              <w:bidi w:val="0"/>
              <w:spacing w:before="0" w:after="283"/>
              <w:jc w:val="left"/>
              <w:rPr/>
            </w:pPr>
            <w:r>
              <w:rPr/>
              <w:t> </w:t>
            </w:r>
          </w:p>
        </w:tc>
        <w:tc>
          <w:tcPr>
            <w:tcW w:w="942" w:type="dxa"/>
            <w:tcBorders/>
            <w:shd w:fill="EEEEEE" w:val="clear"/>
            <w:tcMar>
              <w:bottom w:w="0" w:type="dxa"/>
            </w:tcMar>
            <w:vAlign w:val="center"/>
          </w:tcPr>
          <w:p>
            <w:pPr>
              <w:pStyle w:val="TableContents"/>
              <w:bidi w:val="0"/>
              <w:spacing w:before="0" w:after="283"/>
              <w:jc w:val="right"/>
              <w:rPr/>
            </w:pPr>
            <w:r>
              <w:rPr/>
              <w:t>12,159</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23" w:type="dxa"/>
            <w:tcBorders/>
            <w:shd w:fill="EEEEEE" w:val="clear"/>
            <w:tcMar>
              <w:bottom w:w="0" w:type="dxa"/>
            </w:tcMar>
            <w:vAlign w:val="center"/>
          </w:tcPr>
          <w:p>
            <w:pPr>
              <w:pStyle w:val="TableContents"/>
              <w:bidi w:val="0"/>
              <w:spacing w:before="0" w:after="283"/>
              <w:jc w:val="left"/>
              <w:rPr/>
            </w:pPr>
            <w:r>
              <w:rPr/>
              <w:t> </w:t>
            </w:r>
          </w:p>
        </w:tc>
        <w:tc>
          <w:tcPr>
            <w:tcW w:w="902" w:type="dxa"/>
            <w:tcBorders/>
            <w:shd w:fill="EEEEEE" w:val="clear"/>
            <w:tcMar>
              <w:bottom w:w="0" w:type="dxa"/>
            </w:tcMar>
            <w:vAlign w:val="center"/>
          </w:tcPr>
          <w:p>
            <w:pPr>
              <w:pStyle w:val="TableContents"/>
              <w:bidi w:val="0"/>
              <w:spacing w:before="0" w:after="283"/>
              <w:jc w:val="right"/>
              <w:rPr/>
            </w:pPr>
            <w:r>
              <w:rPr/>
              <w:t>46.5</w:t>
            </w:r>
          </w:p>
        </w:tc>
        <w:tc>
          <w:tcPr>
            <w:tcW w:w="215" w:type="dxa"/>
            <w:tcBorders/>
            <w:shd w:fill="EEEEEE" w:val="clear"/>
            <w:tcMar>
              <w:bottom w:w="0" w:type="dxa"/>
            </w:tcMar>
            <w:vAlign w:val="center"/>
          </w:tcPr>
          <w:p>
            <w:pPr>
              <w:pStyle w:val="TableContents"/>
              <w:bidi w:val="0"/>
              <w:spacing w:before="0" w:after="283"/>
              <w:jc w:val="lef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78" w:type="dxa"/>
            <w:tcBorders/>
            <w:shd w:fill="EEEEEE" w:val="clear"/>
            <w:tcMar>
              <w:bottom w:w="0" w:type="dxa"/>
            </w:tcMar>
            <w:vAlign w:val="center"/>
          </w:tcPr>
          <w:p>
            <w:pPr>
              <w:pStyle w:val="TableContents"/>
              <w:bidi w:val="0"/>
              <w:spacing w:before="0" w:after="283"/>
              <w:jc w:val="left"/>
              <w:rPr/>
            </w:pPr>
            <w:r>
              <w:rPr/>
              <w:t> </w:t>
            </w:r>
          </w:p>
        </w:tc>
        <w:tc>
          <w:tcPr>
            <w:tcW w:w="887" w:type="dxa"/>
            <w:tcBorders/>
            <w:shd w:fill="EEEEEE" w:val="clear"/>
            <w:tcMar>
              <w:bottom w:w="0" w:type="dxa"/>
            </w:tcMar>
            <w:vAlign w:val="center"/>
          </w:tcPr>
          <w:p>
            <w:pPr>
              <w:pStyle w:val="TableContents"/>
              <w:bidi w:val="0"/>
              <w:spacing w:before="0" w:after="283"/>
              <w:jc w:val="right"/>
              <w:rPr/>
            </w:pPr>
            <w:r>
              <w:rPr/>
              <w:t>12,006</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30" w:type="dxa"/>
            <w:tcBorders/>
            <w:shd w:fill="EEEEEE" w:val="clear"/>
            <w:tcMar>
              <w:bottom w:w="0" w:type="dxa"/>
            </w:tcMar>
            <w:vAlign w:val="center"/>
          </w:tcPr>
          <w:p>
            <w:pPr>
              <w:pStyle w:val="TableContents"/>
              <w:bidi w:val="0"/>
              <w:spacing w:before="0" w:after="283"/>
              <w:jc w:val="left"/>
              <w:rPr/>
            </w:pPr>
            <w:r>
              <w:rPr/>
              <w:t> </w:t>
            </w:r>
          </w:p>
        </w:tc>
        <w:tc>
          <w:tcPr>
            <w:tcW w:w="955" w:type="dxa"/>
            <w:tcBorders/>
            <w:shd w:fill="EEEEEE" w:val="clear"/>
            <w:tcMar>
              <w:bottom w:w="0" w:type="dxa"/>
            </w:tcMar>
            <w:vAlign w:val="center"/>
          </w:tcPr>
          <w:p>
            <w:pPr>
              <w:pStyle w:val="TableContents"/>
              <w:bidi w:val="0"/>
              <w:spacing w:before="0" w:after="283"/>
              <w:jc w:val="right"/>
              <w:rPr/>
            </w:pPr>
            <w:r>
              <w:rPr/>
              <w:t>45.9</w:t>
            </w:r>
          </w:p>
        </w:tc>
        <w:tc>
          <w:tcPr>
            <w:tcW w:w="215" w:type="dxa"/>
            <w:tcBorders/>
            <w:shd w:fill="EEEEEE" w:val="clear"/>
            <w:tcMar>
              <w:bottom w:w="0" w:type="dxa"/>
            </w:tcMar>
            <w:vAlign w:val="center"/>
          </w:tcPr>
          <w:p>
            <w:pPr>
              <w:pStyle w:val="TableContents"/>
              <w:bidi w:val="0"/>
              <w:spacing w:before="0" w:after="283"/>
              <w:jc w:val="lef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93" w:type="dxa"/>
            <w:tcBorders/>
            <w:shd w:fill="EEEEEE" w:val="clear"/>
            <w:tcMar>
              <w:bottom w:w="0" w:type="dxa"/>
            </w:tcMar>
            <w:vAlign w:val="center"/>
          </w:tcPr>
          <w:p>
            <w:pPr>
              <w:pStyle w:val="TableContents"/>
              <w:bidi w:val="0"/>
              <w:spacing w:before="0" w:after="283"/>
              <w:jc w:val="left"/>
              <w:rPr/>
            </w:pPr>
            <w:r>
              <w:rPr/>
              <w:t> </w:t>
            </w:r>
          </w:p>
        </w:tc>
        <w:tc>
          <w:tcPr>
            <w:tcW w:w="872" w:type="dxa"/>
            <w:tcBorders/>
            <w:shd w:fill="EEEEEE" w:val="clear"/>
            <w:tcMar>
              <w:bottom w:w="0" w:type="dxa"/>
            </w:tcMar>
            <w:vAlign w:val="center"/>
          </w:tcPr>
          <w:p>
            <w:pPr>
              <w:pStyle w:val="TableContents"/>
              <w:bidi w:val="0"/>
              <w:spacing w:before="0" w:after="283"/>
              <w:jc w:val="right"/>
              <w:rPr/>
            </w:pPr>
            <w:r>
              <w:rPr/>
              <w:t>1,999</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71" w:type="dxa"/>
            <w:tcBorders/>
            <w:shd w:fill="EEEEEE" w:val="clear"/>
            <w:tcMar>
              <w:bottom w:w="0" w:type="dxa"/>
            </w:tcMar>
            <w:vAlign w:val="center"/>
          </w:tcPr>
          <w:p>
            <w:pPr>
              <w:pStyle w:val="TableContents"/>
              <w:bidi w:val="0"/>
              <w:spacing w:before="0" w:after="283"/>
              <w:jc w:val="left"/>
              <w:rPr/>
            </w:pPr>
            <w:r>
              <w:rPr/>
              <w:t> </w:t>
            </w:r>
          </w:p>
        </w:tc>
        <w:tc>
          <w:tcPr>
            <w:tcW w:w="914" w:type="dxa"/>
            <w:tcBorders/>
            <w:shd w:fill="EEEEEE" w:val="clear"/>
            <w:tcMar>
              <w:bottom w:w="0" w:type="dxa"/>
            </w:tcMar>
            <w:vAlign w:val="center"/>
          </w:tcPr>
          <w:p>
            <w:pPr>
              <w:pStyle w:val="TableContents"/>
              <w:bidi w:val="0"/>
              <w:spacing w:before="0" w:after="283"/>
              <w:jc w:val="right"/>
              <w:rPr/>
            </w:pPr>
            <w:r>
              <w:rPr/>
              <w:t>7.6</w:t>
            </w:r>
          </w:p>
        </w:tc>
        <w:tc>
          <w:tcPr>
            <w:tcW w:w="215" w:type="dxa"/>
            <w:tcBorders/>
            <w:shd w:fill="EEEEEE" w:val="clear"/>
            <w:tcMar>
              <w:bottom w:w="0" w:type="dxa"/>
            </w:tcMar>
            <w:vAlign w:val="center"/>
          </w:tcPr>
          <w:p>
            <w:pPr>
              <w:pStyle w:val="TableContents"/>
              <w:bidi w:val="0"/>
              <w:spacing w:before="0" w:after="283"/>
              <w:jc w:val="lef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180" w:type="dxa"/>
            <w:tcBorders/>
            <w:shd w:fill="EEEEEE" w:val="clear"/>
            <w:tcMar>
              <w:bottom w:w="0" w:type="dxa"/>
            </w:tcMar>
            <w:vAlign w:val="center"/>
          </w:tcPr>
          <w:p>
            <w:pPr>
              <w:pStyle w:val="TableContents"/>
              <w:bidi w:val="0"/>
              <w:spacing w:before="0" w:after="283"/>
              <w:jc w:val="left"/>
              <w:rPr/>
            </w:pPr>
            <w:r>
              <w:rPr/>
              <w:t> </w:t>
            </w:r>
          </w:p>
        </w:tc>
        <w:tc>
          <w:tcPr>
            <w:tcW w:w="785" w:type="dxa"/>
            <w:tcBorders/>
            <w:shd w:fill="EEEEEE" w:val="clear"/>
            <w:tcMar>
              <w:bottom w:w="0" w:type="dxa"/>
            </w:tcMar>
            <w:vAlign w:val="center"/>
          </w:tcPr>
          <w:p>
            <w:pPr>
              <w:pStyle w:val="TableContents"/>
              <w:bidi w:val="0"/>
              <w:spacing w:before="0" w:after="283"/>
              <w:jc w:val="right"/>
              <w:rPr/>
            </w:pPr>
            <w:r>
              <w:rPr/>
              <w:t>19</w:t>
            </w:r>
          </w:p>
        </w:tc>
        <w:tc>
          <w:tcPr>
            <w:tcW w:w="75" w:type="dxa"/>
            <w:tcBorders/>
            <w:shd w:fill="EEEEEE" w:val="clear"/>
            <w:tcMar>
              <w:bottom w:w="0" w:type="dxa"/>
            </w:tcMar>
            <w:vAlign w:val="center"/>
          </w:tcPr>
          <w:p>
            <w:pPr>
              <w:pStyle w:val="TableContents"/>
              <w:bidi w:val="0"/>
              <w:spacing w:before="0" w:after="283"/>
              <w:jc w:val="left"/>
              <w:rPr/>
            </w:pPr>
            <w:r>
              <w:rPr/>
              <w:t> </w:t>
            </w:r>
          </w:p>
        </w:tc>
      </w:tr>
      <w:tr>
        <w:trPr/>
        <w:tc>
          <w:tcPr>
            <w:tcW w:w="98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14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94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902"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88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955"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87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 w:type="dxa"/>
            <w:tcBorders/>
            <w:shd w:fill="FFFFFF" w:val="clear"/>
            <w:tcMar>
              <w:bottom w:w="0" w:type="dxa"/>
            </w:tcMar>
            <w:vAlign w:val="center"/>
          </w:tcPr>
          <w:p>
            <w:pPr>
              <w:pStyle w:val="TableContents"/>
              <w:bidi w:val="0"/>
              <w:spacing w:before="0" w:after="283"/>
              <w:jc w:val="left"/>
              <w:rPr/>
            </w:pPr>
            <w:r>
              <w:rPr/>
              <w:t> </w:t>
            </w:r>
          </w:p>
        </w:tc>
        <w:tc>
          <w:tcPr>
            <w:tcW w:w="785"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80" w:type="dxa"/>
            <w:tcBorders/>
            <w:shd w:fill="EEEEEE" w:val="clear"/>
            <w:tcMar>
              <w:bottom w:w="0" w:type="dxa"/>
            </w:tcMar>
            <w:vAlign w:val="center"/>
          </w:tcPr>
          <w:p>
            <w:pPr>
              <w:pStyle w:val="TableContents"/>
              <w:bidi w:val="0"/>
              <w:spacing w:before="0" w:after="283"/>
              <w:jc w:val="center"/>
              <w:rPr/>
            </w:pPr>
            <w:r>
              <w:rPr/>
              <w:t>2011</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6" w:type="dxa"/>
            <w:tcBorders/>
            <w:shd w:fill="EEEEEE" w:val="clear"/>
            <w:tcMar>
              <w:bottom w:w="0" w:type="dxa"/>
            </w:tcMar>
            <w:vAlign w:val="center"/>
          </w:tcPr>
          <w:p>
            <w:pPr>
              <w:pStyle w:val="TableContents"/>
              <w:bidi w:val="0"/>
              <w:spacing w:before="0" w:after="283"/>
              <w:jc w:val="left"/>
              <w:rPr/>
            </w:pPr>
            <w:r>
              <w:rPr/>
              <w:t> </w:t>
            </w:r>
          </w:p>
        </w:tc>
        <w:tc>
          <w:tcPr>
            <w:tcW w:w="1149" w:type="dxa"/>
            <w:tcBorders/>
            <w:shd w:fill="EEEEEE" w:val="clear"/>
            <w:tcMar>
              <w:bottom w:w="0" w:type="dxa"/>
            </w:tcMar>
            <w:vAlign w:val="center"/>
          </w:tcPr>
          <w:p>
            <w:pPr>
              <w:pStyle w:val="TableContents"/>
              <w:bidi w:val="0"/>
              <w:spacing w:before="0" w:after="283"/>
              <w:jc w:val="right"/>
              <w:rPr/>
            </w:pPr>
            <w:r>
              <w:rPr/>
              <w:t>18,786</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3" w:type="dxa"/>
            <w:tcBorders/>
            <w:shd w:fill="EEEEEE" w:val="clear"/>
            <w:tcMar>
              <w:bottom w:w="0" w:type="dxa"/>
            </w:tcMar>
            <w:vAlign w:val="center"/>
          </w:tcPr>
          <w:p>
            <w:pPr>
              <w:pStyle w:val="TableContents"/>
              <w:bidi w:val="0"/>
              <w:spacing w:before="0" w:after="283"/>
              <w:jc w:val="left"/>
              <w:rPr/>
            </w:pPr>
            <w:r>
              <w:rPr/>
              <w:t> </w:t>
            </w:r>
          </w:p>
        </w:tc>
        <w:tc>
          <w:tcPr>
            <w:tcW w:w="942" w:type="dxa"/>
            <w:tcBorders/>
            <w:shd w:fill="EEEEEE" w:val="clear"/>
            <w:tcMar>
              <w:bottom w:w="0" w:type="dxa"/>
            </w:tcMar>
            <w:vAlign w:val="center"/>
          </w:tcPr>
          <w:p>
            <w:pPr>
              <w:pStyle w:val="TableContents"/>
              <w:bidi w:val="0"/>
              <w:spacing w:before="0" w:after="283"/>
              <w:jc w:val="right"/>
              <w:rPr/>
            </w:pPr>
            <w:r>
              <w:rPr/>
              <w:t>10,972</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23" w:type="dxa"/>
            <w:tcBorders/>
            <w:shd w:fill="EEEEEE" w:val="clear"/>
            <w:tcMar>
              <w:bottom w:w="0" w:type="dxa"/>
            </w:tcMar>
            <w:vAlign w:val="center"/>
          </w:tcPr>
          <w:p>
            <w:pPr>
              <w:pStyle w:val="TableContents"/>
              <w:bidi w:val="0"/>
              <w:spacing w:before="0" w:after="283"/>
              <w:jc w:val="left"/>
              <w:rPr/>
            </w:pPr>
            <w:r>
              <w:rPr/>
              <w:t> </w:t>
            </w:r>
          </w:p>
        </w:tc>
        <w:tc>
          <w:tcPr>
            <w:tcW w:w="902" w:type="dxa"/>
            <w:tcBorders/>
            <w:shd w:fill="EEEEEE" w:val="clear"/>
            <w:tcMar>
              <w:bottom w:w="0" w:type="dxa"/>
            </w:tcMar>
            <w:vAlign w:val="center"/>
          </w:tcPr>
          <w:p>
            <w:pPr>
              <w:pStyle w:val="TableContents"/>
              <w:bidi w:val="0"/>
              <w:spacing w:before="0" w:after="283"/>
              <w:jc w:val="right"/>
              <w:rPr/>
            </w:pPr>
            <w:r>
              <w:rPr/>
              <w:t>58.4</w:t>
            </w:r>
          </w:p>
        </w:tc>
        <w:tc>
          <w:tcPr>
            <w:tcW w:w="215" w:type="dxa"/>
            <w:tcBorders/>
            <w:shd w:fill="EEEEEE" w:val="clear"/>
            <w:tcMar>
              <w:bottom w:w="0" w:type="dxa"/>
            </w:tcMar>
            <w:vAlign w:val="center"/>
          </w:tcPr>
          <w:p>
            <w:pPr>
              <w:pStyle w:val="TableContents"/>
              <w:bidi w:val="0"/>
              <w:spacing w:before="0" w:after="283"/>
              <w:jc w:val="lef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78" w:type="dxa"/>
            <w:tcBorders/>
            <w:shd w:fill="EEEEEE" w:val="clear"/>
            <w:tcMar>
              <w:bottom w:w="0" w:type="dxa"/>
            </w:tcMar>
            <w:vAlign w:val="center"/>
          </w:tcPr>
          <w:p>
            <w:pPr>
              <w:pStyle w:val="TableContents"/>
              <w:bidi w:val="0"/>
              <w:spacing w:before="0" w:after="283"/>
              <w:jc w:val="left"/>
              <w:rPr/>
            </w:pPr>
            <w:r>
              <w:rPr/>
              <w:t> </w:t>
            </w:r>
          </w:p>
        </w:tc>
        <w:tc>
          <w:tcPr>
            <w:tcW w:w="887" w:type="dxa"/>
            <w:tcBorders/>
            <w:shd w:fill="EEEEEE" w:val="clear"/>
            <w:tcMar>
              <w:bottom w:w="0" w:type="dxa"/>
            </w:tcMar>
            <w:vAlign w:val="center"/>
          </w:tcPr>
          <w:p>
            <w:pPr>
              <w:pStyle w:val="TableContents"/>
              <w:bidi w:val="0"/>
              <w:spacing w:before="0" w:after="283"/>
              <w:jc w:val="right"/>
              <w:rPr/>
            </w:pPr>
            <w:r>
              <w:rPr/>
              <w:t>6,882</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30" w:type="dxa"/>
            <w:tcBorders/>
            <w:shd w:fill="EEEEEE" w:val="clear"/>
            <w:tcMar>
              <w:bottom w:w="0" w:type="dxa"/>
            </w:tcMar>
            <w:vAlign w:val="center"/>
          </w:tcPr>
          <w:p>
            <w:pPr>
              <w:pStyle w:val="TableContents"/>
              <w:bidi w:val="0"/>
              <w:spacing w:before="0" w:after="283"/>
              <w:jc w:val="left"/>
              <w:rPr/>
            </w:pPr>
            <w:r>
              <w:rPr/>
              <w:t> </w:t>
            </w:r>
          </w:p>
        </w:tc>
        <w:tc>
          <w:tcPr>
            <w:tcW w:w="955" w:type="dxa"/>
            <w:tcBorders/>
            <w:shd w:fill="EEEEEE" w:val="clear"/>
            <w:tcMar>
              <w:bottom w:w="0" w:type="dxa"/>
            </w:tcMar>
            <w:vAlign w:val="center"/>
          </w:tcPr>
          <w:p>
            <w:pPr>
              <w:pStyle w:val="TableContents"/>
              <w:bidi w:val="0"/>
              <w:spacing w:before="0" w:after="283"/>
              <w:jc w:val="right"/>
              <w:rPr/>
            </w:pPr>
            <w:r>
              <w:rPr/>
              <w:t>36.6</w:t>
            </w:r>
          </w:p>
        </w:tc>
        <w:tc>
          <w:tcPr>
            <w:tcW w:w="215" w:type="dxa"/>
            <w:tcBorders/>
            <w:shd w:fill="EEEEEE" w:val="clear"/>
            <w:tcMar>
              <w:bottom w:w="0" w:type="dxa"/>
            </w:tcMar>
            <w:vAlign w:val="center"/>
          </w:tcPr>
          <w:p>
            <w:pPr>
              <w:pStyle w:val="TableContents"/>
              <w:bidi w:val="0"/>
              <w:spacing w:before="0" w:after="283"/>
              <w:jc w:val="lef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93" w:type="dxa"/>
            <w:tcBorders/>
            <w:shd w:fill="EEEEEE" w:val="clear"/>
            <w:tcMar>
              <w:bottom w:w="0" w:type="dxa"/>
            </w:tcMar>
            <w:vAlign w:val="center"/>
          </w:tcPr>
          <w:p>
            <w:pPr>
              <w:pStyle w:val="TableContents"/>
              <w:bidi w:val="0"/>
              <w:spacing w:before="0" w:after="283"/>
              <w:jc w:val="left"/>
              <w:rPr/>
            </w:pPr>
            <w:r>
              <w:rPr/>
              <w:t> </w:t>
            </w:r>
          </w:p>
        </w:tc>
        <w:tc>
          <w:tcPr>
            <w:tcW w:w="872" w:type="dxa"/>
            <w:tcBorders/>
            <w:shd w:fill="EEEEEE" w:val="clear"/>
            <w:tcMar>
              <w:bottom w:w="0" w:type="dxa"/>
            </w:tcMar>
            <w:vAlign w:val="center"/>
          </w:tcPr>
          <w:p>
            <w:pPr>
              <w:pStyle w:val="TableContents"/>
              <w:bidi w:val="0"/>
              <w:spacing w:before="0" w:after="283"/>
              <w:jc w:val="right"/>
              <w:rPr/>
            </w:pPr>
            <w:r>
              <w:rPr/>
              <w:t>932</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71" w:type="dxa"/>
            <w:tcBorders/>
            <w:shd w:fill="EEEEEE" w:val="clear"/>
            <w:tcMar>
              <w:bottom w:w="0" w:type="dxa"/>
            </w:tcMar>
            <w:vAlign w:val="center"/>
          </w:tcPr>
          <w:p>
            <w:pPr>
              <w:pStyle w:val="TableContents"/>
              <w:bidi w:val="0"/>
              <w:spacing w:before="0" w:after="283"/>
              <w:jc w:val="left"/>
              <w:rPr/>
            </w:pPr>
            <w:r>
              <w:rPr/>
              <w:t> </w:t>
            </w:r>
          </w:p>
        </w:tc>
        <w:tc>
          <w:tcPr>
            <w:tcW w:w="914" w:type="dxa"/>
            <w:tcBorders/>
            <w:shd w:fill="EEEEEE" w:val="clear"/>
            <w:tcMar>
              <w:bottom w:w="0" w:type="dxa"/>
            </w:tcMar>
            <w:vAlign w:val="center"/>
          </w:tcPr>
          <w:p>
            <w:pPr>
              <w:pStyle w:val="TableContents"/>
              <w:bidi w:val="0"/>
              <w:spacing w:before="0" w:after="283"/>
              <w:jc w:val="right"/>
              <w:rPr/>
            </w:pPr>
            <w:r>
              <w:rPr/>
              <w:t>5.0</w:t>
            </w:r>
          </w:p>
        </w:tc>
        <w:tc>
          <w:tcPr>
            <w:tcW w:w="215" w:type="dxa"/>
            <w:tcBorders/>
            <w:shd w:fill="EEEEEE" w:val="clear"/>
            <w:tcMar>
              <w:bottom w:w="0" w:type="dxa"/>
            </w:tcMar>
            <w:vAlign w:val="center"/>
          </w:tcPr>
          <w:p>
            <w:pPr>
              <w:pStyle w:val="TableContents"/>
              <w:bidi w:val="0"/>
              <w:spacing w:before="0" w:after="283"/>
              <w:jc w:val="lef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180" w:type="dxa"/>
            <w:tcBorders/>
            <w:shd w:fill="EEEEEE" w:val="clear"/>
            <w:tcMar>
              <w:bottom w:w="0" w:type="dxa"/>
            </w:tcMar>
            <w:vAlign w:val="center"/>
          </w:tcPr>
          <w:p>
            <w:pPr>
              <w:pStyle w:val="TableContents"/>
              <w:bidi w:val="0"/>
              <w:spacing w:before="0" w:after="283"/>
              <w:jc w:val="left"/>
              <w:rPr/>
            </w:pPr>
            <w:r>
              <w:rPr/>
              <w:t> </w:t>
            </w:r>
          </w:p>
        </w:tc>
        <w:tc>
          <w:tcPr>
            <w:tcW w:w="785" w:type="dxa"/>
            <w:tcBorders/>
            <w:shd w:fill="EEEEEE" w:val="clear"/>
            <w:tcMar>
              <w:bottom w:w="0" w:type="dxa"/>
            </w:tcMar>
            <w:vAlign w:val="center"/>
          </w:tcPr>
          <w:p>
            <w:pPr>
              <w:pStyle w:val="TableContents"/>
              <w:bidi w:val="0"/>
              <w:spacing w:before="0" w:after="283"/>
              <w:jc w:val="right"/>
              <w:rPr/>
            </w:pPr>
            <w:r>
              <w:rPr/>
              <w:t>19</w:t>
            </w:r>
          </w:p>
        </w:tc>
        <w:tc>
          <w:tcPr>
            <w:tcW w:w="75" w:type="dxa"/>
            <w:tcBorders/>
            <w:shd w:fill="EEEEEE" w:val="clear"/>
            <w:tcMar>
              <w:bottom w:w="0" w:type="dxa"/>
            </w:tcMar>
            <w:vAlign w:val="center"/>
          </w:tcPr>
          <w:p>
            <w:pPr>
              <w:pStyle w:val="TableContents"/>
              <w:bidi w:val="0"/>
              <w:spacing w:before="0" w:after="283"/>
              <w:jc w:val="left"/>
              <w:rPr/>
            </w:pPr>
            <w:r>
              <w:rPr/>
              <w:t> </w:t>
            </w:r>
          </w:p>
        </w:tc>
      </w:tr>
      <w:tr>
        <w:trPr/>
        <w:tc>
          <w:tcPr>
            <w:tcW w:w="98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14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94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902"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88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955"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87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 w:type="dxa"/>
            <w:tcBorders/>
            <w:shd w:fill="FFFFFF" w:val="clear"/>
            <w:tcMar>
              <w:bottom w:w="0" w:type="dxa"/>
            </w:tcMar>
            <w:vAlign w:val="center"/>
          </w:tcPr>
          <w:p>
            <w:pPr>
              <w:pStyle w:val="TableContents"/>
              <w:bidi w:val="0"/>
              <w:spacing w:before="0" w:after="283"/>
              <w:jc w:val="left"/>
              <w:rPr/>
            </w:pPr>
            <w:r>
              <w:rPr/>
              <w:t> </w:t>
            </w:r>
          </w:p>
        </w:tc>
        <w:tc>
          <w:tcPr>
            <w:tcW w:w="785"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80" w:type="dxa"/>
            <w:tcBorders/>
            <w:shd w:fill="EEEEEE" w:val="clear"/>
            <w:tcMar>
              <w:bottom w:w="0" w:type="dxa"/>
            </w:tcMar>
            <w:vAlign w:val="center"/>
          </w:tcPr>
          <w:p>
            <w:pPr>
              <w:pStyle w:val="TableContents"/>
              <w:bidi w:val="0"/>
              <w:spacing w:before="0" w:after="283"/>
              <w:jc w:val="center"/>
              <w:rPr/>
            </w:pPr>
            <w:r>
              <w:rPr/>
              <w:t>2012</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6" w:type="dxa"/>
            <w:tcBorders/>
            <w:shd w:fill="EEEEEE" w:val="clear"/>
            <w:tcMar>
              <w:bottom w:w="0" w:type="dxa"/>
            </w:tcMar>
            <w:vAlign w:val="center"/>
          </w:tcPr>
          <w:p>
            <w:pPr>
              <w:pStyle w:val="TableContents"/>
              <w:bidi w:val="0"/>
              <w:spacing w:before="0" w:after="283"/>
              <w:jc w:val="left"/>
              <w:rPr/>
            </w:pPr>
            <w:r>
              <w:rPr/>
              <w:t> </w:t>
            </w:r>
          </w:p>
        </w:tc>
        <w:tc>
          <w:tcPr>
            <w:tcW w:w="1149" w:type="dxa"/>
            <w:tcBorders/>
            <w:shd w:fill="EEEEEE" w:val="clear"/>
            <w:tcMar>
              <w:bottom w:w="0" w:type="dxa"/>
            </w:tcMar>
            <w:vAlign w:val="center"/>
          </w:tcPr>
          <w:p>
            <w:pPr>
              <w:pStyle w:val="TableContents"/>
              <w:bidi w:val="0"/>
              <w:spacing w:before="0" w:after="283"/>
              <w:jc w:val="right"/>
              <w:rPr/>
            </w:pPr>
            <w:r>
              <w:rPr/>
              <w:t>18,783</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3" w:type="dxa"/>
            <w:tcBorders/>
            <w:shd w:fill="EEEEEE" w:val="clear"/>
            <w:tcMar>
              <w:bottom w:w="0" w:type="dxa"/>
            </w:tcMar>
            <w:vAlign w:val="center"/>
          </w:tcPr>
          <w:p>
            <w:pPr>
              <w:pStyle w:val="TableContents"/>
              <w:bidi w:val="0"/>
              <w:spacing w:before="0" w:after="283"/>
              <w:jc w:val="left"/>
              <w:rPr/>
            </w:pPr>
            <w:r>
              <w:rPr/>
              <w:t> </w:t>
            </w:r>
          </w:p>
        </w:tc>
        <w:tc>
          <w:tcPr>
            <w:tcW w:w="942" w:type="dxa"/>
            <w:tcBorders/>
            <w:shd w:fill="EEEEEE" w:val="clear"/>
            <w:tcMar>
              <w:bottom w:w="0" w:type="dxa"/>
            </w:tcMar>
            <w:vAlign w:val="center"/>
          </w:tcPr>
          <w:p>
            <w:pPr>
              <w:pStyle w:val="TableContents"/>
              <w:bidi w:val="0"/>
              <w:spacing w:before="0" w:after="283"/>
              <w:jc w:val="right"/>
              <w:rPr/>
            </w:pPr>
            <w:r>
              <w:rPr/>
              <w:t>11,320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23" w:type="dxa"/>
            <w:tcBorders/>
            <w:shd w:fill="EEEEEE" w:val="clear"/>
            <w:tcMar>
              <w:bottom w:w="0" w:type="dxa"/>
            </w:tcMar>
            <w:vAlign w:val="center"/>
          </w:tcPr>
          <w:p>
            <w:pPr>
              <w:pStyle w:val="TableContents"/>
              <w:bidi w:val="0"/>
              <w:spacing w:before="0" w:after="283"/>
              <w:jc w:val="left"/>
              <w:rPr/>
            </w:pPr>
            <w:r>
              <w:rPr/>
              <w:t> </w:t>
            </w:r>
          </w:p>
        </w:tc>
        <w:tc>
          <w:tcPr>
            <w:tcW w:w="902" w:type="dxa"/>
            <w:tcBorders/>
            <w:shd w:fill="EEEEEE" w:val="clear"/>
            <w:tcMar>
              <w:bottom w:w="0" w:type="dxa"/>
            </w:tcMar>
            <w:vAlign w:val="center"/>
          </w:tcPr>
          <w:p>
            <w:pPr>
              <w:pStyle w:val="TableContents"/>
              <w:bidi w:val="0"/>
              <w:spacing w:before="0" w:after="283"/>
              <w:jc w:val="right"/>
              <w:rPr/>
            </w:pPr>
            <w:r>
              <w:rPr/>
              <w:t>60.3</w:t>
            </w:r>
          </w:p>
        </w:tc>
        <w:tc>
          <w:tcPr>
            <w:tcW w:w="215" w:type="dxa"/>
            <w:tcBorders/>
            <w:shd w:fill="EEEEEE" w:val="clear"/>
            <w:tcMar>
              <w:bottom w:w="0" w:type="dxa"/>
            </w:tcMar>
            <w:vAlign w:val="center"/>
          </w:tcPr>
          <w:p>
            <w:pPr>
              <w:pStyle w:val="TableContents"/>
              <w:bidi w:val="0"/>
              <w:spacing w:before="0" w:after="283"/>
              <w:jc w:val="lef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78" w:type="dxa"/>
            <w:tcBorders/>
            <w:shd w:fill="EEEEEE" w:val="clear"/>
            <w:tcMar>
              <w:bottom w:w="0" w:type="dxa"/>
            </w:tcMar>
            <w:vAlign w:val="center"/>
          </w:tcPr>
          <w:p>
            <w:pPr>
              <w:pStyle w:val="TableContents"/>
              <w:bidi w:val="0"/>
              <w:spacing w:before="0" w:after="283"/>
              <w:jc w:val="left"/>
              <w:rPr/>
            </w:pPr>
            <w:r>
              <w:rPr/>
              <w:t> </w:t>
            </w:r>
          </w:p>
        </w:tc>
        <w:tc>
          <w:tcPr>
            <w:tcW w:w="887" w:type="dxa"/>
            <w:tcBorders/>
            <w:shd w:fill="EEEEEE" w:val="clear"/>
            <w:tcMar>
              <w:bottom w:w="0" w:type="dxa"/>
            </w:tcMar>
            <w:vAlign w:val="center"/>
          </w:tcPr>
          <w:p>
            <w:pPr>
              <w:pStyle w:val="TableContents"/>
              <w:bidi w:val="0"/>
              <w:spacing w:before="0" w:after="283"/>
              <w:jc w:val="right"/>
              <w:rPr/>
            </w:pPr>
            <w:r>
              <w:rPr/>
              <w:t>6,667</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30" w:type="dxa"/>
            <w:tcBorders/>
            <w:shd w:fill="EEEEEE" w:val="clear"/>
            <w:tcMar>
              <w:bottom w:w="0" w:type="dxa"/>
            </w:tcMar>
            <w:vAlign w:val="center"/>
          </w:tcPr>
          <w:p>
            <w:pPr>
              <w:pStyle w:val="TableContents"/>
              <w:bidi w:val="0"/>
              <w:spacing w:before="0" w:after="283"/>
              <w:jc w:val="left"/>
              <w:rPr/>
            </w:pPr>
            <w:r>
              <w:rPr/>
              <w:t> </w:t>
            </w:r>
          </w:p>
        </w:tc>
        <w:tc>
          <w:tcPr>
            <w:tcW w:w="955" w:type="dxa"/>
            <w:tcBorders/>
            <w:shd w:fill="EEEEEE" w:val="clear"/>
            <w:tcMar>
              <w:bottom w:w="0" w:type="dxa"/>
            </w:tcMar>
            <w:vAlign w:val="center"/>
          </w:tcPr>
          <w:p>
            <w:pPr>
              <w:pStyle w:val="TableContents"/>
              <w:bidi w:val="0"/>
              <w:spacing w:before="0" w:after="283"/>
              <w:jc w:val="right"/>
              <w:rPr/>
            </w:pPr>
            <w:r>
              <w:rPr/>
              <w:t>35.5</w:t>
            </w:r>
          </w:p>
        </w:tc>
        <w:tc>
          <w:tcPr>
            <w:tcW w:w="215" w:type="dxa"/>
            <w:tcBorders/>
            <w:shd w:fill="EEEEEE" w:val="clear"/>
            <w:tcMar>
              <w:bottom w:w="0" w:type="dxa"/>
            </w:tcMar>
            <w:vAlign w:val="center"/>
          </w:tcPr>
          <w:p>
            <w:pPr>
              <w:pStyle w:val="TableContents"/>
              <w:bidi w:val="0"/>
              <w:spacing w:before="0" w:after="283"/>
              <w:jc w:val="lef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93" w:type="dxa"/>
            <w:tcBorders/>
            <w:shd w:fill="EEEEEE" w:val="clear"/>
            <w:tcMar>
              <w:bottom w:w="0" w:type="dxa"/>
            </w:tcMar>
            <w:vAlign w:val="center"/>
          </w:tcPr>
          <w:p>
            <w:pPr>
              <w:pStyle w:val="TableContents"/>
              <w:bidi w:val="0"/>
              <w:spacing w:before="0" w:after="283"/>
              <w:jc w:val="left"/>
              <w:rPr/>
            </w:pPr>
            <w:r>
              <w:rPr/>
              <w:t> </w:t>
            </w:r>
          </w:p>
        </w:tc>
        <w:tc>
          <w:tcPr>
            <w:tcW w:w="872" w:type="dxa"/>
            <w:tcBorders/>
            <w:shd w:fill="EEEEEE" w:val="clear"/>
            <w:tcMar>
              <w:bottom w:w="0" w:type="dxa"/>
            </w:tcMar>
            <w:vAlign w:val="center"/>
          </w:tcPr>
          <w:p>
            <w:pPr>
              <w:pStyle w:val="TableContents"/>
              <w:bidi w:val="0"/>
              <w:spacing w:before="0" w:after="283"/>
              <w:jc w:val="right"/>
              <w:rPr/>
            </w:pPr>
            <w:r>
              <w:rPr/>
              <w:t>796</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71" w:type="dxa"/>
            <w:tcBorders/>
            <w:shd w:fill="EEEEEE" w:val="clear"/>
            <w:tcMar>
              <w:bottom w:w="0" w:type="dxa"/>
            </w:tcMar>
            <w:vAlign w:val="center"/>
          </w:tcPr>
          <w:p>
            <w:pPr>
              <w:pStyle w:val="TableContents"/>
              <w:bidi w:val="0"/>
              <w:spacing w:before="0" w:after="283"/>
              <w:jc w:val="left"/>
              <w:rPr/>
            </w:pPr>
            <w:r>
              <w:rPr/>
              <w:t> </w:t>
            </w:r>
          </w:p>
        </w:tc>
        <w:tc>
          <w:tcPr>
            <w:tcW w:w="914" w:type="dxa"/>
            <w:tcBorders/>
            <w:shd w:fill="EEEEEE" w:val="clear"/>
            <w:tcMar>
              <w:bottom w:w="0" w:type="dxa"/>
            </w:tcMar>
            <w:vAlign w:val="center"/>
          </w:tcPr>
          <w:p>
            <w:pPr>
              <w:pStyle w:val="TableContents"/>
              <w:bidi w:val="0"/>
              <w:spacing w:before="0" w:after="283"/>
              <w:jc w:val="right"/>
              <w:rPr/>
            </w:pPr>
            <w:r>
              <w:rPr/>
              <w:t>4.2</w:t>
            </w:r>
          </w:p>
        </w:tc>
        <w:tc>
          <w:tcPr>
            <w:tcW w:w="215" w:type="dxa"/>
            <w:tcBorders/>
            <w:shd w:fill="EEEEEE" w:val="clear"/>
            <w:tcMar>
              <w:bottom w:w="0" w:type="dxa"/>
            </w:tcMar>
            <w:vAlign w:val="center"/>
          </w:tcPr>
          <w:p>
            <w:pPr>
              <w:pStyle w:val="TableContents"/>
              <w:bidi w:val="0"/>
              <w:spacing w:before="0" w:after="283"/>
              <w:jc w:val="lef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180" w:type="dxa"/>
            <w:tcBorders/>
            <w:shd w:fill="EEEEEE" w:val="clear"/>
            <w:tcMar>
              <w:bottom w:w="0" w:type="dxa"/>
            </w:tcMar>
            <w:vAlign w:val="center"/>
          </w:tcPr>
          <w:p>
            <w:pPr>
              <w:pStyle w:val="TableContents"/>
              <w:bidi w:val="0"/>
              <w:spacing w:before="0" w:after="283"/>
              <w:jc w:val="left"/>
              <w:rPr/>
            </w:pPr>
            <w:r>
              <w:rPr/>
              <w:t> </w:t>
            </w:r>
          </w:p>
        </w:tc>
        <w:tc>
          <w:tcPr>
            <w:tcW w:w="785" w:type="dxa"/>
            <w:tcBorders/>
            <w:shd w:fill="EEEEEE" w:val="clear"/>
            <w:tcMar>
              <w:bottom w:w="0" w:type="dxa"/>
            </w:tcMar>
            <w:vAlign w:val="center"/>
          </w:tcPr>
          <w:p>
            <w:pPr>
              <w:pStyle w:val="TableContents"/>
              <w:bidi w:val="0"/>
              <w:spacing w:before="0" w:after="283"/>
              <w:jc w:val="right"/>
              <w:rPr/>
            </w:pPr>
            <w:r>
              <w:rPr/>
              <w:t>18</w:t>
            </w:r>
          </w:p>
        </w:tc>
        <w:tc>
          <w:tcPr>
            <w:tcW w:w="75" w:type="dxa"/>
            <w:tcBorders/>
            <w:shd w:fill="EEEEEE" w:val="clear"/>
            <w:tcMar>
              <w:bottom w:w="0" w:type="dxa"/>
            </w:tcMar>
            <w:vAlign w:val="center"/>
          </w:tcPr>
          <w:p>
            <w:pPr>
              <w:pStyle w:val="TableContents"/>
              <w:bidi w:val="0"/>
              <w:spacing w:before="0" w:after="283"/>
              <w:jc w:val="left"/>
              <w:rPr/>
            </w:pPr>
            <w:r>
              <w:rPr/>
              <w:t> </w:t>
            </w:r>
          </w:p>
        </w:tc>
      </w:tr>
      <w:tr>
        <w:trPr/>
        <w:tc>
          <w:tcPr>
            <w:tcW w:w="98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14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94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902"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88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955"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87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 w:type="dxa"/>
            <w:tcBorders/>
            <w:shd w:fill="FFFFFF" w:val="clear"/>
            <w:tcMar>
              <w:bottom w:w="0" w:type="dxa"/>
            </w:tcMar>
            <w:vAlign w:val="center"/>
          </w:tcPr>
          <w:p>
            <w:pPr>
              <w:pStyle w:val="TableContents"/>
              <w:bidi w:val="0"/>
              <w:spacing w:before="0" w:after="283"/>
              <w:jc w:val="left"/>
              <w:rPr/>
            </w:pPr>
            <w:r>
              <w:rPr/>
              <w:t> </w:t>
            </w:r>
          </w:p>
        </w:tc>
        <w:tc>
          <w:tcPr>
            <w:tcW w:w="785"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80" w:type="dxa"/>
            <w:tcBorders/>
            <w:shd w:fill="EEEEEE" w:val="clear"/>
            <w:tcMar>
              <w:bottom w:w="0" w:type="dxa"/>
            </w:tcMar>
            <w:vAlign w:val="center"/>
          </w:tcPr>
          <w:p>
            <w:pPr>
              <w:pStyle w:val="TableContents"/>
              <w:bidi w:val="0"/>
              <w:spacing w:before="0" w:after="283"/>
              <w:jc w:val="center"/>
              <w:rPr/>
            </w:pPr>
            <w:r>
              <w:rPr/>
              <w:t>2013</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6" w:type="dxa"/>
            <w:tcBorders/>
            <w:shd w:fill="EEEEEE" w:val="clear"/>
            <w:tcMar>
              <w:bottom w:w="0" w:type="dxa"/>
            </w:tcMar>
            <w:vAlign w:val="center"/>
          </w:tcPr>
          <w:p>
            <w:pPr>
              <w:pStyle w:val="TableContents"/>
              <w:bidi w:val="0"/>
              <w:spacing w:before="0" w:after="283"/>
              <w:jc w:val="left"/>
              <w:rPr/>
            </w:pPr>
            <w:r>
              <w:rPr/>
              <w:t> </w:t>
            </w:r>
          </w:p>
        </w:tc>
        <w:tc>
          <w:tcPr>
            <w:tcW w:w="1149" w:type="dxa"/>
            <w:tcBorders/>
            <w:shd w:fill="EEEEEE" w:val="clear"/>
            <w:tcMar>
              <w:bottom w:w="0" w:type="dxa"/>
            </w:tcMar>
            <w:vAlign w:val="center"/>
          </w:tcPr>
          <w:p>
            <w:pPr>
              <w:pStyle w:val="TableContents"/>
              <w:bidi w:val="0"/>
              <w:spacing w:before="0" w:after="283"/>
              <w:jc w:val="right"/>
              <w:rPr/>
            </w:pPr>
            <w:r>
              <w:rPr/>
              <w:t>23,398</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3" w:type="dxa"/>
            <w:tcBorders/>
            <w:shd w:fill="EEEEEE" w:val="clear"/>
            <w:tcMar>
              <w:bottom w:w="0" w:type="dxa"/>
            </w:tcMar>
            <w:vAlign w:val="center"/>
          </w:tcPr>
          <w:p>
            <w:pPr>
              <w:pStyle w:val="TableContents"/>
              <w:bidi w:val="0"/>
              <w:spacing w:before="0" w:after="283"/>
              <w:jc w:val="left"/>
              <w:rPr/>
            </w:pPr>
            <w:r>
              <w:rPr/>
              <w:t> </w:t>
            </w:r>
          </w:p>
        </w:tc>
        <w:tc>
          <w:tcPr>
            <w:tcW w:w="942" w:type="dxa"/>
            <w:tcBorders/>
            <w:shd w:fill="EEEEEE" w:val="clear"/>
            <w:tcMar>
              <w:bottom w:w="0" w:type="dxa"/>
            </w:tcMar>
            <w:vAlign w:val="center"/>
          </w:tcPr>
          <w:p>
            <w:pPr>
              <w:pStyle w:val="TableContents"/>
              <w:bidi w:val="0"/>
              <w:spacing w:before="0" w:after="283"/>
              <w:jc w:val="right"/>
              <w:rPr/>
            </w:pPr>
            <w:r>
              <w:rPr/>
              <w:t>11,143</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23" w:type="dxa"/>
            <w:tcBorders/>
            <w:shd w:fill="EEEEEE" w:val="clear"/>
            <w:tcMar>
              <w:bottom w:w="0" w:type="dxa"/>
            </w:tcMar>
            <w:vAlign w:val="center"/>
          </w:tcPr>
          <w:p>
            <w:pPr>
              <w:pStyle w:val="TableContents"/>
              <w:bidi w:val="0"/>
              <w:spacing w:before="0" w:after="283"/>
              <w:jc w:val="left"/>
              <w:rPr/>
            </w:pPr>
            <w:r>
              <w:rPr/>
              <w:t> </w:t>
            </w:r>
          </w:p>
        </w:tc>
        <w:tc>
          <w:tcPr>
            <w:tcW w:w="902" w:type="dxa"/>
            <w:tcBorders/>
            <w:shd w:fill="EEEEEE" w:val="clear"/>
            <w:tcMar>
              <w:bottom w:w="0" w:type="dxa"/>
            </w:tcMar>
            <w:vAlign w:val="center"/>
          </w:tcPr>
          <w:p>
            <w:pPr>
              <w:pStyle w:val="TableContents"/>
              <w:bidi w:val="0"/>
              <w:spacing w:before="0" w:after="283"/>
              <w:jc w:val="right"/>
              <w:rPr/>
            </w:pPr>
            <w:r>
              <w:rPr/>
              <w:t>47.6</w:t>
            </w:r>
          </w:p>
        </w:tc>
        <w:tc>
          <w:tcPr>
            <w:tcW w:w="215" w:type="dxa"/>
            <w:tcBorders/>
            <w:shd w:fill="EEEEEE" w:val="clear"/>
            <w:tcMar>
              <w:bottom w:w="0" w:type="dxa"/>
            </w:tcMar>
            <w:vAlign w:val="center"/>
          </w:tcPr>
          <w:p>
            <w:pPr>
              <w:pStyle w:val="TableContents"/>
              <w:bidi w:val="0"/>
              <w:spacing w:before="0" w:after="283"/>
              <w:jc w:val="lef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78" w:type="dxa"/>
            <w:tcBorders/>
            <w:shd w:fill="EEEEEE" w:val="clear"/>
            <w:tcMar>
              <w:bottom w:w="0" w:type="dxa"/>
            </w:tcMar>
            <w:vAlign w:val="center"/>
          </w:tcPr>
          <w:p>
            <w:pPr>
              <w:pStyle w:val="TableContents"/>
              <w:bidi w:val="0"/>
              <w:spacing w:before="0" w:after="283"/>
              <w:jc w:val="left"/>
              <w:rPr/>
            </w:pPr>
            <w:r>
              <w:rPr/>
              <w:t> </w:t>
            </w:r>
          </w:p>
        </w:tc>
        <w:tc>
          <w:tcPr>
            <w:tcW w:w="887" w:type="dxa"/>
            <w:tcBorders/>
            <w:shd w:fill="EEEEEE" w:val="clear"/>
            <w:tcMar>
              <w:bottom w:w="0" w:type="dxa"/>
            </w:tcMar>
            <w:vAlign w:val="center"/>
          </w:tcPr>
          <w:p>
            <w:pPr>
              <w:pStyle w:val="TableContents"/>
              <w:bidi w:val="0"/>
              <w:spacing w:before="0" w:after="283"/>
              <w:jc w:val="right"/>
              <w:rPr/>
            </w:pPr>
            <w:r>
              <w:rPr/>
              <w:t>11,278</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30" w:type="dxa"/>
            <w:tcBorders/>
            <w:shd w:fill="EEEEEE" w:val="clear"/>
            <w:tcMar>
              <w:bottom w:w="0" w:type="dxa"/>
            </w:tcMar>
            <w:vAlign w:val="center"/>
          </w:tcPr>
          <w:p>
            <w:pPr>
              <w:pStyle w:val="TableContents"/>
              <w:bidi w:val="0"/>
              <w:spacing w:before="0" w:after="283"/>
              <w:jc w:val="left"/>
              <w:rPr/>
            </w:pPr>
            <w:r>
              <w:rPr/>
              <w:t> </w:t>
            </w:r>
          </w:p>
        </w:tc>
        <w:tc>
          <w:tcPr>
            <w:tcW w:w="955" w:type="dxa"/>
            <w:tcBorders/>
            <w:shd w:fill="EEEEEE" w:val="clear"/>
            <w:tcMar>
              <w:bottom w:w="0" w:type="dxa"/>
            </w:tcMar>
            <w:vAlign w:val="center"/>
          </w:tcPr>
          <w:p>
            <w:pPr>
              <w:pStyle w:val="TableContents"/>
              <w:bidi w:val="0"/>
              <w:spacing w:before="0" w:after="283"/>
              <w:jc w:val="right"/>
              <w:rPr/>
            </w:pPr>
            <w:r>
              <w:rPr/>
              <w:t>48.2</w:t>
            </w:r>
          </w:p>
        </w:tc>
        <w:tc>
          <w:tcPr>
            <w:tcW w:w="215" w:type="dxa"/>
            <w:tcBorders/>
            <w:shd w:fill="EEEEEE" w:val="clear"/>
            <w:tcMar>
              <w:bottom w:w="0" w:type="dxa"/>
            </w:tcMar>
            <w:vAlign w:val="center"/>
          </w:tcPr>
          <w:p>
            <w:pPr>
              <w:pStyle w:val="TableContents"/>
              <w:bidi w:val="0"/>
              <w:spacing w:before="0" w:after="283"/>
              <w:jc w:val="lef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93" w:type="dxa"/>
            <w:tcBorders/>
            <w:shd w:fill="EEEEEE" w:val="clear"/>
            <w:tcMar>
              <w:bottom w:w="0" w:type="dxa"/>
            </w:tcMar>
            <w:vAlign w:val="center"/>
          </w:tcPr>
          <w:p>
            <w:pPr>
              <w:pStyle w:val="TableContents"/>
              <w:bidi w:val="0"/>
              <w:spacing w:before="0" w:after="283"/>
              <w:jc w:val="left"/>
              <w:rPr/>
            </w:pPr>
            <w:r>
              <w:rPr/>
              <w:t> </w:t>
            </w:r>
          </w:p>
        </w:tc>
        <w:tc>
          <w:tcPr>
            <w:tcW w:w="872" w:type="dxa"/>
            <w:tcBorders/>
            <w:shd w:fill="EEEEEE" w:val="clear"/>
            <w:tcMar>
              <w:bottom w:w="0" w:type="dxa"/>
            </w:tcMar>
            <w:vAlign w:val="center"/>
          </w:tcPr>
          <w:p>
            <w:pPr>
              <w:pStyle w:val="TableContents"/>
              <w:bidi w:val="0"/>
              <w:spacing w:before="0" w:after="283"/>
              <w:jc w:val="right"/>
              <w:rPr/>
            </w:pPr>
            <w:r>
              <w:rPr/>
              <w:t>976</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71" w:type="dxa"/>
            <w:tcBorders/>
            <w:shd w:fill="EEEEEE" w:val="clear"/>
            <w:tcMar>
              <w:bottom w:w="0" w:type="dxa"/>
            </w:tcMar>
            <w:vAlign w:val="center"/>
          </w:tcPr>
          <w:p>
            <w:pPr>
              <w:pStyle w:val="TableContents"/>
              <w:bidi w:val="0"/>
              <w:spacing w:before="0" w:after="283"/>
              <w:jc w:val="left"/>
              <w:rPr/>
            </w:pPr>
            <w:r>
              <w:rPr/>
              <w:t> </w:t>
            </w:r>
          </w:p>
        </w:tc>
        <w:tc>
          <w:tcPr>
            <w:tcW w:w="914" w:type="dxa"/>
            <w:tcBorders/>
            <w:shd w:fill="EEEEEE" w:val="clear"/>
            <w:tcMar>
              <w:bottom w:w="0" w:type="dxa"/>
            </w:tcMar>
            <w:vAlign w:val="center"/>
          </w:tcPr>
          <w:p>
            <w:pPr>
              <w:pStyle w:val="TableContents"/>
              <w:bidi w:val="0"/>
              <w:spacing w:before="0" w:after="283"/>
              <w:jc w:val="right"/>
              <w:rPr/>
            </w:pPr>
            <w:r>
              <w:rPr/>
              <w:t>4.2</w:t>
            </w:r>
          </w:p>
        </w:tc>
        <w:tc>
          <w:tcPr>
            <w:tcW w:w="215" w:type="dxa"/>
            <w:tcBorders/>
            <w:shd w:fill="EEEEEE" w:val="clear"/>
            <w:tcMar>
              <w:bottom w:w="0" w:type="dxa"/>
            </w:tcMar>
            <w:vAlign w:val="center"/>
          </w:tcPr>
          <w:p>
            <w:pPr>
              <w:pStyle w:val="TableContents"/>
              <w:bidi w:val="0"/>
              <w:spacing w:before="0" w:after="283"/>
              <w:jc w:val="lef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180" w:type="dxa"/>
            <w:tcBorders/>
            <w:shd w:fill="EEEEEE" w:val="clear"/>
            <w:tcMar>
              <w:bottom w:w="0" w:type="dxa"/>
            </w:tcMar>
            <w:vAlign w:val="center"/>
          </w:tcPr>
          <w:p>
            <w:pPr>
              <w:pStyle w:val="TableContents"/>
              <w:bidi w:val="0"/>
              <w:spacing w:before="0" w:after="283"/>
              <w:jc w:val="left"/>
              <w:rPr/>
            </w:pPr>
            <w:r>
              <w:rPr/>
              <w:t> </w:t>
            </w:r>
          </w:p>
        </w:tc>
        <w:tc>
          <w:tcPr>
            <w:tcW w:w="785" w:type="dxa"/>
            <w:tcBorders/>
            <w:shd w:fill="EEEEEE" w:val="clear"/>
            <w:tcMar>
              <w:bottom w:w="0" w:type="dxa"/>
            </w:tcMar>
            <w:vAlign w:val="center"/>
          </w:tcPr>
          <w:p>
            <w:pPr>
              <w:pStyle w:val="TableContents"/>
              <w:bidi w:val="0"/>
              <w:spacing w:before="0" w:after="283"/>
              <w:jc w:val="right"/>
              <w:rPr/>
            </w:pPr>
            <w:r>
              <w:rPr/>
              <w:t>23</w:t>
            </w:r>
          </w:p>
        </w:tc>
        <w:tc>
          <w:tcPr>
            <w:tcW w:w="75" w:type="dxa"/>
            <w:tcBorders/>
            <w:shd w:fill="EEEEEE" w:val="clear"/>
            <w:tcMar>
              <w:bottom w:w="0" w:type="dxa"/>
            </w:tcMar>
            <w:vAlign w:val="center"/>
          </w:tcPr>
          <w:p>
            <w:pPr>
              <w:pStyle w:val="TableContents"/>
              <w:bidi w:val="0"/>
              <w:spacing w:before="0" w:after="283"/>
              <w:jc w:val="left"/>
              <w:rPr/>
            </w:pPr>
            <w:r>
              <w:rPr/>
              <w:t> </w:t>
            </w:r>
          </w:p>
        </w:tc>
      </w:tr>
      <w:tr>
        <w:trPr/>
        <w:tc>
          <w:tcPr>
            <w:tcW w:w="98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14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94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902"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88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955"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87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 w:type="dxa"/>
            <w:tcBorders/>
            <w:shd w:fill="FFFFFF" w:val="clear"/>
            <w:tcMar>
              <w:bottom w:w="0" w:type="dxa"/>
            </w:tcMar>
            <w:vAlign w:val="center"/>
          </w:tcPr>
          <w:p>
            <w:pPr>
              <w:pStyle w:val="TableContents"/>
              <w:bidi w:val="0"/>
              <w:spacing w:before="0" w:after="283"/>
              <w:jc w:val="left"/>
              <w:rPr/>
            </w:pPr>
            <w:r>
              <w:rPr/>
              <w:t> </w:t>
            </w:r>
          </w:p>
        </w:tc>
        <w:tc>
          <w:tcPr>
            <w:tcW w:w="785"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80" w:type="dxa"/>
            <w:tcBorders/>
            <w:shd w:fill="EEEEEE" w:val="clear"/>
            <w:tcMar>
              <w:bottom w:w="0" w:type="dxa"/>
            </w:tcMar>
            <w:vAlign w:val="center"/>
          </w:tcPr>
          <w:p>
            <w:pPr>
              <w:pStyle w:val="TableContents"/>
              <w:bidi w:val="0"/>
              <w:spacing w:before="0" w:after="283"/>
              <w:jc w:val="center"/>
              <w:rPr/>
            </w:pPr>
            <w:r>
              <w:rPr/>
              <w:t>2014</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6" w:type="dxa"/>
            <w:tcBorders/>
            <w:shd w:fill="EEEEEE" w:val="clear"/>
            <w:tcMar>
              <w:bottom w:w="0" w:type="dxa"/>
            </w:tcMar>
            <w:vAlign w:val="center"/>
          </w:tcPr>
          <w:p>
            <w:pPr>
              <w:pStyle w:val="TableContents"/>
              <w:bidi w:val="0"/>
              <w:spacing w:before="0" w:after="283"/>
              <w:jc w:val="left"/>
              <w:rPr/>
            </w:pPr>
            <w:r>
              <w:rPr/>
              <w:t> </w:t>
            </w:r>
          </w:p>
        </w:tc>
        <w:tc>
          <w:tcPr>
            <w:tcW w:w="1149" w:type="dxa"/>
            <w:tcBorders/>
            <w:shd w:fill="EEEEEE" w:val="clear"/>
            <w:tcMar>
              <w:bottom w:w="0" w:type="dxa"/>
            </w:tcMar>
            <w:vAlign w:val="center"/>
          </w:tcPr>
          <w:p>
            <w:pPr>
              <w:pStyle w:val="TableContents"/>
              <w:bidi w:val="0"/>
              <w:spacing w:before="0" w:after="283"/>
              <w:jc w:val="right"/>
              <w:rPr/>
            </w:pPr>
            <w:r>
              <w:rPr/>
              <w:t>25,773</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3" w:type="dxa"/>
            <w:tcBorders/>
            <w:shd w:fill="EEEEEE" w:val="clear"/>
            <w:tcMar>
              <w:bottom w:w="0" w:type="dxa"/>
            </w:tcMar>
            <w:vAlign w:val="center"/>
          </w:tcPr>
          <w:p>
            <w:pPr>
              <w:pStyle w:val="TableContents"/>
              <w:bidi w:val="0"/>
              <w:spacing w:before="0" w:after="283"/>
              <w:jc w:val="left"/>
              <w:rPr/>
            </w:pPr>
            <w:r>
              <w:rPr/>
              <w:t> </w:t>
            </w:r>
          </w:p>
        </w:tc>
        <w:tc>
          <w:tcPr>
            <w:tcW w:w="942" w:type="dxa"/>
            <w:tcBorders/>
            <w:shd w:fill="EEEEEE" w:val="clear"/>
            <w:tcMar>
              <w:bottom w:w="0" w:type="dxa"/>
            </w:tcMar>
            <w:vAlign w:val="center"/>
          </w:tcPr>
          <w:p>
            <w:pPr>
              <w:pStyle w:val="TableContents"/>
              <w:bidi w:val="0"/>
              <w:spacing w:before="0" w:after="283"/>
              <w:jc w:val="right"/>
              <w:rPr/>
            </w:pPr>
            <w:r>
              <w:rPr/>
              <w:t>10,475</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23" w:type="dxa"/>
            <w:tcBorders/>
            <w:shd w:fill="EEEEEE" w:val="clear"/>
            <w:tcMar>
              <w:bottom w:w="0" w:type="dxa"/>
            </w:tcMar>
            <w:vAlign w:val="center"/>
          </w:tcPr>
          <w:p>
            <w:pPr>
              <w:pStyle w:val="TableContents"/>
              <w:bidi w:val="0"/>
              <w:spacing w:before="0" w:after="283"/>
              <w:jc w:val="left"/>
              <w:rPr/>
            </w:pPr>
            <w:r>
              <w:rPr/>
              <w:t> </w:t>
            </w:r>
          </w:p>
        </w:tc>
        <w:tc>
          <w:tcPr>
            <w:tcW w:w="902" w:type="dxa"/>
            <w:tcBorders/>
            <w:shd w:fill="EEEEEE" w:val="clear"/>
            <w:tcMar>
              <w:bottom w:w="0" w:type="dxa"/>
            </w:tcMar>
            <w:vAlign w:val="center"/>
          </w:tcPr>
          <w:p>
            <w:pPr>
              <w:pStyle w:val="TableContents"/>
              <w:bidi w:val="0"/>
              <w:spacing w:before="0" w:after="283"/>
              <w:jc w:val="right"/>
              <w:rPr/>
            </w:pPr>
            <w:r>
              <w:rPr/>
              <w:t>40.6</w:t>
            </w:r>
          </w:p>
        </w:tc>
        <w:tc>
          <w:tcPr>
            <w:tcW w:w="215" w:type="dxa"/>
            <w:tcBorders/>
            <w:shd w:fill="EEEEEE" w:val="clear"/>
            <w:tcMar>
              <w:bottom w:w="0" w:type="dxa"/>
            </w:tcMar>
            <w:vAlign w:val="center"/>
          </w:tcPr>
          <w:p>
            <w:pPr>
              <w:pStyle w:val="TableContents"/>
              <w:bidi w:val="0"/>
              <w:spacing w:before="0" w:after="283"/>
              <w:jc w:val="lef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78" w:type="dxa"/>
            <w:tcBorders/>
            <w:shd w:fill="EEEEEE" w:val="clear"/>
            <w:tcMar>
              <w:bottom w:w="0" w:type="dxa"/>
            </w:tcMar>
            <w:vAlign w:val="center"/>
          </w:tcPr>
          <w:p>
            <w:pPr>
              <w:pStyle w:val="TableContents"/>
              <w:bidi w:val="0"/>
              <w:spacing w:before="0" w:after="283"/>
              <w:jc w:val="left"/>
              <w:rPr/>
            </w:pPr>
            <w:r>
              <w:rPr/>
              <w:t> </w:t>
            </w:r>
          </w:p>
        </w:tc>
        <w:tc>
          <w:tcPr>
            <w:tcW w:w="887" w:type="dxa"/>
            <w:tcBorders/>
            <w:shd w:fill="EEEEEE" w:val="clear"/>
            <w:tcMar>
              <w:bottom w:w="0" w:type="dxa"/>
            </w:tcMar>
            <w:vAlign w:val="center"/>
          </w:tcPr>
          <w:p>
            <w:pPr>
              <w:pStyle w:val="TableContents"/>
              <w:bidi w:val="0"/>
              <w:spacing w:before="0" w:after="283"/>
              <w:jc w:val="right"/>
              <w:rPr/>
            </w:pPr>
            <w:r>
              <w:rPr/>
              <w:t>14,472</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30" w:type="dxa"/>
            <w:tcBorders/>
            <w:shd w:fill="EEEEEE" w:val="clear"/>
            <w:tcMar>
              <w:bottom w:w="0" w:type="dxa"/>
            </w:tcMar>
            <w:vAlign w:val="center"/>
          </w:tcPr>
          <w:p>
            <w:pPr>
              <w:pStyle w:val="TableContents"/>
              <w:bidi w:val="0"/>
              <w:spacing w:before="0" w:after="283"/>
              <w:jc w:val="left"/>
              <w:rPr/>
            </w:pPr>
            <w:r>
              <w:rPr/>
              <w:t> </w:t>
            </w:r>
          </w:p>
        </w:tc>
        <w:tc>
          <w:tcPr>
            <w:tcW w:w="955" w:type="dxa"/>
            <w:tcBorders/>
            <w:shd w:fill="EEEEEE" w:val="clear"/>
            <w:tcMar>
              <w:bottom w:w="0" w:type="dxa"/>
            </w:tcMar>
            <w:vAlign w:val="center"/>
          </w:tcPr>
          <w:p>
            <w:pPr>
              <w:pStyle w:val="TableContents"/>
              <w:bidi w:val="0"/>
              <w:spacing w:before="0" w:after="283"/>
              <w:jc w:val="right"/>
              <w:rPr/>
            </w:pPr>
            <w:r>
              <w:rPr/>
              <w:t>56.2</w:t>
            </w:r>
          </w:p>
        </w:tc>
        <w:tc>
          <w:tcPr>
            <w:tcW w:w="215" w:type="dxa"/>
            <w:tcBorders/>
            <w:shd w:fill="EEEEEE" w:val="clear"/>
            <w:tcMar>
              <w:bottom w:w="0" w:type="dxa"/>
            </w:tcMar>
            <w:vAlign w:val="center"/>
          </w:tcPr>
          <w:p>
            <w:pPr>
              <w:pStyle w:val="TableContents"/>
              <w:bidi w:val="0"/>
              <w:spacing w:before="0" w:after="283"/>
              <w:jc w:val="lef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93" w:type="dxa"/>
            <w:tcBorders/>
            <w:shd w:fill="EEEEEE" w:val="clear"/>
            <w:tcMar>
              <w:bottom w:w="0" w:type="dxa"/>
            </w:tcMar>
            <w:vAlign w:val="center"/>
          </w:tcPr>
          <w:p>
            <w:pPr>
              <w:pStyle w:val="TableContents"/>
              <w:bidi w:val="0"/>
              <w:spacing w:before="0" w:after="283"/>
              <w:jc w:val="left"/>
              <w:rPr/>
            </w:pPr>
            <w:r>
              <w:rPr/>
              <w:t> </w:t>
            </w:r>
          </w:p>
        </w:tc>
        <w:tc>
          <w:tcPr>
            <w:tcW w:w="872" w:type="dxa"/>
            <w:tcBorders/>
            <w:shd w:fill="EEEEEE" w:val="clear"/>
            <w:tcMar>
              <w:bottom w:w="0" w:type="dxa"/>
            </w:tcMar>
            <w:vAlign w:val="center"/>
          </w:tcPr>
          <w:p>
            <w:pPr>
              <w:pStyle w:val="TableContents"/>
              <w:bidi w:val="0"/>
              <w:spacing w:before="0" w:after="283"/>
              <w:jc w:val="right"/>
              <w:rPr/>
            </w:pPr>
            <w:r>
              <w:rPr/>
              <w:t>826</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71" w:type="dxa"/>
            <w:tcBorders/>
            <w:shd w:fill="EEEEEE" w:val="clear"/>
            <w:tcMar>
              <w:bottom w:w="0" w:type="dxa"/>
            </w:tcMar>
            <w:vAlign w:val="center"/>
          </w:tcPr>
          <w:p>
            <w:pPr>
              <w:pStyle w:val="TableContents"/>
              <w:bidi w:val="0"/>
              <w:spacing w:before="0" w:after="283"/>
              <w:jc w:val="left"/>
              <w:rPr/>
            </w:pPr>
            <w:r>
              <w:rPr/>
              <w:t> </w:t>
            </w:r>
          </w:p>
        </w:tc>
        <w:tc>
          <w:tcPr>
            <w:tcW w:w="914" w:type="dxa"/>
            <w:tcBorders/>
            <w:shd w:fill="EEEEEE" w:val="clear"/>
            <w:tcMar>
              <w:bottom w:w="0" w:type="dxa"/>
            </w:tcMar>
            <w:vAlign w:val="center"/>
          </w:tcPr>
          <w:p>
            <w:pPr>
              <w:pStyle w:val="TableContents"/>
              <w:bidi w:val="0"/>
              <w:spacing w:before="0" w:after="283"/>
              <w:jc w:val="right"/>
              <w:rPr/>
            </w:pPr>
            <w:r>
              <w:rPr/>
              <w:t>3.2</w:t>
            </w:r>
          </w:p>
        </w:tc>
        <w:tc>
          <w:tcPr>
            <w:tcW w:w="215" w:type="dxa"/>
            <w:tcBorders/>
            <w:shd w:fill="EEEEEE" w:val="clear"/>
            <w:tcMar>
              <w:bottom w:w="0" w:type="dxa"/>
            </w:tcMar>
            <w:vAlign w:val="center"/>
          </w:tcPr>
          <w:p>
            <w:pPr>
              <w:pStyle w:val="TableContents"/>
              <w:bidi w:val="0"/>
              <w:spacing w:before="0" w:after="283"/>
              <w:jc w:val="lef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180" w:type="dxa"/>
            <w:tcBorders/>
            <w:shd w:fill="EEEEEE" w:val="clear"/>
            <w:tcMar>
              <w:bottom w:w="0" w:type="dxa"/>
            </w:tcMar>
            <w:vAlign w:val="center"/>
          </w:tcPr>
          <w:p>
            <w:pPr>
              <w:pStyle w:val="TableContents"/>
              <w:bidi w:val="0"/>
              <w:spacing w:before="0" w:after="283"/>
              <w:jc w:val="left"/>
              <w:rPr/>
            </w:pPr>
            <w:r>
              <w:rPr/>
              <w:t> </w:t>
            </w:r>
          </w:p>
        </w:tc>
        <w:tc>
          <w:tcPr>
            <w:tcW w:w="785" w:type="dxa"/>
            <w:tcBorders/>
            <w:shd w:fill="EEEEEE" w:val="clear"/>
            <w:tcMar>
              <w:bottom w:w="0" w:type="dxa"/>
            </w:tcMar>
            <w:vAlign w:val="center"/>
          </w:tcPr>
          <w:p>
            <w:pPr>
              <w:pStyle w:val="TableContents"/>
              <w:bidi w:val="0"/>
              <w:spacing w:before="0" w:after="283"/>
              <w:jc w:val="right"/>
              <w:rPr/>
            </w:pPr>
            <w:r>
              <w:rPr/>
              <w:t>25</w:t>
            </w:r>
          </w:p>
        </w:tc>
        <w:tc>
          <w:tcPr>
            <w:tcW w:w="75" w:type="dxa"/>
            <w:tcBorders/>
            <w:shd w:fill="EEEEEE" w:val="clear"/>
            <w:tcMar>
              <w:bottom w:w="0" w:type="dxa"/>
            </w:tcMar>
            <w:vAlign w:val="center"/>
          </w:tcPr>
          <w:p>
            <w:pPr>
              <w:pStyle w:val="TableContents"/>
              <w:bidi w:val="0"/>
              <w:spacing w:before="0" w:after="283"/>
              <w:jc w:val="left"/>
              <w:rPr/>
            </w:pPr>
            <w:r>
              <w:rPr/>
              <w:t> </w:t>
            </w:r>
          </w:p>
        </w:tc>
      </w:tr>
      <w:tr>
        <w:trPr/>
        <w:tc>
          <w:tcPr>
            <w:tcW w:w="98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14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94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902"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88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955"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87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 w:type="dxa"/>
            <w:tcBorders/>
            <w:shd w:fill="FFFFFF" w:val="clear"/>
            <w:tcMar>
              <w:bottom w:w="0" w:type="dxa"/>
            </w:tcMar>
            <w:vAlign w:val="center"/>
          </w:tcPr>
          <w:p>
            <w:pPr>
              <w:pStyle w:val="TableContents"/>
              <w:bidi w:val="0"/>
              <w:spacing w:before="0" w:after="283"/>
              <w:jc w:val="left"/>
              <w:rPr/>
            </w:pPr>
            <w:r>
              <w:rPr/>
              <w:t> </w:t>
            </w:r>
          </w:p>
        </w:tc>
        <w:tc>
          <w:tcPr>
            <w:tcW w:w="785"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80" w:type="dxa"/>
            <w:tcBorders/>
            <w:shd w:fill="EEEEEE" w:val="clear"/>
            <w:tcMar>
              <w:bottom w:w="0" w:type="dxa"/>
            </w:tcMar>
            <w:vAlign w:val="center"/>
          </w:tcPr>
          <w:p>
            <w:pPr>
              <w:pStyle w:val="TableContents"/>
              <w:bidi w:val="0"/>
              <w:spacing w:before="0" w:after="283"/>
              <w:jc w:val="center"/>
              <w:rPr/>
            </w:pPr>
            <w:r>
              <w:rPr/>
              <w:t>2015</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6" w:type="dxa"/>
            <w:tcBorders/>
            <w:shd w:fill="EEEEEE" w:val="clear"/>
            <w:tcMar>
              <w:bottom w:w="0" w:type="dxa"/>
            </w:tcMar>
            <w:vAlign w:val="center"/>
          </w:tcPr>
          <w:p>
            <w:pPr>
              <w:pStyle w:val="TableContents"/>
              <w:bidi w:val="0"/>
              <w:spacing w:before="0" w:after="283"/>
              <w:jc w:val="left"/>
              <w:rPr/>
            </w:pPr>
            <w:r>
              <w:rPr/>
              <w:t> </w:t>
            </w:r>
          </w:p>
        </w:tc>
        <w:tc>
          <w:tcPr>
            <w:tcW w:w="1149" w:type="dxa"/>
            <w:tcBorders/>
            <w:shd w:fill="EEEEEE" w:val="clear"/>
            <w:tcMar>
              <w:bottom w:w="0" w:type="dxa"/>
            </w:tcMar>
            <w:vAlign w:val="center"/>
          </w:tcPr>
          <w:p>
            <w:pPr>
              <w:pStyle w:val="TableContents"/>
              <w:bidi w:val="0"/>
              <w:spacing w:before="0" w:after="283"/>
              <w:jc w:val="right"/>
              <w:rPr/>
            </w:pPr>
            <w:r>
              <w:rPr/>
              <w:t>53,319</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3" w:type="dxa"/>
            <w:tcBorders/>
            <w:shd w:fill="EEEEEE" w:val="clear"/>
            <w:tcMar>
              <w:bottom w:w="0" w:type="dxa"/>
            </w:tcMar>
            <w:vAlign w:val="center"/>
          </w:tcPr>
          <w:p>
            <w:pPr>
              <w:pStyle w:val="TableContents"/>
              <w:bidi w:val="0"/>
              <w:spacing w:before="0" w:after="283"/>
              <w:jc w:val="left"/>
              <w:rPr/>
            </w:pPr>
            <w:r>
              <w:rPr/>
              <w:t> </w:t>
            </w:r>
          </w:p>
        </w:tc>
        <w:tc>
          <w:tcPr>
            <w:tcW w:w="942" w:type="dxa"/>
            <w:tcBorders/>
            <w:shd w:fill="EEEEEE" w:val="clear"/>
            <w:tcMar>
              <w:bottom w:w="0" w:type="dxa"/>
            </w:tcMar>
            <w:vAlign w:val="center"/>
          </w:tcPr>
          <w:p>
            <w:pPr>
              <w:pStyle w:val="TableContents"/>
              <w:bidi w:val="0"/>
              <w:spacing w:before="0" w:after="283"/>
              <w:jc w:val="right"/>
              <w:rPr/>
            </w:pPr>
            <w:r>
              <w:rPr/>
              <w:t>22,279</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23" w:type="dxa"/>
            <w:tcBorders/>
            <w:shd w:fill="EEEEEE" w:val="clear"/>
            <w:tcMar>
              <w:bottom w:w="0" w:type="dxa"/>
            </w:tcMar>
            <w:vAlign w:val="center"/>
          </w:tcPr>
          <w:p>
            <w:pPr>
              <w:pStyle w:val="TableContents"/>
              <w:bidi w:val="0"/>
              <w:spacing w:before="0" w:after="283"/>
              <w:jc w:val="left"/>
              <w:rPr/>
            </w:pPr>
            <w:r>
              <w:rPr/>
              <w:t> </w:t>
            </w:r>
          </w:p>
        </w:tc>
        <w:tc>
          <w:tcPr>
            <w:tcW w:w="902" w:type="dxa"/>
            <w:tcBorders/>
            <w:shd w:fill="EEEEEE" w:val="clear"/>
            <w:tcMar>
              <w:bottom w:w="0" w:type="dxa"/>
            </w:tcMar>
            <w:vAlign w:val="center"/>
          </w:tcPr>
          <w:p>
            <w:pPr>
              <w:pStyle w:val="TableContents"/>
              <w:bidi w:val="0"/>
              <w:spacing w:before="0" w:after="283"/>
              <w:jc w:val="right"/>
              <w:rPr/>
            </w:pPr>
            <w:r>
              <w:rPr/>
              <w:t>41.8</w:t>
            </w:r>
          </w:p>
        </w:tc>
        <w:tc>
          <w:tcPr>
            <w:tcW w:w="215" w:type="dxa"/>
            <w:tcBorders/>
            <w:shd w:fill="EEEEEE" w:val="clear"/>
            <w:tcMar>
              <w:bottom w:w="0" w:type="dxa"/>
            </w:tcMar>
            <w:vAlign w:val="center"/>
          </w:tcPr>
          <w:p>
            <w:pPr>
              <w:pStyle w:val="TableContents"/>
              <w:bidi w:val="0"/>
              <w:spacing w:before="0" w:after="283"/>
              <w:jc w:val="lef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78" w:type="dxa"/>
            <w:tcBorders/>
            <w:shd w:fill="EEEEEE" w:val="clear"/>
            <w:tcMar>
              <w:bottom w:w="0" w:type="dxa"/>
            </w:tcMar>
            <w:vAlign w:val="center"/>
          </w:tcPr>
          <w:p>
            <w:pPr>
              <w:pStyle w:val="TableContents"/>
              <w:bidi w:val="0"/>
              <w:spacing w:before="0" w:after="283"/>
              <w:jc w:val="left"/>
              <w:rPr/>
            </w:pPr>
            <w:r>
              <w:rPr/>
              <w:t> </w:t>
            </w:r>
          </w:p>
        </w:tc>
        <w:tc>
          <w:tcPr>
            <w:tcW w:w="887" w:type="dxa"/>
            <w:tcBorders/>
            <w:shd w:fill="EEEEEE" w:val="clear"/>
            <w:tcMar>
              <w:bottom w:w="0" w:type="dxa"/>
            </w:tcMar>
            <w:vAlign w:val="center"/>
          </w:tcPr>
          <w:p>
            <w:pPr>
              <w:pStyle w:val="TableContents"/>
              <w:bidi w:val="0"/>
              <w:spacing w:before="0" w:after="283"/>
              <w:jc w:val="right"/>
              <w:rPr/>
            </w:pPr>
            <w:r>
              <w:rPr/>
              <w:t>29,958</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30" w:type="dxa"/>
            <w:tcBorders/>
            <w:shd w:fill="EEEEEE" w:val="clear"/>
            <w:tcMar>
              <w:bottom w:w="0" w:type="dxa"/>
            </w:tcMar>
            <w:vAlign w:val="center"/>
          </w:tcPr>
          <w:p>
            <w:pPr>
              <w:pStyle w:val="TableContents"/>
              <w:bidi w:val="0"/>
              <w:spacing w:before="0" w:after="283"/>
              <w:jc w:val="left"/>
              <w:rPr/>
            </w:pPr>
            <w:r>
              <w:rPr/>
              <w:t> </w:t>
            </w:r>
          </w:p>
        </w:tc>
        <w:tc>
          <w:tcPr>
            <w:tcW w:w="955" w:type="dxa"/>
            <w:tcBorders/>
            <w:shd w:fill="EEEEEE" w:val="clear"/>
            <w:tcMar>
              <w:bottom w:w="0" w:type="dxa"/>
            </w:tcMar>
            <w:vAlign w:val="center"/>
          </w:tcPr>
          <w:p>
            <w:pPr>
              <w:pStyle w:val="TableContents"/>
              <w:bidi w:val="0"/>
              <w:spacing w:before="0" w:after="283"/>
              <w:jc w:val="right"/>
              <w:rPr/>
            </w:pPr>
            <w:r>
              <w:rPr/>
              <w:t>56.2</w:t>
            </w:r>
          </w:p>
        </w:tc>
        <w:tc>
          <w:tcPr>
            <w:tcW w:w="215" w:type="dxa"/>
            <w:tcBorders/>
            <w:shd w:fill="EEEEEE" w:val="clear"/>
            <w:tcMar>
              <w:bottom w:w="0" w:type="dxa"/>
            </w:tcMar>
            <w:vAlign w:val="center"/>
          </w:tcPr>
          <w:p>
            <w:pPr>
              <w:pStyle w:val="TableContents"/>
              <w:bidi w:val="0"/>
              <w:spacing w:before="0" w:after="283"/>
              <w:jc w:val="lef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93" w:type="dxa"/>
            <w:tcBorders/>
            <w:shd w:fill="EEEEEE" w:val="clear"/>
            <w:tcMar>
              <w:bottom w:w="0" w:type="dxa"/>
            </w:tcMar>
            <w:vAlign w:val="center"/>
          </w:tcPr>
          <w:p>
            <w:pPr>
              <w:pStyle w:val="TableContents"/>
              <w:bidi w:val="0"/>
              <w:spacing w:before="0" w:after="283"/>
              <w:jc w:val="left"/>
              <w:rPr/>
            </w:pPr>
            <w:r>
              <w:rPr/>
              <w:t> </w:t>
            </w:r>
          </w:p>
        </w:tc>
        <w:tc>
          <w:tcPr>
            <w:tcW w:w="872" w:type="dxa"/>
            <w:tcBorders/>
            <w:shd w:fill="EEEEEE" w:val="clear"/>
            <w:tcMar>
              <w:bottom w:w="0" w:type="dxa"/>
            </w:tcMar>
            <w:vAlign w:val="center"/>
          </w:tcPr>
          <w:p>
            <w:pPr>
              <w:pStyle w:val="TableContents"/>
              <w:bidi w:val="0"/>
              <w:spacing w:before="0" w:after="283"/>
              <w:jc w:val="right"/>
              <w:rPr/>
            </w:pPr>
            <w:r>
              <w:rPr/>
              <w:t>1,082</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71" w:type="dxa"/>
            <w:tcBorders/>
            <w:shd w:fill="EEEEEE" w:val="clear"/>
            <w:tcMar>
              <w:bottom w:w="0" w:type="dxa"/>
            </w:tcMar>
            <w:vAlign w:val="center"/>
          </w:tcPr>
          <w:p>
            <w:pPr>
              <w:pStyle w:val="TableContents"/>
              <w:bidi w:val="0"/>
              <w:spacing w:before="0" w:after="283"/>
              <w:jc w:val="left"/>
              <w:rPr/>
            </w:pPr>
            <w:r>
              <w:rPr/>
              <w:t> </w:t>
            </w:r>
          </w:p>
        </w:tc>
        <w:tc>
          <w:tcPr>
            <w:tcW w:w="914" w:type="dxa"/>
            <w:tcBorders/>
            <w:shd w:fill="EEEEEE" w:val="clear"/>
            <w:tcMar>
              <w:bottom w:w="0" w:type="dxa"/>
            </w:tcMar>
            <w:vAlign w:val="center"/>
          </w:tcPr>
          <w:p>
            <w:pPr>
              <w:pStyle w:val="TableContents"/>
              <w:bidi w:val="0"/>
              <w:spacing w:before="0" w:after="283"/>
              <w:jc w:val="right"/>
              <w:rPr/>
            </w:pPr>
            <w:r>
              <w:rPr/>
              <w:t>2.0</w:t>
            </w:r>
          </w:p>
        </w:tc>
        <w:tc>
          <w:tcPr>
            <w:tcW w:w="215" w:type="dxa"/>
            <w:tcBorders/>
            <w:shd w:fill="EEEEEE" w:val="clear"/>
            <w:tcMar>
              <w:bottom w:w="0" w:type="dxa"/>
            </w:tcMar>
            <w:vAlign w:val="center"/>
          </w:tcPr>
          <w:p>
            <w:pPr>
              <w:pStyle w:val="TableContents"/>
              <w:bidi w:val="0"/>
              <w:spacing w:before="0" w:after="283"/>
              <w:jc w:val="lef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180" w:type="dxa"/>
            <w:tcBorders/>
            <w:shd w:fill="EEEEEE" w:val="clear"/>
            <w:tcMar>
              <w:bottom w:w="0" w:type="dxa"/>
            </w:tcMar>
            <w:vAlign w:val="center"/>
          </w:tcPr>
          <w:p>
            <w:pPr>
              <w:pStyle w:val="TableContents"/>
              <w:bidi w:val="0"/>
              <w:spacing w:before="0" w:after="283"/>
              <w:jc w:val="left"/>
              <w:rPr/>
            </w:pPr>
            <w:r>
              <w:rPr/>
              <w:t> </w:t>
            </w:r>
          </w:p>
        </w:tc>
        <w:tc>
          <w:tcPr>
            <w:tcW w:w="785" w:type="dxa"/>
            <w:tcBorders/>
            <w:shd w:fill="EEEEEE" w:val="clear"/>
            <w:tcMar>
              <w:bottom w:w="0" w:type="dxa"/>
            </w:tcMar>
            <w:vAlign w:val="center"/>
          </w:tcPr>
          <w:p>
            <w:pPr>
              <w:pStyle w:val="TableContents"/>
              <w:bidi w:val="0"/>
              <w:spacing w:before="0" w:after="283"/>
              <w:jc w:val="right"/>
              <w:rPr/>
            </w:pPr>
            <w:r>
              <w:rPr/>
              <w:t>26</w:t>
            </w:r>
          </w:p>
        </w:tc>
        <w:tc>
          <w:tcPr>
            <w:tcW w:w="75" w:type="dxa"/>
            <w:tcBorders/>
            <w:shd w:fill="EEEEEE" w:val="clear"/>
            <w:tcMar>
              <w:bottom w:w="0" w:type="dxa"/>
            </w:tcMar>
            <w:vAlign w:val="center"/>
          </w:tcPr>
          <w:p>
            <w:pPr>
              <w:pStyle w:val="TableContents"/>
              <w:bidi w:val="0"/>
              <w:spacing w:before="0" w:after="283"/>
              <w:jc w:val="left"/>
              <w:rPr/>
            </w:pPr>
            <w:r>
              <w:rPr/>
              <w:t> </w:t>
            </w:r>
          </w:p>
        </w:tc>
      </w:tr>
      <w:tr>
        <w:trPr/>
        <w:tc>
          <w:tcPr>
            <w:tcW w:w="98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14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94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902"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88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955"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87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 w:type="dxa"/>
            <w:tcBorders/>
            <w:shd w:fill="FFFFFF" w:val="clear"/>
            <w:tcMar>
              <w:bottom w:w="0" w:type="dxa"/>
            </w:tcMar>
            <w:vAlign w:val="center"/>
          </w:tcPr>
          <w:p>
            <w:pPr>
              <w:pStyle w:val="TableContents"/>
              <w:bidi w:val="0"/>
              <w:spacing w:before="0" w:after="283"/>
              <w:jc w:val="left"/>
              <w:rPr/>
            </w:pPr>
            <w:r>
              <w:rPr/>
              <w:t> </w:t>
            </w:r>
          </w:p>
        </w:tc>
        <w:tc>
          <w:tcPr>
            <w:tcW w:w="785"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80" w:type="dxa"/>
            <w:tcBorders/>
            <w:shd w:fill="EEEEEE" w:val="clear"/>
            <w:tcMar>
              <w:bottom w:w="0" w:type="dxa"/>
            </w:tcMar>
            <w:vAlign w:val="center"/>
          </w:tcPr>
          <w:p>
            <w:pPr>
              <w:pStyle w:val="TableContents"/>
              <w:bidi w:val="0"/>
              <w:spacing w:before="0" w:after="283"/>
              <w:jc w:val="center"/>
              <w:rPr/>
            </w:pPr>
            <w:r>
              <w:rPr/>
              <w:t>2016</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6" w:type="dxa"/>
            <w:tcBorders/>
            <w:shd w:fill="EEEEEE" w:val="clear"/>
            <w:tcMar>
              <w:bottom w:w="0" w:type="dxa"/>
            </w:tcMar>
            <w:vAlign w:val="center"/>
          </w:tcPr>
          <w:p>
            <w:pPr>
              <w:pStyle w:val="TableContents"/>
              <w:bidi w:val="0"/>
              <w:spacing w:before="0" w:after="283"/>
              <w:jc w:val="left"/>
              <w:rPr/>
            </w:pPr>
            <w:r>
              <w:rPr/>
              <w:t> </w:t>
            </w:r>
          </w:p>
        </w:tc>
        <w:tc>
          <w:tcPr>
            <w:tcW w:w="1149" w:type="dxa"/>
            <w:tcBorders/>
            <w:shd w:fill="EEEEEE" w:val="clear"/>
            <w:tcMar>
              <w:bottom w:w="0" w:type="dxa"/>
            </w:tcMar>
            <w:vAlign w:val="center"/>
          </w:tcPr>
          <w:p>
            <w:pPr>
              <w:pStyle w:val="TableContents"/>
              <w:bidi w:val="0"/>
              <w:spacing w:before="0" w:after="283"/>
              <w:jc w:val="right"/>
              <w:rPr/>
            </w:pPr>
            <w:r>
              <w:rPr/>
              <w:t>80,897</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3" w:type="dxa"/>
            <w:tcBorders/>
            <w:shd w:fill="EEEEEE" w:val="clear"/>
            <w:tcMar>
              <w:bottom w:w="0" w:type="dxa"/>
            </w:tcMar>
            <w:vAlign w:val="center"/>
          </w:tcPr>
          <w:p>
            <w:pPr>
              <w:pStyle w:val="TableContents"/>
              <w:bidi w:val="0"/>
              <w:spacing w:before="0" w:after="283"/>
              <w:jc w:val="left"/>
              <w:rPr/>
            </w:pPr>
            <w:r>
              <w:rPr/>
              <w:t> </w:t>
            </w:r>
          </w:p>
        </w:tc>
        <w:tc>
          <w:tcPr>
            <w:tcW w:w="942" w:type="dxa"/>
            <w:tcBorders/>
            <w:shd w:fill="EEEEEE" w:val="clear"/>
            <w:tcMar>
              <w:bottom w:w="0" w:type="dxa"/>
            </w:tcMar>
            <w:vAlign w:val="center"/>
          </w:tcPr>
          <w:p>
            <w:pPr>
              <w:pStyle w:val="TableContents"/>
              <w:bidi w:val="0"/>
              <w:spacing w:before="0" w:after="283"/>
              <w:jc w:val="right"/>
              <w:rPr/>
            </w:pPr>
            <w:r>
              <w:rPr/>
              <w:t>36,449</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23" w:type="dxa"/>
            <w:tcBorders/>
            <w:shd w:fill="EEEEEE" w:val="clear"/>
            <w:tcMar>
              <w:bottom w:w="0" w:type="dxa"/>
            </w:tcMar>
            <w:vAlign w:val="center"/>
          </w:tcPr>
          <w:p>
            <w:pPr>
              <w:pStyle w:val="TableContents"/>
              <w:bidi w:val="0"/>
              <w:spacing w:before="0" w:after="283"/>
              <w:jc w:val="left"/>
              <w:rPr/>
            </w:pPr>
            <w:r>
              <w:rPr/>
              <w:t> </w:t>
            </w:r>
          </w:p>
        </w:tc>
        <w:tc>
          <w:tcPr>
            <w:tcW w:w="902" w:type="dxa"/>
            <w:tcBorders/>
            <w:shd w:fill="EEEEEE" w:val="clear"/>
            <w:tcMar>
              <w:bottom w:w="0" w:type="dxa"/>
            </w:tcMar>
            <w:vAlign w:val="center"/>
          </w:tcPr>
          <w:p>
            <w:pPr>
              <w:pStyle w:val="TableContents"/>
              <w:bidi w:val="0"/>
              <w:spacing w:before="0" w:after="283"/>
              <w:jc w:val="right"/>
              <w:rPr/>
            </w:pPr>
            <w:r>
              <w:rPr/>
              <w:t>45.1</w:t>
            </w:r>
          </w:p>
        </w:tc>
        <w:tc>
          <w:tcPr>
            <w:tcW w:w="215" w:type="dxa"/>
            <w:tcBorders/>
            <w:shd w:fill="EEEEEE" w:val="clear"/>
            <w:tcMar>
              <w:bottom w:w="0" w:type="dxa"/>
            </w:tcMar>
            <w:vAlign w:val="center"/>
          </w:tcPr>
          <w:p>
            <w:pPr>
              <w:pStyle w:val="TableContents"/>
              <w:bidi w:val="0"/>
              <w:spacing w:before="0" w:after="283"/>
              <w:jc w:val="lef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78" w:type="dxa"/>
            <w:tcBorders/>
            <w:shd w:fill="EEEEEE" w:val="clear"/>
            <w:tcMar>
              <w:bottom w:w="0" w:type="dxa"/>
            </w:tcMar>
            <w:vAlign w:val="center"/>
          </w:tcPr>
          <w:p>
            <w:pPr>
              <w:pStyle w:val="TableContents"/>
              <w:bidi w:val="0"/>
              <w:spacing w:before="0" w:after="283"/>
              <w:jc w:val="left"/>
              <w:rPr/>
            </w:pPr>
            <w:r>
              <w:rPr/>
              <w:t> </w:t>
            </w:r>
          </w:p>
        </w:tc>
        <w:tc>
          <w:tcPr>
            <w:tcW w:w="887" w:type="dxa"/>
            <w:tcBorders/>
            <w:shd w:fill="EEEEEE" w:val="clear"/>
            <w:tcMar>
              <w:bottom w:w="0" w:type="dxa"/>
            </w:tcMar>
            <w:vAlign w:val="center"/>
          </w:tcPr>
          <w:p>
            <w:pPr>
              <w:pStyle w:val="TableContents"/>
              <w:bidi w:val="0"/>
              <w:spacing w:before="0" w:after="283"/>
              <w:jc w:val="right"/>
              <w:rPr/>
            </w:pPr>
            <w:r>
              <w:rPr/>
              <w:t>42,515</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30" w:type="dxa"/>
            <w:tcBorders/>
            <w:shd w:fill="EEEEEE" w:val="clear"/>
            <w:tcMar>
              <w:bottom w:w="0" w:type="dxa"/>
            </w:tcMar>
            <w:vAlign w:val="center"/>
          </w:tcPr>
          <w:p>
            <w:pPr>
              <w:pStyle w:val="TableContents"/>
              <w:bidi w:val="0"/>
              <w:spacing w:before="0" w:after="283"/>
              <w:jc w:val="left"/>
              <w:rPr/>
            </w:pPr>
            <w:r>
              <w:rPr/>
              <w:t> </w:t>
            </w:r>
          </w:p>
        </w:tc>
        <w:tc>
          <w:tcPr>
            <w:tcW w:w="955" w:type="dxa"/>
            <w:tcBorders/>
            <w:shd w:fill="EEEEEE" w:val="clear"/>
            <w:tcMar>
              <w:bottom w:w="0" w:type="dxa"/>
            </w:tcMar>
            <w:vAlign w:val="center"/>
          </w:tcPr>
          <w:p>
            <w:pPr>
              <w:pStyle w:val="TableContents"/>
              <w:bidi w:val="0"/>
              <w:spacing w:before="0" w:after="283"/>
              <w:jc w:val="right"/>
              <w:rPr/>
            </w:pPr>
            <w:r>
              <w:rPr/>
              <w:t>52.6</w:t>
            </w:r>
          </w:p>
        </w:tc>
        <w:tc>
          <w:tcPr>
            <w:tcW w:w="215" w:type="dxa"/>
            <w:tcBorders/>
            <w:shd w:fill="EEEEEE" w:val="clear"/>
            <w:tcMar>
              <w:bottom w:w="0" w:type="dxa"/>
            </w:tcMar>
            <w:vAlign w:val="center"/>
          </w:tcPr>
          <w:p>
            <w:pPr>
              <w:pStyle w:val="TableContents"/>
              <w:bidi w:val="0"/>
              <w:spacing w:before="0" w:after="283"/>
              <w:jc w:val="lef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93" w:type="dxa"/>
            <w:tcBorders/>
            <w:shd w:fill="EEEEEE" w:val="clear"/>
            <w:tcMar>
              <w:bottom w:w="0" w:type="dxa"/>
            </w:tcMar>
            <w:vAlign w:val="center"/>
          </w:tcPr>
          <w:p>
            <w:pPr>
              <w:pStyle w:val="TableContents"/>
              <w:bidi w:val="0"/>
              <w:spacing w:before="0" w:after="283"/>
              <w:jc w:val="left"/>
              <w:rPr/>
            </w:pPr>
            <w:r>
              <w:rPr/>
              <w:t> </w:t>
            </w:r>
          </w:p>
        </w:tc>
        <w:tc>
          <w:tcPr>
            <w:tcW w:w="872" w:type="dxa"/>
            <w:tcBorders/>
            <w:shd w:fill="EEEEEE" w:val="clear"/>
            <w:tcMar>
              <w:bottom w:w="0" w:type="dxa"/>
            </w:tcMar>
            <w:vAlign w:val="center"/>
          </w:tcPr>
          <w:p>
            <w:pPr>
              <w:pStyle w:val="TableContents"/>
              <w:bidi w:val="0"/>
              <w:spacing w:before="0" w:after="283"/>
              <w:jc w:val="right"/>
              <w:rPr/>
            </w:pPr>
            <w:r>
              <w:rPr/>
              <w:t>1,933</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71" w:type="dxa"/>
            <w:tcBorders/>
            <w:shd w:fill="EEEEEE" w:val="clear"/>
            <w:tcMar>
              <w:bottom w:w="0" w:type="dxa"/>
            </w:tcMar>
            <w:vAlign w:val="center"/>
          </w:tcPr>
          <w:p>
            <w:pPr>
              <w:pStyle w:val="TableContents"/>
              <w:bidi w:val="0"/>
              <w:spacing w:before="0" w:after="283"/>
              <w:jc w:val="left"/>
              <w:rPr/>
            </w:pPr>
            <w:r>
              <w:rPr/>
              <w:t> </w:t>
            </w:r>
          </w:p>
        </w:tc>
        <w:tc>
          <w:tcPr>
            <w:tcW w:w="914" w:type="dxa"/>
            <w:tcBorders/>
            <w:shd w:fill="EEEEEE" w:val="clear"/>
            <w:tcMar>
              <w:bottom w:w="0" w:type="dxa"/>
            </w:tcMar>
            <w:vAlign w:val="center"/>
          </w:tcPr>
          <w:p>
            <w:pPr>
              <w:pStyle w:val="TableContents"/>
              <w:bidi w:val="0"/>
              <w:spacing w:before="0" w:after="283"/>
              <w:jc w:val="right"/>
              <w:rPr/>
            </w:pPr>
            <w:r>
              <w:rPr/>
              <w:t>2.4</w:t>
            </w:r>
          </w:p>
        </w:tc>
        <w:tc>
          <w:tcPr>
            <w:tcW w:w="215" w:type="dxa"/>
            <w:tcBorders/>
            <w:shd w:fill="EEEEEE" w:val="clear"/>
            <w:tcMar>
              <w:bottom w:w="0" w:type="dxa"/>
            </w:tcMar>
            <w:vAlign w:val="center"/>
          </w:tcPr>
          <w:p>
            <w:pPr>
              <w:pStyle w:val="TableContents"/>
              <w:bidi w:val="0"/>
              <w:spacing w:before="0" w:after="283"/>
              <w:jc w:val="lef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180" w:type="dxa"/>
            <w:tcBorders/>
            <w:shd w:fill="EEEEEE" w:val="clear"/>
            <w:tcMar>
              <w:bottom w:w="0" w:type="dxa"/>
            </w:tcMar>
            <w:vAlign w:val="center"/>
          </w:tcPr>
          <w:p>
            <w:pPr>
              <w:pStyle w:val="TableContents"/>
              <w:bidi w:val="0"/>
              <w:spacing w:before="0" w:after="283"/>
              <w:jc w:val="left"/>
              <w:rPr/>
            </w:pPr>
            <w:r>
              <w:rPr/>
              <w:t> </w:t>
            </w:r>
          </w:p>
        </w:tc>
        <w:tc>
          <w:tcPr>
            <w:tcW w:w="785" w:type="dxa"/>
            <w:tcBorders/>
            <w:shd w:fill="EEEEEE" w:val="clear"/>
            <w:tcMar>
              <w:bottom w:w="0" w:type="dxa"/>
            </w:tcMar>
            <w:vAlign w:val="center"/>
          </w:tcPr>
          <w:p>
            <w:pPr>
              <w:pStyle w:val="TableContents"/>
              <w:bidi w:val="0"/>
              <w:spacing w:before="0" w:after="283"/>
              <w:jc w:val="right"/>
              <w:rPr/>
            </w:pPr>
            <w:r>
              <w:rPr/>
              <w:t>26</w:t>
            </w:r>
          </w:p>
        </w:tc>
        <w:tc>
          <w:tcPr>
            <w:tcW w:w="75" w:type="dxa"/>
            <w:tcBorders/>
            <w:shd w:fill="EEEEEE" w:val="clear"/>
            <w:tcMar>
              <w:bottom w:w="0" w:type="dxa"/>
            </w:tcMar>
            <w:vAlign w:val="center"/>
          </w:tcPr>
          <w:p>
            <w:pPr>
              <w:pStyle w:val="TableContents"/>
              <w:bidi w:val="0"/>
              <w:spacing w:before="0" w:after="283"/>
              <w:jc w:val="left"/>
              <w:rPr/>
            </w:pPr>
            <w:r>
              <w:rPr/>
              <w:t> </w:t>
            </w:r>
          </w:p>
        </w:tc>
      </w:tr>
      <w:tr>
        <w:trPr/>
        <w:tc>
          <w:tcPr>
            <w:tcW w:w="98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14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94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902"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88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955"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87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 w:type="dxa"/>
            <w:tcBorders/>
            <w:shd w:fill="FFFFFF" w:val="clear"/>
            <w:tcMar>
              <w:bottom w:w="0" w:type="dxa"/>
            </w:tcMar>
            <w:vAlign w:val="center"/>
          </w:tcPr>
          <w:p>
            <w:pPr>
              <w:pStyle w:val="TableContents"/>
              <w:bidi w:val="0"/>
              <w:spacing w:before="0" w:after="283"/>
              <w:jc w:val="left"/>
              <w:rPr/>
            </w:pPr>
            <w:r>
              <w:rPr/>
              <w:t> </w:t>
            </w:r>
          </w:p>
        </w:tc>
        <w:tc>
          <w:tcPr>
            <w:tcW w:w="785"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80" w:type="dxa"/>
            <w:tcBorders/>
            <w:shd w:fill="EEEEEE" w:val="clear"/>
            <w:tcMar>
              <w:bottom w:w="0" w:type="dxa"/>
            </w:tcMar>
            <w:vAlign w:val="center"/>
          </w:tcPr>
          <w:p>
            <w:pPr>
              <w:pStyle w:val="TableContents"/>
              <w:bidi w:val="0"/>
              <w:spacing w:before="0" w:after="283"/>
              <w:jc w:val="center"/>
              <w:rPr/>
            </w:pPr>
            <w:r>
              <w:rPr/>
              <w:t>2017</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6" w:type="dxa"/>
            <w:tcBorders/>
            <w:shd w:fill="EEEEEE" w:val="clear"/>
            <w:tcMar>
              <w:bottom w:w="0" w:type="dxa"/>
            </w:tcMar>
            <w:vAlign w:val="center"/>
          </w:tcPr>
          <w:p>
            <w:pPr>
              <w:pStyle w:val="TableContents"/>
              <w:bidi w:val="0"/>
              <w:spacing w:before="0" w:after="283"/>
              <w:jc w:val="left"/>
              <w:rPr/>
            </w:pPr>
            <w:r>
              <w:rPr/>
              <w:t> </w:t>
            </w:r>
          </w:p>
        </w:tc>
        <w:tc>
          <w:tcPr>
            <w:tcW w:w="1149" w:type="dxa"/>
            <w:tcBorders/>
            <w:shd w:fill="EEEEEE" w:val="clear"/>
            <w:tcMar>
              <w:bottom w:w="0" w:type="dxa"/>
            </w:tcMar>
            <w:vAlign w:val="center"/>
          </w:tcPr>
          <w:p>
            <w:pPr>
              <w:pStyle w:val="TableContents"/>
              <w:bidi w:val="0"/>
              <w:spacing w:before="0" w:after="283"/>
              <w:jc w:val="right"/>
              <w:rPr/>
            </w:pPr>
            <w:r>
              <w:rPr/>
              <w:t>133,881</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3" w:type="dxa"/>
            <w:tcBorders/>
            <w:shd w:fill="EEEEEE" w:val="clear"/>
            <w:tcMar>
              <w:bottom w:w="0" w:type="dxa"/>
            </w:tcMar>
            <w:vAlign w:val="center"/>
          </w:tcPr>
          <w:p>
            <w:pPr>
              <w:pStyle w:val="TableContents"/>
              <w:bidi w:val="0"/>
              <w:spacing w:before="0" w:after="283"/>
              <w:jc w:val="left"/>
              <w:rPr/>
            </w:pPr>
            <w:r>
              <w:rPr/>
              <w:t> </w:t>
            </w:r>
          </w:p>
        </w:tc>
        <w:tc>
          <w:tcPr>
            <w:tcW w:w="942" w:type="dxa"/>
            <w:tcBorders/>
            <w:shd w:fill="EEEEEE" w:val="clear"/>
            <w:tcMar>
              <w:bottom w:w="0" w:type="dxa"/>
            </w:tcMar>
            <w:vAlign w:val="center"/>
          </w:tcPr>
          <w:p>
            <w:pPr>
              <w:pStyle w:val="TableContents"/>
              <w:bidi w:val="0"/>
              <w:spacing w:before="0" w:after="283"/>
              <w:jc w:val="right"/>
              <w:rPr/>
            </w:pPr>
            <w:r>
              <w:rPr/>
              <w:t>60,432</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23" w:type="dxa"/>
            <w:tcBorders/>
            <w:shd w:fill="EEEEEE" w:val="clear"/>
            <w:tcMar>
              <w:bottom w:w="0" w:type="dxa"/>
            </w:tcMar>
            <w:vAlign w:val="center"/>
          </w:tcPr>
          <w:p>
            <w:pPr>
              <w:pStyle w:val="TableContents"/>
              <w:bidi w:val="0"/>
              <w:spacing w:before="0" w:after="283"/>
              <w:jc w:val="left"/>
              <w:rPr/>
            </w:pPr>
            <w:r>
              <w:rPr/>
              <w:t> </w:t>
            </w:r>
          </w:p>
        </w:tc>
        <w:tc>
          <w:tcPr>
            <w:tcW w:w="902" w:type="dxa"/>
            <w:tcBorders/>
            <w:shd w:fill="EEEEEE" w:val="clear"/>
            <w:tcMar>
              <w:bottom w:w="0" w:type="dxa"/>
            </w:tcMar>
            <w:vAlign w:val="center"/>
          </w:tcPr>
          <w:p>
            <w:pPr>
              <w:pStyle w:val="TableContents"/>
              <w:bidi w:val="0"/>
              <w:spacing w:before="0" w:after="283"/>
              <w:jc w:val="right"/>
              <w:rPr/>
            </w:pPr>
            <w:r>
              <w:rPr/>
              <w:t>45.1</w:t>
            </w:r>
          </w:p>
        </w:tc>
        <w:tc>
          <w:tcPr>
            <w:tcW w:w="215" w:type="dxa"/>
            <w:tcBorders/>
            <w:shd w:fill="EEEEEE" w:val="clear"/>
            <w:tcMar>
              <w:bottom w:w="0" w:type="dxa"/>
            </w:tcMar>
            <w:vAlign w:val="center"/>
          </w:tcPr>
          <w:p>
            <w:pPr>
              <w:pStyle w:val="TableContents"/>
              <w:bidi w:val="0"/>
              <w:spacing w:before="0" w:after="283"/>
              <w:jc w:val="lef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78" w:type="dxa"/>
            <w:tcBorders/>
            <w:shd w:fill="EEEEEE" w:val="clear"/>
            <w:tcMar>
              <w:bottom w:w="0" w:type="dxa"/>
            </w:tcMar>
            <w:vAlign w:val="center"/>
          </w:tcPr>
          <w:p>
            <w:pPr>
              <w:pStyle w:val="TableContents"/>
              <w:bidi w:val="0"/>
              <w:spacing w:before="0" w:after="283"/>
              <w:jc w:val="left"/>
              <w:rPr/>
            </w:pPr>
            <w:r>
              <w:rPr/>
              <w:t> </w:t>
            </w:r>
          </w:p>
        </w:tc>
        <w:tc>
          <w:tcPr>
            <w:tcW w:w="887" w:type="dxa"/>
            <w:tcBorders/>
            <w:shd w:fill="EEEEEE" w:val="clear"/>
            <w:tcMar>
              <w:bottom w:w="0" w:type="dxa"/>
            </w:tcMar>
            <w:vAlign w:val="center"/>
          </w:tcPr>
          <w:p>
            <w:pPr>
              <w:pStyle w:val="TableContents"/>
              <w:bidi w:val="0"/>
              <w:spacing w:before="0" w:after="283"/>
              <w:jc w:val="right"/>
              <w:rPr/>
            </w:pPr>
            <w:r>
              <w:rPr/>
              <w:t>66,523</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30" w:type="dxa"/>
            <w:tcBorders/>
            <w:shd w:fill="EEEEEE" w:val="clear"/>
            <w:tcMar>
              <w:bottom w:w="0" w:type="dxa"/>
            </w:tcMar>
            <w:vAlign w:val="center"/>
          </w:tcPr>
          <w:p>
            <w:pPr>
              <w:pStyle w:val="TableContents"/>
              <w:bidi w:val="0"/>
              <w:spacing w:before="0" w:after="283"/>
              <w:jc w:val="left"/>
              <w:rPr/>
            </w:pPr>
            <w:r>
              <w:rPr/>
              <w:t> </w:t>
            </w:r>
          </w:p>
        </w:tc>
        <w:tc>
          <w:tcPr>
            <w:tcW w:w="955" w:type="dxa"/>
            <w:tcBorders/>
            <w:shd w:fill="EEEEEE" w:val="clear"/>
            <w:tcMar>
              <w:bottom w:w="0" w:type="dxa"/>
            </w:tcMar>
            <w:vAlign w:val="center"/>
          </w:tcPr>
          <w:p>
            <w:pPr>
              <w:pStyle w:val="TableContents"/>
              <w:bidi w:val="0"/>
              <w:spacing w:before="0" w:after="283"/>
              <w:jc w:val="right"/>
              <w:rPr/>
            </w:pPr>
            <w:r>
              <w:rPr/>
              <w:t>49.7</w:t>
            </w:r>
          </w:p>
        </w:tc>
        <w:tc>
          <w:tcPr>
            <w:tcW w:w="215" w:type="dxa"/>
            <w:tcBorders/>
            <w:shd w:fill="EEEEEE" w:val="clear"/>
            <w:tcMar>
              <w:bottom w:w="0" w:type="dxa"/>
            </w:tcMar>
            <w:vAlign w:val="center"/>
          </w:tcPr>
          <w:p>
            <w:pPr>
              <w:pStyle w:val="TableContents"/>
              <w:bidi w:val="0"/>
              <w:spacing w:before="0" w:after="283"/>
              <w:jc w:val="lef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93" w:type="dxa"/>
            <w:tcBorders/>
            <w:shd w:fill="EEEEEE" w:val="clear"/>
            <w:tcMar>
              <w:bottom w:w="0" w:type="dxa"/>
            </w:tcMar>
            <w:vAlign w:val="center"/>
          </w:tcPr>
          <w:p>
            <w:pPr>
              <w:pStyle w:val="TableContents"/>
              <w:bidi w:val="0"/>
              <w:spacing w:before="0" w:after="283"/>
              <w:jc w:val="left"/>
              <w:rPr/>
            </w:pPr>
            <w:r>
              <w:rPr/>
              <w:t> </w:t>
            </w:r>
          </w:p>
        </w:tc>
        <w:tc>
          <w:tcPr>
            <w:tcW w:w="872" w:type="dxa"/>
            <w:tcBorders/>
            <w:shd w:fill="EEEEEE" w:val="clear"/>
            <w:tcMar>
              <w:bottom w:w="0" w:type="dxa"/>
            </w:tcMar>
            <w:vAlign w:val="center"/>
          </w:tcPr>
          <w:p>
            <w:pPr>
              <w:pStyle w:val="TableContents"/>
              <w:bidi w:val="0"/>
              <w:spacing w:before="0" w:after="283"/>
              <w:jc w:val="right"/>
              <w:rPr/>
            </w:pPr>
            <w:r>
              <w:rPr/>
              <w:t>6,926</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71" w:type="dxa"/>
            <w:tcBorders/>
            <w:shd w:fill="EEEEEE" w:val="clear"/>
            <w:tcMar>
              <w:bottom w:w="0" w:type="dxa"/>
            </w:tcMar>
            <w:vAlign w:val="center"/>
          </w:tcPr>
          <w:p>
            <w:pPr>
              <w:pStyle w:val="TableContents"/>
              <w:bidi w:val="0"/>
              <w:spacing w:before="0" w:after="283"/>
              <w:jc w:val="left"/>
              <w:rPr/>
            </w:pPr>
            <w:r>
              <w:rPr/>
              <w:t> </w:t>
            </w:r>
          </w:p>
        </w:tc>
        <w:tc>
          <w:tcPr>
            <w:tcW w:w="914" w:type="dxa"/>
            <w:tcBorders/>
            <w:shd w:fill="EEEEEE" w:val="clear"/>
            <w:tcMar>
              <w:bottom w:w="0" w:type="dxa"/>
            </w:tcMar>
            <w:vAlign w:val="center"/>
          </w:tcPr>
          <w:p>
            <w:pPr>
              <w:pStyle w:val="TableContents"/>
              <w:bidi w:val="0"/>
              <w:spacing w:before="0" w:after="283"/>
              <w:jc w:val="right"/>
              <w:rPr/>
            </w:pPr>
            <w:r>
              <w:rPr/>
              <w:t>5.2</w:t>
            </w:r>
          </w:p>
        </w:tc>
        <w:tc>
          <w:tcPr>
            <w:tcW w:w="215" w:type="dxa"/>
            <w:tcBorders/>
            <w:shd w:fill="EEEEEE" w:val="clear"/>
            <w:tcMar>
              <w:bottom w:w="0" w:type="dxa"/>
            </w:tcMar>
            <w:vAlign w:val="center"/>
          </w:tcPr>
          <w:p>
            <w:pPr>
              <w:pStyle w:val="TableContents"/>
              <w:bidi w:val="0"/>
              <w:spacing w:before="0" w:after="283"/>
              <w:jc w:val="lef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180" w:type="dxa"/>
            <w:tcBorders/>
            <w:shd w:fill="EEEEEE" w:val="clear"/>
            <w:tcMar>
              <w:bottom w:w="0" w:type="dxa"/>
            </w:tcMar>
            <w:vAlign w:val="center"/>
          </w:tcPr>
          <w:p>
            <w:pPr>
              <w:pStyle w:val="TableContents"/>
              <w:bidi w:val="0"/>
              <w:spacing w:before="0" w:after="283"/>
              <w:jc w:val="left"/>
              <w:rPr/>
            </w:pPr>
            <w:r>
              <w:rPr/>
              <w:t> </w:t>
            </w:r>
          </w:p>
        </w:tc>
        <w:tc>
          <w:tcPr>
            <w:tcW w:w="785" w:type="dxa"/>
            <w:tcBorders/>
            <w:shd w:fill="EEEEEE" w:val="clear"/>
            <w:tcMar>
              <w:bottom w:w="0" w:type="dxa"/>
            </w:tcMar>
            <w:vAlign w:val="center"/>
          </w:tcPr>
          <w:p>
            <w:pPr>
              <w:pStyle w:val="TableContents"/>
              <w:bidi w:val="0"/>
              <w:spacing w:before="0" w:after="283"/>
              <w:jc w:val="right"/>
              <w:rPr/>
            </w:pPr>
            <w:r>
              <w:rPr/>
              <w:t>23</w:t>
            </w:r>
          </w:p>
        </w:tc>
        <w:tc>
          <w:tcPr>
            <w:tcW w:w="75" w:type="dxa"/>
            <w:tcBorders/>
            <w:shd w:fill="EEEEEE" w:val="clear"/>
            <w:tcMar>
              <w:bottom w:w="0" w:type="dxa"/>
            </w:tcMar>
            <w:vAlign w:val="center"/>
          </w:tcPr>
          <w:p>
            <w:pPr>
              <w:pStyle w:val="TableContents"/>
              <w:bidi w:val="0"/>
              <w:spacing w:before="0" w:after="283"/>
              <w:jc w:val="left"/>
              <w:rPr/>
            </w:pPr>
            <w:r>
              <w:rPr/>
              <w:t> </w:t>
            </w:r>
          </w:p>
        </w:tc>
      </w:tr>
      <w:tr>
        <w:trPr/>
        <w:tc>
          <w:tcPr>
            <w:tcW w:w="98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14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94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902"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88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955"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87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 w:type="dxa"/>
            <w:tcBorders/>
            <w:shd w:fill="FFFFFF" w:val="clear"/>
            <w:tcMar>
              <w:bottom w:w="0" w:type="dxa"/>
            </w:tcMar>
            <w:vAlign w:val="center"/>
          </w:tcPr>
          <w:p>
            <w:pPr>
              <w:pStyle w:val="TableContents"/>
              <w:bidi w:val="0"/>
              <w:spacing w:before="0" w:after="283"/>
              <w:jc w:val="left"/>
              <w:rPr/>
            </w:pPr>
            <w:r>
              <w:rPr/>
              <w:t> </w:t>
            </w:r>
          </w:p>
        </w:tc>
        <w:tc>
          <w:tcPr>
            <w:tcW w:w="785"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80" w:type="dxa"/>
            <w:tcBorders/>
            <w:shd w:fill="EEEEEE" w:val="clear"/>
            <w:tcMar>
              <w:bottom w:w="0" w:type="dxa"/>
            </w:tcMar>
            <w:vAlign w:val="center"/>
          </w:tcPr>
          <w:p>
            <w:pPr>
              <w:pStyle w:val="TableContents"/>
              <w:bidi w:val="0"/>
              <w:spacing w:before="0" w:after="283"/>
              <w:jc w:val="center"/>
              <w:rPr/>
            </w:pPr>
            <w:r>
              <w:rPr/>
              <w:t>2018</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6" w:type="dxa"/>
            <w:tcBorders/>
            <w:shd w:fill="EEEEEE" w:val="clear"/>
            <w:tcMar>
              <w:bottom w:w="0" w:type="dxa"/>
            </w:tcMar>
            <w:vAlign w:val="center"/>
          </w:tcPr>
          <w:p>
            <w:pPr>
              <w:pStyle w:val="TableContents"/>
              <w:bidi w:val="0"/>
              <w:spacing w:before="0" w:after="283"/>
              <w:jc w:val="left"/>
              <w:rPr/>
            </w:pPr>
            <w:r>
              <w:rPr/>
              <w:t> </w:t>
            </w:r>
          </w:p>
        </w:tc>
        <w:tc>
          <w:tcPr>
            <w:tcW w:w="1149" w:type="dxa"/>
            <w:tcBorders/>
            <w:shd w:fill="EEEEEE" w:val="clear"/>
            <w:tcMar>
              <w:bottom w:w="0" w:type="dxa"/>
            </w:tcMar>
            <w:vAlign w:val="center"/>
          </w:tcPr>
          <w:p>
            <w:pPr>
              <w:pStyle w:val="TableContents"/>
              <w:bidi w:val="0"/>
              <w:spacing w:before="0" w:after="283"/>
              <w:jc w:val="right"/>
              <w:rPr/>
            </w:pPr>
            <w:r>
              <w:rPr/>
              <w:t>121,531</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3" w:type="dxa"/>
            <w:tcBorders/>
            <w:shd w:fill="EEEEEE" w:val="clear"/>
            <w:tcMar>
              <w:bottom w:w="0" w:type="dxa"/>
            </w:tcMar>
            <w:vAlign w:val="center"/>
          </w:tcPr>
          <w:p>
            <w:pPr>
              <w:pStyle w:val="TableContents"/>
              <w:bidi w:val="0"/>
              <w:spacing w:before="0" w:after="283"/>
              <w:jc w:val="left"/>
              <w:rPr/>
            </w:pPr>
            <w:r>
              <w:rPr/>
              <w:t> </w:t>
            </w:r>
          </w:p>
        </w:tc>
        <w:tc>
          <w:tcPr>
            <w:tcW w:w="942" w:type="dxa"/>
            <w:tcBorders/>
            <w:shd w:fill="EEEEEE" w:val="clear"/>
            <w:tcMar>
              <w:bottom w:w="0" w:type="dxa"/>
            </w:tcMar>
            <w:vAlign w:val="center"/>
          </w:tcPr>
          <w:p>
            <w:pPr>
              <w:pStyle w:val="TableContents"/>
              <w:bidi w:val="0"/>
              <w:spacing w:before="0" w:after="283"/>
              <w:jc w:val="right"/>
              <w:rPr/>
            </w:pPr>
            <w:r>
              <w:rPr/>
              <w:t>64,608</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23" w:type="dxa"/>
            <w:tcBorders/>
            <w:shd w:fill="EEEEEE" w:val="clear"/>
            <w:tcMar>
              <w:bottom w:w="0" w:type="dxa"/>
            </w:tcMar>
            <w:vAlign w:val="center"/>
          </w:tcPr>
          <w:p>
            <w:pPr>
              <w:pStyle w:val="TableContents"/>
              <w:bidi w:val="0"/>
              <w:spacing w:before="0" w:after="283"/>
              <w:jc w:val="left"/>
              <w:rPr/>
            </w:pPr>
            <w:r>
              <w:rPr/>
              <w:t> </w:t>
            </w:r>
          </w:p>
        </w:tc>
        <w:tc>
          <w:tcPr>
            <w:tcW w:w="902" w:type="dxa"/>
            <w:tcBorders/>
            <w:shd w:fill="EEEEEE" w:val="clear"/>
            <w:tcMar>
              <w:bottom w:w="0" w:type="dxa"/>
            </w:tcMar>
            <w:vAlign w:val="center"/>
          </w:tcPr>
          <w:p>
            <w:pPr>
              <w:pStyle w:val="TableContents"/>
              <w:bidi w:val="0"/>
              <w:spacing w:before="0" w:after="283"/>
              <w:jc w:val="right"/>
              <w:rPr/>
            </w:pPr>
            <w:r>
              <w:rPr/>
              <w:t>53.2</w:t>
            </w:r>
          </w:p>
        </w:tc>
        <w:tc>
          <w:tcPr>
            <w:tcW w:w="215" w:type="dxa"/>
            <w:tcBorders/>
            <w:shd w:fill="EEEEEE" w:val="clear"/>
            <w:tcMar>
              <w:bottom w:w="0" w:type="dxa"/>
            </w:tcMar>
            <w:vAlign w:val="center"/>
          </w:tcPr>
          <w:p>
            <w:pPr>
              <w:pStyle w:val="TableContents"/>
              <w:bidi w:val="0"/>
              <w:spacing w:before="0" w:after="283"/>
              <w:jc w:val="lef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78" w:type="dxa"/>
            <w:tcBorders/>
            <w:shd w:fill="EEEEEE" w:val="clear"/>
            <w:tcMar>
              <w:bottom w:w="0" w:type="dxa"/>
            </w:tcMar>
            <w:vAlign w:val="center"/>
          </w:tcPr>
          <w:p>
            <w:pPr>
              <w:pStyle w:val="TableContents"/>
              <w:bidi w:val="0"/>
              <w:spacing w:before="0" w:after="283"/>
              <w:jc w:val="left"/>
              <w:rPr/>
            </w:pPr>
            <w:r>
              <w:rPr/>
              <w:t> </w:t>
            </w:r>
          </w:p>
        </w:tc>
        <w:tc>
          <w:tcPr>
            <w:tcW w:w="887" w:type="dxa"/>
            <w:tcBorders/>
            <w:shd w:fill="EEEEEE" w:val="clear"/>
            <w:tcMar>
              <w:bottom w:w="0" w:type="dxa"/>
            </w:tcMar>
            <w:vAlign w:val="center"/>
          </w:tcPr>
          <w:p>
            <w:pPr>
              <w:pStyle w:val="TableContents"/>
              <w:bidi w:val="0"/>
              <w:spacing w:before="0" w:after="283"/>
              <w:jc w:val="right"/>
              <w:rPr/>
            </w:pPr>
            <w:r>
              <w:rPr/>
              <w:t>50,916</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30" w:type="dxa"/>
            <w:tcBorders/>
            <w:shd w:fill="EEEEEE" w:val="clear"/>
            <w:tcMar>
              <w:bottom w:w="0" w:type="dxa"/>
            </w:tcMar>
            <w:vAlign w:val="center"/>
          </w:tcPr>
          <w:p>
            <w:pPr>
              <w:pStyle w:val="TableContents"/>
              <w:bidi w:val="0"/>
              <w:spacing w:before="0" w:after="283"/>
              <w:jc w:val="left"/>
              <w:rPr/>
            </w:pPr>
            <w:r>
              <w:rPr/>
              <w:t> </w:t>
            </w:r>
          </w:p>
        </w:tc>
        <w:tc>
          <w:tcPr>
            <w:tcW w:w="955" w:type="dxa"/>
            <w:tcBorders/>
            <w:shd w:fill="EEEEEE" w:val="clear"/>
            <w:tcMar>
              <w:bottom w:w="0" w:type="dxa"/>
            </w:tcMar>
            <w:vAlign w:val="center"/>
          </w:tcPr>
          <w:p>
            <w:pPr>
              <w:pStyle w:val="TableContents"/>
              <w:bidi w:val="0"/>
              <w:spacing w:before="0" w:after="283"/>
              <w:jc w:val="right"/>
              <w:rPr/>
            </w:pPr>
            <w:r>
              <w:rPr/>
              <w:t>41.9</w:t>
            </w:r>
          </w:p>
        </w:tc>
        <w:tc>
          <w:tcPr>
            <w:tcW w:w="215" w:type="dxa"/>
            <w:tcBorders/>
            <w:shd w:fill="EEEEEE" w:val="clear"/>
            <w:tcMar>
              <w:bottom w:w="0" w:type="dxa"/>
            </w:tcMar>
            <w:vAlign w:val="center"/>
          </w:tcPr>
          <w:p>
            <w:pPr>
              <w:pStyle w:val="TableContents"/>
              <w:bidi w:val="0"/>
              <w:spacing w:before="0" w:after="283"/>
              <w:jc w:val="lef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93" w:type="dxa"/>
            <w:tcBorders/>
            <w:shd w:fill="EEEEEE" w:val="clear"/>
            <w:tcMar>
              <w:bottom w:w="0" w:type="dxa"/>
            </w:tcMar>
            <w:vAlign w:val="center"/>
          </w:tcPr>
          <w:p>
            <w:pPr>
              <w:pStyle w:val="TableContents"/>
              <w:bidi w:val="0"/>
              <w:spacing w:before="0" w:after="283"/>
              <w:jc w:val="left"/>
              <w:rPr/>
            </w:pPr>
            <w:r>
              <w:rPr/>
              <w:t> </w:t>
            </w:r>
          </w:p>
        </w:tc>
        <w:tc>
          <w:tcPr>
            <w:tcW w:w="872" w:type="dxa"/>
            <w:tcBorders/>
            <w:shd w:fill="EEEEEE" w:val="clear"/>
            <w:tcMar>
              <w:bottom w:w="0" w:type="dxa"/>
            </w:tcMar>
            <w:vAlign w:val="center"/>
          </w:tcPr>
          <w:p>
            <w:pPr>
              <w:pStyle w:val="TableContents"/>
              <w:bidi w:val="0"/>
              <w:spacing w:before="0" w:after="283"/>
              <w:jc w:val="right"/>
              <w:rPr/>
            </w:pPr>
            <w:r>
              <w:rPr/>
              <w:t>6,007</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71" w:type="dxa"/>
            <w:tcBorders/>
            <w:shd w:fill="EEEEEE" w:val="clear"/>
            <w:tcMar>
              <w:bottom w:w="0" w:type="dxa"/>
            </w:tcMar>
            <w:vAlign w:val="center"/>
          </w:tcPr>
          <w:p>
            <w:pPr>
              <w:pStyle w:val="TableContents"/>
              <w:bidi w:val="0"/>
              <w:spacing w:before="0" w:after="283"/>
              <w:jc w:val="left"/>
              <w:rPr/>
            </w:pPr>
            <w:r>
              <w:rPr/>
              <w:t> </w:t>
            </w:r>
          </w:p>
        </w:tc>
        <w:tc>
          <w:tcPr>
            <w:tcW w:w="914" w:type="dxa"/>
            <w:tcBorders/>
            <w:shd w:fill="EEEEEE" w:val="clear"/>
            <w:tcMar>
              <w:bottom w:w="0" w:type="dxa"/>
            </w:tcMar>
            <w:vAlign w:val="center"/>
          </w:tcPr>
          <w:p>
            <w:pPr>
              <w:pStyle w:val="TableContents"/>
              <w:bidi w:val="0"/>
              <w:spacing w:before="0" w:after="283"/>
              <w:jc w:val="right"/>
              <w:rPr/>
            </w:pPr>
            <w:r>
              <w:rPr/>
              <w:t>4.9</w:t>
            </w:r>
          </w:p>
        </w:tc>
        <w:tc>
          <w:tcPr>
            <w:tcW w:w="215" w:type="dxa"/>
            <w:tcBorders/>
            <w:shd w:fill="EEEEEE" w:val="clear"/>
            <w:tcMar>
              <w:bottom w:w="0" w:type="dxa"/>
            </w:tcMar>
            <w:vAlign w:val="center"/>
          </w:tcPr>
          <w:p>
            <w:pPr>
              <w:pStyle w:val="TableContents"/>
              <w:bidi w:val="0"/>
              <w:spacing w:before="0" w:after="283"/>
              <w:jc w:val="lef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180" w:type="dxa"/>
            <w:tcBorders/>
            <w:shd w:fill="EEEEEE" w:val="clear"/>
            <w:tcMar>
              <w:bottom w:w="0" w:type="dxa"/>
            </w:tcMar>
            <w:vAlign w:val="center"/>
          </w:tcPr>
          <w:p>
            <w:pPr>
              <w:pStyle w:val="TableContents"/>
              <w:bidi w:val="0"/>
              <w:spacing w:before="0" w:after="283"/>
              <w:jc w:val="left"/>
              <w:rPr/>
            </w:pPr>
            <w:r>
              <w:rPr/>
              <w:t> </w:t>
            </w:r>
          </w:p>
        </w:tc>
        <w:tc>
          <w:tcPr>
            <w:tcW w:w="785" w:type="dxa"/>
            <w:tcBorders/>
            <w:shd w:fill="EEEEEE" w:val="clear"/>
            <w:tcMar>
              <w:bottom w:w="0" w:type="dxa"/>
            </w:tcMar>
            <w:vAlign w:val="center"/>
          </w:tcPr>
          <w:p>
            <w:pPr>
              <w:pStyle w:val="TableContents"/>
              <w:bidi w:val="0"/>
              <w:spacing w:before="0" w:after="283"/>
              <w:jc w:val="right"/>
              <w:rPr/>
            </w:pPr>
            <w:r>
              <w:rPr/>
              <w:t>20</w:t>
            </w:r>
          </w:p>
        </w:tc>
        <w:tc>
          <w:tcPr>
            <w:tcW w:w="75" w:type="dxa"/>
            <w:tcBorders/>
            <w:shd w:fill="EEEEEE" w:val="clear"/>
            <w:tcMar>
              <w:bottom w:w="0" w:type="dxa"/>
            </w:tcMar>
            <w:vAlign w:val="center"/>
          </w:tcPr>
          <w:p>
            <w:pPr>
              <w:pStyle w:val="TableContents"/>
              <w:bidi w:val="0"/>
              <w:spacing w:before="0" w:after="283"/>
              <w:jc w:val="left"/>
              <w:rPr/>
            </w:pPr>
            <w:r>
              <w:rPr/>
              <w:t> </w:t>
            </w:r>
          </w:p>
        </w:tc>
      </w:tr>
      <w:tr>
        <w:trPr/>
        <w:tc>
          <w:tcPr>
            <w:tcW w:w="98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14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94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902"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88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955"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87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 w:type="dxa"/>
            <w:tcBorders/>
            <w:shd w:fill="FFFFFF" w:val="clear"/>
            <w:tcMar>
              <w:bottom w:w="0" w:type="dxa"/>
            </w:tcMar>
            <w:vAlign w:val="center"/>
          </w:tcPr>
          <w:p>
            <w:pPr>
              <w:pStyle w:val="TableContents"/>
              <w:bidi w:val="0"/>
              <w:spacing w:before="0" w:after="283"/>
              <w:jc w:val="left"/>
              <w:rPr/>
            </w:pPr>
            <w:r>
              <w:rPr/>
              <w:t> </w:t>
            </w:r>
          </w:p>
        </w:tc>
        <w:tc>
          <w:tcPr>
            <w:tcW w:w="785"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80" w:type="dxa"/>
            <w:tcBorders/>
            <w:shd w:fill="EEEEEE" w:val="clear"/>
            <w:tcMar>
              <w:bottom w:w="0" w:type="dxa"/>
            </w:tcMar>
            <w:vAlign w:val="center"/>
          </w:tcPr>
          <w:p>
            <w:pPr>
              <w:pStyle w:val="TableContents"/>
              <w:bidi w:val="0"/>
              <w:spacing w:before="0" w:after="283"/>
              <w:jc w:val="center"/>
              <w:rPr/>
            </w:pPr>
            <w:r>
              <w:rPr/>
              <w:t>2019</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6" w:type="dxa"/>
            <w:tcBorders/>
            <w:shd w:fill="EEEEEE" w:val="clear"/>
            <w:tcMar>
              <w:bottom w:w="0" w:type="dxa"/>
            </w:tcMar>
            <w:vAlign w:val="center"/>
          </w:tcPr>
          <w:p>
            <w:pPr>
              <w:pStyle w:val="TableContents"/>
              <w:bidi w:val="0"/>
              <w:spacing w:before="0" w:after="283"/>
              <w:jc w:val="left"/>
              <w:rPr/>
            </w:pPr>
            <w:r>
              <w:rPr/>
              <w:t> </w:t>
            </w:r>
          </w:p>
        </w:tc>
        <w:tc>
          <w:tcPr>
            <w:tcW w:w="1149" w:type="dxa"/>
            <w:tcBorders/>
            <w:shd w:fill="EEEEEE" w:val="clear"/>
            <w:tcMar>
              <w:bottom w:w="0" w:type="dxa"/>
            </w:tcMar>
            <w:vAlign w:val="center"/>
          </w:tcPr>
          <w:p>
            <w:pPr>
              <w:pStyle w:val="TableContents"/>
              <w:bidi w:val="0"/>
              <w:spacing w:before="0" w:after="283"/>
              <w:jc w:val="right"/>
              <w:rPr/>
            </w:pPr>
            <w:r>
              <w:rPr/>
              <w:t>71,548</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3" w:type="dxa"/>
            <w:tcBorders/>
            <w:shd w:fill="EEEEEE" w:val="clear"/>
            <w:tcMar>
              <w:bottom w:w="0" w:type="dxa"/>
            </w:tcMar>
            <w:vAlign w:val="center"/>
          </w:tcPr>
          <w:p>
            <w:pPr>
              <w:pStyle w:val="TableContents"/>
              <w:bidi w:val="0"/>
              <w:spacing w:before="0" w:after="283"/>
              <w:jc w:val="left"/>
              <w:rPr/>
            </w:pPr>
            <w:r>
              <w:rPr/>
              <w:t> </w:t>
            </w:r>
          </w:p>
        </w:tc>
        <w:tc>
          <w:tcPr>
            <w:tcW w:w="942" w:type="dxa"/>
            <w:tcBorders/>
            <w:shd w:fill="EEEEEE" w:val="clear"/>
            <w:tcMar>
              <w:bottom w:w="0" w:type="dxa"/>
            </w:tcMar>
            <w:vAlign w:val="center"/>
          </w:tcPr>
          <w:p>
            <w:pPr>
              <w:pStyle w:val="TableContents"/>
              <w:bidi w:val="0"/>
              <w:spacing w:before="0" w:after="283"/>
              <w:jc w:val="right"/>
              <w:rPr/>
            </w:pPr>
            <w:r>
              <w:rPr/>
              <w:t>49,448</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23" w:type="dxa"/>
            <w:tcBorders/>
            <w:shd w:fill="EEEEEE" w:val="clear"/>
            <w:tcMar>
              <w:bottom w:w="0" w:type="dxa"/>
            </w:tcMar>
            <w:vAlign w:val="center"/>
          </w:tcPr>
          <w:p>
            <w:pPr>
              <w:pStyle w:val="TableContents"/>
              <w:bidi w:val="0"/>
              <w:spacing w:before="0" w:after="283"/>
              <w:jc w:val="left"/>
              <w:rPr/>
            </w:pPr>
            <w:r>
              <w:rPr/>
              <w:t> </w:t>
            </w:r>
          </w:p>
        </w:tc>
        <w:tc>
          <w:tcPr>
            <w:tcW w:w="902" w:type="dxa"/>
            <w:tcBorders/>
            <w:shd w:fill="EEEEEE" w:val="clear"/>
            <w:tcMar>
              <w:bottom w:w="0" w:type="dxa"/>
            </w:tcMar>
            <w:vAlign w:val="center"/>
          </w:tcPr>
          <w:p>
            <w:pPr>
              <w:pStyle w:val="TableContents"/>
              <w:bidi w:val="0"/>
              <w:spacing w:before="0" w:after="283"/>
              <w:jc w:val="right"/>
              <w:rPr/>
            </w:pPr>
            <w:r>
              <w:rPr/>
              <w:t>69.1</w:t>
            </w:r>
          </w:p>
        </w:tc>
        <w:tc>
          <w:tcPr>
            <w:tcW w:w="215" w:type="dxa"/>
            <w:tcBorders/>
            <w:shd w:fill="EEEEEE" w:val="clear"/>
            <w:tcMar>
              <w:bottom w:w="0" w:type="dxa"/>
            </w:tcMar>
            <w:vAlign w:val="center"/>
          </w:tcPr>
          <w:p>
            <w:pPr>
              <w:pStyle w:val="TableContents"/>
              <w:bidi w:val="0"/>
              <w:spacing w:before="0" w:after="283"/>
              <w:jc w:val="lef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78" w:type="dxa"/>
            <w:tcBorders/>
            <w:shd w:fill="EEEEEE" w:val="clear"/>
            <w:tcMar>
              <w:bottom w:w="0" w:type="dxa"/>
            </w:tcMar>
            <w:vAlign w:val="center"/>
          </w:tcPr>
          <w:p>
            <w:pPr>
              <w:pStyle w:val="TableContents"/>
              <w:bidi w:val="0"/>
              <w:spacing w:before="0" w:after="283"/>
              <w:jc w:val="left"/>
              <w:rPr/>
            </w:pPr>
            <w:r>
              <w:rPr/>
              <w:t> </w:t>
            </w:r>
          </w:p>
        </w:tc>
        <w:tc>
          <w:tcPr>
            <w:tcW w:w="887" w:type="dxa"/>
            <w:tcBorders/>
            <w:shd w:fill="EEEEEE" w:val="clear"/>
            <w:tcMar>
              <w:bottom w:w="0" w:type="dxa"/>
            </w:tcMar>
            <w:vAlign w:val="center"/>
          </w:tcPr>
          <w:p>
            <w:pPr>
              <w:pStyle w:val="TableContents"/>
              <w:bidi w:val="0"/>
              <w:spacing w:before="0" w:after="283"/>
              <w:jc w:val="right"/>
              <w:rPr/>
            </w:pPr>
            <w:r>
              <w:rPr/>
              <w:t>20,158</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30" w:type="dxa"/>
            <w:tcBorders/>
            <w:shd w:fill="EEEEEE" w:val="clear"/>
            <w:tcMar>
              <w:bottom w:w="0" w:type="dxa"/>
            </w:tcMar>
            <w:vAlign w:val="center"/>
          </w:tcPr>
          <w:p>
            <w:pPr>
              <w:pStyle w:val="TableContents"/>
              <w:bidi w:val="0"/>
              <w:spacing w:before="0" w:after="283"/>
              <w:jc w:val="left"/>
              <w:rPr/>
            </w:pPr>
            <w:r>
              <w:rPr/>
              <w:t> </w:t>
            </w:r>
          </w:p>
        </w:tc>
        <w:tc>
          <w:tcPr>
            <w:tcW w:w="955" w:type="dxa"/>
            <w:tcBorders/>
            <w:shd w:fill="EEEEEE" w:val="clear"/>
            <w:tcMar>
              <w:bottom w:w="0" w:type="dxa"/>
            </w:tcMar>
            <w:vAlign w:val="center"/>
          </w:tcPr>
          <w:p>
            <w:pPr>
              <w:pStyle w:val="TableContents"/>
              <w:bidi w:val="0"/>
              <w:spacing w:before="0" w:after="283"/>
              <w:jc w:val="right"/>
              <w:rPr/>
            </w:pPr>
            <w:r>
              <w:rPr/>
              <w:t>28.2</w:t>
            </w:r>
          </w:p>
        </w:tc>
        <w:tc>
          <w:tcPr>
            <w:tcW w:w="215" w:type="dxa"/>
            <w:tcBorders/>
            <w:shd w:fill="EEEEEE" w:val="clear"/>
            <w:tcMar>
              <w:bottom w:w="0" w:type="dxa"/>
            </w:tcMar>
            <w:vAlign w:val="center"/>
          </w:tcPr>
          <w:p>
            <w:pPr>
              <w:pStyle w:val="TableContents"/>
              <w:bidi w:val="0"/>
              <w:spacing w:before="0" w:after="283"/>
              <w:jc w:val="lef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93" w:type="dxa"/>
            <w:tcBorders/>
            <w:shd w:fill="EEEEEE" w:val="clear"/>
            <w:tcMar>
              <w:bottom w:w="0" w:type="dxa"/>
            </w:tcMar>
            <w:vAlign w:val="center"/>
          </w:tcPr>
          <w:p>
            <w:pPr>
              <w:pStyle w:val="TableContents"/>
              <w:bidi w:val="0"/>
              <w:spacing w:before="0" w:after="283"/>
              <w:jc w:val="left"/>
              <w:rPr/>
            </w:pPr>
            <w:r>
              <w:rPr/>
              <w:t> </w:t>
            </w:r>
          </w:p>
        </w:tc>
        <w:tc>
          <w:tcPr>
            <w:tcW w:w="872" w:type="dxa"/>
            <w:tcBorders/>
            <w:shd w:fill="EEEEEE" w:val="clear"/>
            <w:tcMar>
              <w:bottom w:w="0" w:type="dxa"/>
            </w:tcMar>
            <w:vAlign w:val="center"/>
          </w:tcPr>
          <w:p>
            <w:pPr>
              <w:pStyle w:val="TableContents"/>
              <w:bidi w:val="0"/>
              <w:spacing w:before="0" w:after="283"/>
              <w:jc w:val="right"/>
              <w:rPr/>
            </w:pPr>
            <w:r>
              <w:rPr/>
              <w:t>1,942</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71" w:type="dxa"/>
            <w:tcBorders/>
            <w:shd w:fill="EEEEEE" w:val="clear"/>
            <w:tcMar>
              <w:bottom w:w="0" w:type="dxa"/>
            </w:tcMar>
            <w:vAlign w:val="center"/>
          </w:tcPr>
          <w:p>
            <w:pPr>
              <w:pStyle w:val="TableContents"/>
              <w:bidi w:val="0"/>
              <w:spacing w:before="0" w:after="283"/>
              <w:jc w:val="left"/>
              <w:rPr/>
            </w:pPr>
            <w:r>
              <w:rPr/>
              <w:t> </w:t>
            </w:r>
          </w:p>
        </w:tc>
        <w:tc>
          <w:tcPr>
            <w:tcW w:w="914" w:type="dxa"/>
            <w:tcBorders/>
            <w:shd w:fill="EEEEEE" w:val="clear"/>
            <w:tcMar>
              <w:bottom w:w="0" w:type="dxa"/>
            </w:tcMar>
            <w:vAlign w:val="center"/>
          </w:tcPr>
          <w:p>
            <w:pPr>
              <w:pStyle w:val="TableContents"/>
              <w:bidi w:val="0"/>
              <w:spacing w:before="0" w:after="283"/>
              <w:jc w:val="right"/>
              <w:rPr/>
            </w:pPr>
            <w:r>
              <w:rPr/>
              <w:t>2.7</w:t>
            </w:r>
          </w:p>
        </w:tc>
        <w:tc>
          <w:tcPr>
            <w:tcW w:w="215" w:type="dxa"/>
            <w:tcBorders/>
            <w:shd w:fill="EEEEEE" w:val="clear"/>
            <w:tcMar>
              <w:bottom w:w="0" w:type="dxa"/>
            </w:tcMar>
            <w:vAlign w:val="center"/>
          </w:tcPr>
          <w:p>
            <w:pPr>
              <w:pStyle w:val="TableContents"/>
              <w:bidi w:val="0"/>
              <w:spacing w:before="0" w:after="283"/>
              <w:jc w:val="lef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180" w:type="dxa"/>
            <w:tcBorders/>
            <w:shd w:fill="EEEEEE" w:val="clear"/>
            <w:tcMar>
              <w:bottom w:w="0" w:type="dxa"/>
            </w:tcMar>
            <w:vAlign w:val="center"/>
          </w:tcPr>
          <w:p>
            <w:pPr>
              <w:pStyle w:val="TableContents"/>
              <w:bidi w:val="0"/>
              <w:spacing w:before="0" w:after="283"/>
              <w:jc w:val="left"/>
              <w:rPr/>
            </w:pPr>
            <w:r>
              <w:rPr/>
              <w:t> </w:t>
            </w:r>
          </w:p>
        </w:tc>
        <w:tc>
          <w:tcPr>
            <w:tcW w:w="785" w:type="dxa"/>
            <w:tcBorders/>
            <w:shd w:fill="EEEEEE" w:val="clear"/>
            <w:tcMar>
              <w:bottom w:w="0" w:type="dxa"/>
            </w:tcMar>
            <w:vAlign w:val="center"/>
          </w:tcPr>
          <w:p>
            <w:pPr>
              <w:pStyle w:val="TableContents"/>
              <w:bidi w:val="0"/>
              <w:spacing w:before="0" w:after="283"/>
              <w:jc w:val="right"/>
              <w:rPr/>
            </w:pPr>
            <w:r>
              <w:rPr/>
              <w:t>19</w:t>
            </w:r>
          </w:p>
        </w:tc>
        <w:tc>
          <w:tcPr>
            <w:tcW w:w="75" w:type="dxa"/>
            <w:tcBorders/>
            <w:shd w:fill="EEEEEE" w:val="clear"/>
            <w:tcMar>
              <w:bottom w:w="0" w:type="dxa"/>
            </w:tcMar>
            <w:vAlign w:val="center"/>
          </w:tcPr>
          <w:p>
            <w:pPr>
              <w:pStyle w:val="TableContents"/>
              <w:bidi w:val="0"/>
              <w:spacing w:before="0" w:after="283"/>
              <w:jc w:val="left"/>
              <w:rPr/>
            </w:pPr>
            <w:r>
              <w:rPr/>
              <w:t> </w:t>
            </w:r>
          </w:p>
        </w:tc>
      </w:tr>
      <w:tr>
        <w:trPr/>
        <w:tc>
          <w:tcPr>
            <w:tcW w:w="98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14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94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902"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88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955"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87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 w:type="dxa"/>
            <w:tcBorders/>
            <w:shd w:fill="FFFFFF" w:val="clear"/>
            <w:tcMar>
              <w:bottom w:w="0" w:type="dxa"/>
            </w:tcMar>
            <w:vAlign w:val="center"/>
          </w:tcPr>
          <w:p>
            <w:pPr>
              <w:pStyle w:val="TableContents"/>
              <w:bidi w:val="0"/>
              <w:spacing w:before="0" w:after="283"/>
              <w:jc w:val="left"/>
              <w:rPr/>
            </w:pPr>
            <w:r>
              <w:rPr/>
              <w:t> </w:t>
            </w:r>
          </w:p>
        </w:tc>
        <w:tc>
          <w:tcPr>
            <w:tcW w:w="785"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80" w:type="dxa"/>
            <w:tcBorders/>
            <w:shd w:fill="EEEEEE" w:val="clear"/>
            <w:tcMar>
              <w:bottom w:w="0" w:type="dxa"/>
            </w:tcMar>
            <w:vAlign w:val="center"/>
          </w:tcPr>
          <w:p>
            <w:pPr>
              <w:pStyle w:val="TableContents"/>
              <w:bidi w:val="0"/>
              <w:spacing w:before="0" w:after="283"/>
              <w:jc w:val="center"/>
              <w:rPr/>
            </w:pPr>
            <w:r>
              <w:rPr/>
              <w:t>2020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6" w:type="dxa"/>
            <w:tcBorders/>
            <w:shd w:fill="EEEEEE" w:val="clear"/>
            <w:tcMar>
              <w:bottom w:w="0" w:type="dxa"/>
            </w:tcMar>
            <w:vAlign w:val="center"/>
          </w:tcPr>
          <w:p>
            <w:pPr>
              <w:pStyle w:val="TableContents"/>
              <w:bidi w:val="0"/>
              <w:spacing w:before="0" w:after="283"/>
              <w:jc w:val="left"/>
              <w:rPr/>
            </w:pPr>
            <w:r>
              <w:rPr/>
              <w:t> </w:t>
            </w:r>
          </w:p>
        </w:tc>
        <w:tc>
          <w:tcPr>
            <w:tcW w:w="1149" w:type="dxa"/>
            <w:tcBorders/>
            <w:shd w:fill="EEEEEE" w:val="clear"/>
            <w:tcMar>
              <w:bottom w:w="0" w:type="dxa"/>
            </w:tcMar>
            <w:vAlign w:val="center"/>
          </w:tcPr>
          <w:p>
            <w:pPr>
              <w:pStyle w:val="TableContents"/>
              <w:bidi w:val="0"/>
              <w:spacing w:before="0" w:after="283"/>
              <w:jc w:val="right"/>
              <w:rPr/>
            </w:pPr>
            <w:r>
              <w:rPr/>
              <w:t>83,170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3" w:type="dxa"/>
            <w:tcBorders/>
            <w:shd w:fill="EEEEEE" w:val="clear"/>
            <w:tcMar>
              <w:bottom w:w="0" w:type="dxa"/>
            </w:tcMar>
            <w:vAlign w:val="center"/>
          </w:tcPr>
          <w:p>
            <w:pPr>
              <w:pStyle w:val="TableContents"/>
              <w:bidi w:val="0"/>
              <w:spacing w:before="0" w:after="283"/>
              <w:jc w:val="left"/>
              <w:rPr/>
            </w:pPr>
            <w:r>
              <w:rPr/>
              <w:t> </w:t>
            </w:r>
          </w:p>
        </w:tc>
        <w:tc>
          <w:tcPr>
            <w:tcW w:w="942" w:type="dxa"/>
            <w:tcBorders/>
            <w:shd w:fill="EEEEEE" w:val="clear"/>
            <w:tcMar>
              <w:bottom w:w="0" w:type="dxa"/>
            </w:tcMar>
            <w:vAlign w:val="center"/>
          </w:tcPr>
          <w:p>
            <w:pPr>
              <w:pStyle w:val="TableContents"/>
              <w:bidi w:val="0"/>
              <w:spacing w:before="0" w:after="283"/>
              <w:jc w:val="right"/>
              <w:rPr/>
            </w:pPr>
            <w:r>
              <w:rPr/>
              <w:t>61,558</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23" w:type="dxa"/>
            <w:tcBorders/>
            <w:shd w:fill="EEEEEE" w:val="clear"/>
            <w:tcMar>
              <w:bottom w:w="0" w:type="dxa"/>
            </w:tcMar>
            <w:vAlign w:val="center"/>
          </w:tcPr>
          <w:p>
            <w:pPr>
              <w:pStyle w:val="TableContents"/>
              <w:bidi w:val="0"/>
              <w:spacing w:before="0" w:after="283"/>
              <w:jc w:val="left"/>
              <w:rPr/>
            </w:pPr>
            <w:r>
              <w:rPr/>
              <w:t> </w:t>
            </w:r>
          </w:p>
        </w:tc>
        <w:tc>
          <w:tcPr>
            <w:tcW w:w="902" w:type="dxa"/>
            <w:tcBorders/>
            <w:shd w:fill="EEEEEE" w:val="clear"/>
            <w:tcMar>
              <w:bottom w:w="0" w:type="dxa"/>
            </w:tcMar>
            <w:vAlign w:val="center"/>
          </w:tcPr>
          <w:p>
            <w:pPr>
              <w:pStyle w:val="TableContents"/>
              <w:bidi w:val="0"/>
              <w:spacing w:before="0" w:after="283"/>
              <w:jc w:val="right"/>
              <w:rPr/>
            </w:pPr>
            <w:r>
              <w:rPr/>
              <w:t>74.0</w:t>
            </w:r>
          </w:p>
        </w:tc>
        <w:tc>
          <w:tcPr>
            <w:tcW w:w="215" w:type="dxa"/>
            <w:tcBorders/>
            <w:shd w:fill="EEEEEE" w:val="clear"/>
            <w:tcMar>
              <w:bottom w:w="0" w:type="dxa"/>
            </w:tcMar>
            <w:vAlign w:val="center"/>
          </w:tcPr>
          <w:p>
            <w:pPr>
              <w:pStyle w:val="TableContents"/>
              <w:bidi w:val="0"/>
              <w:spacing w:before="0" w:after="283"/>
              <w:jc w:val="lef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78" w:type="dxa"/>
            <w:tcBorders/>
            <w:shd w:fill="EEEEEE" w:val="clear"/>
            <w:tcMar>
              <w:bottom w:w="0" w:type="dxa"/>
            </w:tcMar>
            <w:vAlign w:val="center"/>
          </w:tcPr>
          <w:p>
            <w:pPr>
              <w:pStyle w:val="TableContents"/>
              <w:bidi w:val="0"/>
              <w:spacing w:before="0" w:after="283"/>
              <w:jc w:val="left"/>
              <w:rPr/>
            </w:pPr>
            <w:r>
              <w:rPr/>
              <w:t> </w:t>
            </w:r>
          </w:p>
        </w:tc>
        <w:tc>
          <w:tcPr>
            <w:tcW w:w="887" w:type="dxa"/>
            <w:tcBorders/>
            <w:shd w:fill="EEEEEE" w:val="clear"/>
            <w:tcMar>
              <w:bottom w:w="0" w:type="dxa"/>
            </w:tcMar>
            <w:vAlign w:val="center"/>
          </w:tcPr>
          <w:p>
            <w:pPr>
              <w:pStyle w:val="TableContents"/>
              <w:bidi w:val="0"/>
              <w:spacing w:before="0" w:after="283"/>
              <w:jc w:val="right"/>
              <w:rPr/>
            </w:pPr>
            <w:r>
              <w:rPr/>
              <w:t>14,593</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30" w:type="dxa"/>
            <w:tcBorders/>
            <w:shd w:fill="EEEEEE" w:val="clear"/>
            <w:tcMar>
              <w:bottom w:w="0" w:type="dxa"/>
            </w:tcMar>
            <w:vAlign w:val="center"/>
          </w:tcPr>
          <w:p>
            <w:pPr>
              <w:pStyle w:val="TableContents"/>
              <w:bidi w:val="0"/>
              <w:spacing w:before="0" w:after="283"/>
              <w:jc w:val="left"/>
              <w:rPr/>
            </w:pPr>
            <w:r>
              <w:rPr/>
              <w:t> </w:t>
            </w:r>
          </w:p>
        </w:tc>
        <w:tc>
          <w:tcPr>
            <w:tcW w:w="955" w:type="dxa"/>
            <w:tcBorders/>
            <w:shd w:fill="EEEEEE" w:val="clear"/>
            <w:tcMar>
              <w:bottom w:w="0" w:type="dxa"/>
            </w:tcMar>
            <w:vAlign w:val="center"/>
          </w:tcPr>
          <w:p>
            <w:pPr>
              <w:pStyle w:val="TableContents"/>
              <w:bidi w:val="0"/>
              <w:spacing w:before="0" w:after="283"/>
              <w:jc w:val="right"/>
              <w:rPr/>
            </w:pPr>
            <w:r>
              <w:rPr/>
              <w:t>17.5</w:t>
            </w:r>
          </w:p>
        </w:tc>
        <w:tc>
          <w:tcPr>
            <w:tcW w:w="215" w:type="dxa"/>
            <w:tcBorders/>
            <w:shd w:fill="EEEEEE" w:val="clear"/>
            <w:tcMar>
              <w:bottom w:w="0" w:type="dxa"/>
            </w:tcMar>
            <w:vAlign w:val="center"/>
          </w:tcPr>
          <w:p>
            <w:pPr>
              <w:pStyle w:val="TableContents"/>
              <w:bidi w:val="0"/>
              <w:spacing w:before="0" w:after="283"/>
              <w:jc w:val="lef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93" w:type="dxa"/>
            <w:tcBorders/>
            <w:shd w:fill="EEEEEE" w:val="clear"/>
            <w:tcMar>
              <w:bottom w:w="0" w:type="dxa"/>
            </w:tcMar>
            <w:vAlign w:val="center"/>
          </w:tcPr>
          <w:p>
            <w:pPr>
              <w:pStyle w:val="TableContents"/>
              <w:bidi w:val="0"/>
              <w:spacing w:before="0" w:after="283"/>
              <w:jc w:val="left"/>
              <w:rPr/>
            </w:pPr>
            <w:r>
              <w:rPr/>
              <w:t> </w:t>
            </w:r>
          </w:p>
        </w:tc>
        <w:tc>
          <w:tcPr>
            <w:tcW w:w="872" w:type="dxa"/>
            <w:tcBorders/>
            <w:shd w:fill="EEEEEE" w:val="clear"/>
            <w:tcMar>
              <w:bottom w:w="0" w:type="dxa"/>
            </w:tcMar>
            <w:vAlign w:val="center"/>
          </w:tcPr>
          <w:p>
            <w:pPr>
              <w:pStyle w:val="TableContents"/>
              <w:bidi w:val="0"/>
              <w:spacing w:before="0" w:after="283"/>
              <w:jc w:val="right"/>
              <w:rPr/>
            </w:pPr>
            <w:r>
              <w:rPr/>
              <w:t>2,099</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71" w:type="dxa"/>
            <w:tcBorders/>
            <w:shd w:fill="EEEEEE" w:val="clear"/>
            <w:tcMar>
              <w:bottom w:w="0" w:type="dxa"/>
            </w:tcMar>
            <w:vAlign w:val="center"/>
          </w:tcPr>
          <w:p>
            <w:pPr>
              <w:pStyle w:val="TableContents"/>
              <w:bidi w:val="0"/>
              <w:spacing w:before="0" w:after="283"/>
              <w:jc w:val="left"/>
              <w:rPr/>
            </w:pPr>
            <w:r>
              <w:rPr/>
              <w:t> </w:t>
            </w:r>
          </w:p>
        </w:tc>
        <w:tc>
          <w:tcPr>
            <w:tcW w:w="914" w:type="dxa"/>
            <w:tcBorders/>
            <w:shd w:fill="EEEEEE" w:val="clear"/>
            <w:tcMar>
              <w:bottom w:w="0" w:type="dxa"/>
            </w:tcMar>
            <w:vAlign w:val="center"/>
          </w:tcPr>
          <w:p>
            <w:pPr>
              <w:pStyle w:val="TableContents"/>
              <w:bidi w:val="0"/>
              <w:spacing w:before="0" w:after="283"/>
              <w:jc w:val="right"/>
              <w:rPr/>
            </w:pPr>
            <w:r>
              <w:rPr/>
              <w:t>2.5</w:t>
            </w:r>
          </w:p>
        </w:tc>
        <w:tc>
          <w:tcPr>
            <w:tcW w:w="215" w:type="dxa"/>
            <w:tcBorders/>
            <w:shd w:fill="EEEEEE" w:val="clear"/>
            <w:tcMar>
              <w:bottom w:w="0" w:type="dxa"/>
            </w:tcMar>
            <w:vAlign w:val="center"/>
          </w:tcPr>
          <w:p>
            <w:pPr>
              <w:pStyle w:val="TableContents"/>
              <w:bidi w:val="0"/>
              <w:spacing w:before="0" w:after="283"/>
              <w:jc w:val="lef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180" w:type="dxa"/>
            <w:tcBorders/>
            <w:shd w:fill="EEEEEE" w:val="clear"/>
            <w:tcMar>
              <w:bottom w:w="0" w:type="dxa"/>
            </w:tcMar>
            <w:vAlign w:val="center"/>
          </w:tcPr>
          <w:p>
            <w:pPr>
              <w:pStyle w:val="TableContents"/>
              <w:bidi w:val="0"/>
              <w:spacing w:before="0" w:after="283"/>
              <w:jc w:val="left"/>
              <w:rPr/>
            </w:pPr>
            <w:r>
              <w:rPr/>
              <w:t> </w:t>
            </w:r>
          </w:p>
        </w:tc>
        <w:tc>
          <w:tcPr>
            <w:tcW w:w="785" w:type="dxa"/>
            <w:tcBorders/>
            <w:shd w:fill="EEEEEE" w:val="clear"/>
            <w:tcMar>
              <w:bottom w:w="0" w:type="dxa"/>
            </w:tcMar>
            <w:vAlign w:val="center"/>
          </w:tcPr>
          <w:p>
            <w:pPr>
              <w:pStyle w:val="TableContents"/>
              <w:bidi w:val="0"/>
              <w:spacing w:before="0" w:after="283"/>
              <w:jc w:val="right"/>
              <w:rPr/>
            </w:pPr>
            <w:r>
              <w:rPr/>
              <w:t>18</w:t>
            </w:r>
          </w:p>
        </w:tc>
        <w:tc>
          <w:tcPr>
            <w:tcW w:w="75" w:type="dxa"/>
            <w:tcBorders/>
            <w:shd w:fill="EEEEEE" w:val="clear"/>
            <w:tcMar>
              <w:bottom w:w="0" w:type="dxa"/>
            </w:tcMar>
            <w:vAlign w:val="center"/>
          </w:tcPr>
          <w:p>
            <w:pPr>
              <w:pStyle w:val="TableContents"/>
              <w:bidi w:val="0"/>
              <w:spacing w:before="0" w:after="283"/>
              <w:jc w:val="left"/>
              <w:rPr/>
            </w:pPr>
            <w:r>
              <w:rPr/>
              <w:t> </w:t>
            </w:r>
          </w:p>
        </w:tc>
      </w:tr>
      <w:tr>
        <w:trPr/>
        <w:tc>
          <w:tcPr>
            <w:tcW w:w="98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14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94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902"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88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955"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87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 w:type="dxa"/>
            <w:tcBorders/>
            <w:shd w:fill="FFFFFF" w:val="clear"/>
            <w:tcMar>
              <w:bottom w:w="0" w:type="dxa"/>
            </w:tcMar>
            <w:vAlign w:val="center"/>
          </w:tcPr>
          <w:p>
            <w:pPr>
              <w:pStyle w:val="TableContents"/>
              <w:bidi w:val="0"/>
              <w:spacing w:before="0" w:after="283"/>
              <w:jc w:val="left"/>
              <w:rPr/>
            </w:pPr>
            <w:r>
              <w:rPr/>
              <w:t> </w:t>
            </w:r>
          </w:p>
        </w:tc>
        <w:tc>
          <w:tcPr>
            <w:tcW w:w="785"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80" w:type="dxa"/>
            <w:tcBorders/>
            <w:shd w:fill="EEEEEE" w:val="clear"/>
            <w:tcMar>
              <w:bottom w:w="0" w:type="dxa"/>
            </w:tcMar>
            <w:vAlign w:val="center"/>
          </w:tcPr>
          <w:p>
            <w:pPr>
              <w:pStyle w:val="TableContents"/>
              <w:bidi w:val="0"/>
              <w:spacing w:before="0" w:after="283"/>
              <w:jc w:val="center"/>
              <w:rPr/>
            </w:pPr>
            <w:r>
              <w:rPr/>
              <w:t>2021</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6" w:type="dxa"/>
            <w:tcBorders/>
            <w:shd w:fill="EEEEEE" w:val="clear"/>
            <w:tcMar>
              <w:bottom w:w="0" w:type="dxa"/>
            </w:tcMar>
            <w:vAlign w:val="center"/>
          </w:tcPr>
          <w:p>
            <w:pPr>
              <w:pStyle w:val="TableContents"/>
              <w:bidi w:val="0"/>
              <w:spacing w:before="0" w:after="283"/>
              <w:jc w:val="left"/>
              <w:rPr/>
            </w:pPr>
            <w:r>
              <w:rPr/>
              <w:t> </w:t>
            </w:r>
          </w:p>
        </w:tc>
        <w:tc>
          <w:tcPr>
            <w:tcW w:w="1149" w:type="dxa"/>
            <w:tcBorders/>
            <w:shd w:fill="EEEEEE" w:val="clear"/>
            <w:tcMar>
              <w:bottom w:w="0" w:type="dxa"/>
            </w:tcMar>
            <w:vAlign w:val="center"/>
          </w:tcPr>
          <w:p>
            <w:pPr>
              <w:pStyle w:val="TableContents"/>
              <w:bidi w:val="0"/>
              <w:spacing w:before="0" w:after="283"/>
              <w:jc w:val="right"/>
              <w:rPr/>
            </w:pPr>
            <w:r>
              <w:rPr/>
              <w:t>47,029</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3" w:type="dxa"/>
            <w:tcBorders/>
            <w:shd w:fill="EEEEEE" w:val="clear"/>
            <w:tcMar>
              <w:bottom w:w="0" w:type="dxa"/>
            </w:tcMar>
            <w:vAlign w:val="center"/>
          </w:tcPr>
          <w:p>
            <w:pPr>
              <w:pStyle w:val="TableContents"/>
              <w:bidi w:val="0"/>
              <w:spacing w:before="0" w:after="283"/>
              <w:jc w:val="left"/>
              <w:rPr/>
            </w:pPr>
            <w:r>
              <w:rPr/>
              <w:t> </w:t>
            </w:r>
          </w:p>
        </w:tc>
        <w:tc>
          <w:tcPr>
            <w:tcW w:w="942" w:type="dxa"/>
            <w:tcBorders/>
            <w:shd w:fill="EEEEEE" w:val="clear"/>
            <w:tcMar>
              <w:bottom w:w="0" w:type="dxa"/>
            </w:tcMar>
            <w:vAlign w:val="center"/>
          </w:tcPr>
          <w:p>
            <w:pPr>
              <w:pStyle w:val="TableContents"/>
              <w:bidi w:val="0"/>
              <w:spacing w:before="0" w:after="283"/>
              <w:jc w:val="right"/>
              <w:rPr/>
            </w:pPr>
            <w:r>
              <w:rPr/>
              <w:t>37,085</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23" w:type="dxa"/>
            <w:tcBorders/>
            <w:shd w:fill="EEEEEE" w:val="clear"/>
            <w:tcMar>
              <w:bottom w:w="0" w:type="dxa"/>
            </w:tcMar>
            <w:vAlign w:val="center"/>
          </w:tcPr>
          <w:p>
            <w:pPr>
              <w:pStyle w:val="TableContents"/>
              <w:bidi w:val="0"/>
              <w:spacing w:before="0" w:after="283"/>
              <w:jc w:val="left"/>
              <w:rPr/>
            </w:pPr>
            <w:r>
              <w:rPr/>
              <w:t> </w:t>
            </w:r>
          </w:p>
        </w:tc>
        <w:tc>
          <w:tcPr>
            <w:tcW w:w="902" w:type="dxa"/>
            <w:tcBorders/>
            <w:shd w:fill="EEEEEE" w:val="clear"/>
            <w:tcMar>
              <w:bottom w:w="0" w:type="dxa"/>
            </w:tcMar>
            <w:vAlign w:val="center"/>
          </w:tcPr>
          <w:p>
            <w:pPr>
              <w:pStyle w:val="TableContents"/>
              <w:bidi w:val="0"/>
              <w:spacing w:before="0" w:after="283"/>
              <w:jc w:val="right"/>
              <w:rPr/>
            </w:pPr>
            <w:r>
              <w:rPr/>
              <w:t>78.9</w:t>
            </w:r>
          </w:p>
        </w:tc>
        <w:tc>
          <w:tcPr>
            <w:tcW w:w="215" w:type="dxa"/>
            <w:tcBorders/>
            <w:shd w:fill="EEEEEE" w:val="clear"/>
            <w:tcMar>
              <w:bottom w:w="0" w:type="dxa"/>
            </w:tcMar>
            <w:vAlign w:val="center"/>
          </w:tcPr>
          <w:p>
            <w:pPr>
              <w:pStyle w:val="TableContents"/>
              <w:bidi w:val="0"/>
              <w:spacing w:before="0" w:after="283"/>
              <w:jc w:val="lef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78" w:type="dxa"/>
            <w:tcBorders/>
            <w:shd w:fill="EEEEEE" w:val="clear"/>
            <w:tcMar>
              <w:bottom w:w="0" w:type="dxa"/>
            </w:tcMar>
            <w:vAlign w:val="center"/>
          </w:tcPr>
          <w:p>
            <w:pPr>
              <w:pStyle w:val="TableContents"/>
              <w:bidi w:val="0"/>
              <w:spacing w:before="0" w:after="283"/>
              <w:jc w:val="left"/>
              <w:rPr/>
            </w:pPr>
            <w:r>
              <w:rPr/>
              <w:t> </w:t>
            </w:r>
          </w:p>
        </w:tc>
        <w:tc>
          <w:tcPr>
            <w:tcW w:w="887" w:type="dxa"/>
            <w:tcBorders/>
            <w:shd w:fill="EEEEEE" w:val="clear"/>
            <w:tcMar>
              <w:bottom w:w="0" w:type="dxa"/>
            </w:tcMar>
            <w:vAlign w:val="center"/>
          </w:tcPr>
          <w:p>
            <w:pPr>
              <w:pStyle w:val="TableContents"/>
              <w:bidi w:val="0"/>
              <w:spacing w:before="0" w:after="283"/>
              <w:jc w:val="right"/>
              <w:rPr/>
            </w:pPr>
            <w:r>
              <w:rPr/>
              <w:t>7,691</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30" w:type="dxa"/>
            <w:tcBorders/>
            <w:shd w:fill="EEEEEE" w:val="clear"/>
            <w:tcMar>
              <w:bottom w:w="0" w:type="dxa"/>
            </w:tcMar>
            <w:vAlign w:val="center"/>
          </w:tcPr>
          <w:p>
            <w:pPr>
              <w:pStyle w:val="TableContents"/>
              <w:bidi w:val="0"/>
              <w:spacing w:before="0" w:after="283"/>
              <w:jc w:val="left"/>
              <w:rPr/>
            </w:pPr>
            <w:r>
              <w:rPr/>
              <w:t> </w:t>
            </w:r>
          </w:p>
        </w:tc>
        <w:tc>
          <w:tcPr>
            <w:tcW w:w="955" w:type="dxa"/>
            <w:tcBorders/>
            <w:shd w:fill="EEEEEE" w:val="clear"/>
            <w:tcMar>
              <w:bottom w:w="0" w:type="dxa"/>
            </w:tcMar>
            <w:vAlign w:val="center"/>
          </w:tcPr>
          <w:p>
            <w:pPr>
              <w:pStyle w:val="TableContents"/>
              <w:bidi w:val="0"/>
              <w:spacing w:before="0" w:after="283"/>
              <w:jc w:val="right"/>
              <w:rPr/>
            </w:pPr>
            <w:r>
              <w:rPr/>
              <w:t>16.4</w:t>
            </w:r>
          </w:p>
        </w:tc>
        <w:tc>
          <w:tcPr>
            <w:tcW w:w="215" w:type="dxa"/>
            <w:tcBorders/>
            <w:shd w:fill="EEEEEE" w:val="clear"/>
            <w:tcMar>
              <w:bottom w:w="0" w:type="dxa"/>
            </w:tcMar>
            <w:vAlign w:val="center"/>
          </w:tcPr>
          <w:p>
            <w:pPr>
              <w:pStyle w:val="TableContents"/>
              <w:bidi w:val="0"/>
              <w:spacing w:before="0" w:after="283"/>
              <w:jc w:val="lef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93" w:type="dxa"/>
            <w:tcBorders/>
            <w:shd w:fill="EEEEEE" w:val="clear"/>
            <w:tcMar>
              <w:bottom w:w="0" w:type="dxa"/>
            </w:tcMar>
            <w:vAlign w:val="center"/>
          </w:tcPr>
          <w:p>
            <w:pPr>
              <w:pStyle w:val="TableContents"/>
              <w:bidi w:val="0"/>
              <w:spacing w:before="0" w:after="283"/>
              <w:jc w:val="left"/>
              <w:rPr/>
            </w:pPr>
            <w:r>
              <w:rPr/>
              <w:t> </w:t>
            </w:r>
          </w:p>
        </w:tc>
        <w:tc>
          <w:tcPr>
            <w:tcW w:w="872" w:type="dxa"/>
            <w:tcBorders/>
            <w:shd w:fill="EEEEEE" w:val="clear"/>
            <w:tcMar>
              <w:bottom w:w="0" w:type="dxa"/>
            </w:tcMar>
            <w:vAlign w:val="center"/>
          </w:tcPr>
          <w:p>
            <w:pPr>
              <w:pStyle w:val="TableContents"/>
              <w:bidi w:val="0"/>
              <w:spacing w:before="0" w:after="283"/>
              <w:jc w:val="right"/>
              <w:rPr/>
            </w:pPr>
            <w:r>
              <w:rPr/>
              <w:t>1,236</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71" w:type="dxa"/>
            <w:tcBorders/>
            <w:shd w:fill="EEEEEE" w:val="clear"/>
            <w:tcMar>
              <w:bottom w:w="0" w:type="dxa"/>
            </w:tcMar>
            <w:vAlign w:val="center"/>
          </w:tcPr>
          <w:p>
            <w:pPr>
              <w:pStyle w:val="TableContents"/>
              <w:bidi w:val="0"/>
              <w:spacing w:before="0" w:after="283"/>
              <w:jc w:val="left"/>
              <w:rPr/>
            </w:pPr>
            <w:r>
              <w:rPr/>
              <w:t> </w:t>
            </w:r>
          </w:p>
        </w:tc>
        <w:tc>
          <w:tcPr>
            <w:tcW w:w="914" w:type="dxa"/>
            <w:tcBorders/>
            <w:shd w:fill="EEEEEE" w:val="clear"/>
            <w:tcMar>
              <w:bottom w:w="0" w:type="dxa"/>
            </w:tcMar>
            <w:vAlign w:val="center"/>
          </w:tcPr>
          <w:p>
            <w:pPr>
              <w:pStyle w:val="TableContents"/>
              <w:bidi w:val="0"/>
              <w:spacing w:before="0" w:after="283"/>
              <w:jc w:val="right"/>
              <w:rPr/>
            </w:pPr>
            <w:r>
              <w:rPr/>
              <w:t>2.6</w:t>
            </w:r>
          </w:p>
        </w:tc>
        <w:tc>
          <w:tcPr>
            <w:tcW w:w="215" w:type="dxa"/>
            <w:tcBorders/>
            <w:shd w:fill="EEEEEE" w:val="clear"/>
            <w:tcMar>
              <w:bottom w:w="0" w:type="dxa"/>
            </w:tcMar>
            <w:vAlign w:val="center"/>
          </w:tcPr>
          <w:p>
            <w:pPr>
              <w:pStyle w:val="TableContents"/>
              <w:bidi w:val="0"/>
              <w:spacing w:before="0" w:after="283"/>
              <w:jc w:val="lef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180" w:type="dxa"/>
            <w:tcBorders/>
            <w:shd w:fill="EEEEEE" w:val="clear"/>
            <w:tcMar>
              <w:bottom w:w="0" w:type="dxa"/>
            </w:tcMar>
            <w:vAlign w:val="center"/>
          </w:tcPr>
          <w:p>
            <w:pPr>
              <w:pStyle w:val="TableContents"/>
              <w:bidi w:val="0"/>
              <w:spacing w:before="0" w:after="283"/>
              <w:jc w:val="left"/>
              <w:rPr/>
            </w:pPr>
            <w:r>
              <w:rPr/>
              <w:t> </w:t>
            </w:r>
          </w:p>
        </w:tc>
        <w:tc>
          <w:tcPr>
            <w:tcW w:w="785" w:type="dxa"/>
            <w:tcBorders/>
            <w:shd w:fill="EEEEEE" w:val="clear"/>
            <w:tcMar>
              <w:bottom w:w="0" w:type="dxa"/>
            </w:tcMar>
            <w:vAlign w:val="center"/>
          </w:tcPr>
          <w:p>
            <w:pPr>
              <w:pStyle w:val="TableContents"/>
              <w:bidi w:val="0"/>
              <w:spacing w:before="0" w:after="283"/>
              <w:jc w:val="right"/>
              <w:rPr/>
            </w:pPr>
            <w:r>
              <w:rPr/>
              <w:t>14</w:t>
            </w:r>
          </w:p>
        </w:tc>
        <w:tc>
          <w:tcPr>
            <w:tcW w:w="75" w:type="dxa"/>
            <w:tcBorders/>
            <w:shd w:fill="EEEEEE" w:val="clear"/>
            <w:tcMar>
              <w:bottom w:w="0" w:type="dxa"/>
            </w:tcMar>
            <w:vAlign w:val="center"/>
          </w:tcPr>
          <w:p>
            <w:pPr>
              <w:pStyle w:val="TableContents"/>
              <w:bidi w:val="0"/>
              <w:spacing w:before="0" w:after="283"/>
              <w:jc w:val="left"/>
              <w:rPr/>
            </w:pPr>
            <w:r>
              <w:rPr/>
              <w:t> </w:t>
            </w:r>
          </w:p>
        </w:tc>
      </w:tr>
      <w:tr>
        <w:trPr/>
        <w:tc>
          <w:tcPr>
            <w:tcW w:w="98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14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94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902"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88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955"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87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 w:type="dxa"/>
            <w:tcBorders/>
            <w:shd w:fill="FFFFFF" w:val="clear"/>
            <w:tcMar>
              <w:bottom w:w="0" w:type="dxa"/>
            </w:tcMar>
            <w:vAlign w:val="center"/>
          </w:tcPr>
          <w:p>
            <w:pPr>
              <w:pStyle w:val="TableContents"/>
              <w:bidi w:val="0"/>
              <w:spacing w:before="0" w:after="283"/>
              <w:jc w:val="left"/>
              <w:rPr/>
            </w:pPr>
            <w:r>
              <w:rPr/>
              <w:t> </w:t>
            </w:r>
          </w:p>
        </w:tc>
        <w:tc>
          <w:tcPr>
            <w:tcW w:w="785"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80" w:type="dxa"/>
            <w:tcBorders/>
            <w:shd w:fill="EEEEEE" w:val="clear"/>
            <w:tcMar>
              <w:bottom w:w="0" w:type="dxa"/>
            </w:tcMar>
            <w:vAlign w:val="center"/>
          </w:tcPr>
          <w:p>
            <w:pPr>
              <w:pStyle w:val="TableContents"/>
              <w:bidi w:val="0"/>
              <w:spacing w:before="0" w:after="283"/>
              <w:jc w:val="center"/>
              <w:rPr/>
            </w:pPr>
            <w:r>
              <w:rPr/>
              <w:t>2022</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6" w:type="dxa"/>
            <w:tcBorders/>
            <w:shd w:fill="EEEEEE" w:val="clear"/>
            <w:tcMar>
              <w:bottom w:w="0" w:type="dxa"/>
            </w:tcMar>
            <w:vAlign w:val="center"/>
          </w:tcPr>
          <w:p>
            <w:pPr>
              <w:pStyle w:val="TableContents"/>
              <w:bidi w:val="0"/>
              <w:spacing w:before="0" w:after="283"/>
              <w:jc w:val="left"/>
              <w:rPr/>
            </w:pPr>
            <w:r>
              <w:rPr/>
              <w:t> </w:t>
            </w:r>
          </w:p>
        </w:tc>
        <w:tc>
          <w:tcPr>
            <w:tcW w:w="1149" w:type="dxa"/>
            <w:tcBorders/>
            <w:shd w:fill="EEEEEE" w:val="clear"/>
            <w:tcMar>
              <w:bottom w:w="0" w:type="dxa"/>
            </w:tcMar>
            <w:vAlign w:val="center"/>
          </w:tcPr>
          <w:p>
            <w:pPr>
              <w:pStyle w:val="TableContents"/>
              <w:bidi w:val="0"/>
              <w:spacing w:before="0" w:after="283"/>
              <w:jc w:val="right"/>
              <w:rPr/>
            </w:pPr>
            <w:r>
              <w:rPr/>
              <w:t>56,271</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83" w:type="dxa"/>
            <w:tcBorders/>
            <w:shd w:fill="EEEEEE" w:val="clear"/>
            <w:tcMar>
              <w:bottom w:w="0" w:type="dxa"/>
            </w:tcMar>
            <w:vAlign w:val="center"/>
          </w:tcPr>
          <w:p>
            <w:pPr>
              <w:pStyle w:val="TableContents"/>
              <w:bidi w:val="0"/>
              <w:spacing w:before="0" w:after="283"/>
              <w:jc w:val="left"/>
              <w:rPr/>
            </w:pPr>
            <w:r>
              <w:rPr/>
              <w:t> </w:t>
            </w:r>
          </w:p>
        </w:tc>
        <w:tc>
          <w:tcPr>
            <w:tcW w:w="942" w:type="dxa"/>
            <w:tcBorders/>
            <w:shd w:fill="EEEEEE" w:val="clear"/>
            <w:tcMar>
              <w:bottom w:w="0" w:type="dxa"/>
            </w:tcMar>
            <w:vAlign w:val="center"/>
          </w:tcPr>
          <w:p>
            <w:pPr>
              <w:pStyle w:val="TableContents"/>
              <w:bidi w:val="0"/>
              <w:spacing w:before="0" w:after="283"/>
              <w:jc w:val="right"/>
              <w:rPr/>
            </w:pPr>
            <w:r>
              <w:rPr/>
              <w:t>47,961</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23" w:type="dxa"/>
            <w:tcBorders/>
            <w:shd w:fill="EEEEEE" w:val="clear"/>
            <w:tcMar>
              <w:bottom w:w="0" w:type="dxa"/>
            </w:tcMar>
            <w:vAlign w:val="center"/>
          </w:tcPr>
          <w:p>
            <w:pPr>
              <w:pStyle w:val="TableContents"/>
              <w:bidi w:val="0"/>
              <w:spacing w:before="0" w:after="283"/>
              <w:jc w:val="left"/>
              <w:rPr/>
            </w:pPr>
            <w:r>
              <w:rPr/>
              <w:t> </w:t>
            </w:r>
          </w:p>
        </w:tc>
        <w:tc>
          <w:tcPr>
            <w:tcW w:w="902" w:type="dxa"/>
            <w:tcBorders/>
            <w:shd w:fill="EEEEEE" w:val="clear"/>
            <w:tcMar>
              <w:bottom w:w="0" w:type="dxa"/>
            </w:tcMar>
            <w:vAlign w:val="center"/>
          </w:tcPr>
          <w:p>
            <w:pPr>
              <w:pStyle w:val="TableContents"/>
              <w:bidi w:val="0"/>
              <w:spacing w:before="0" w:after="283"/>
              <w:jc w:val="right"/>
              <w:rPr/>
            </w:pPr>
            <w:r>
              <w:rPr/>
              <w:t>85.2</w:t>
            </w:r>
          </w:p>
        </w:tc>
        <w:tc>
          <w:tcPr>
            <w:tcW w:w="215" w:type="dxa"/>
            <w:tcBorders/>
            <w:shd w:fill="EEEEEE" w:val="clear"/>
            <w:tcMar>
              <w:bottom w:w="0" w:type="dxa"/>
            </w:tcMar>
            <w:vAlign w:val="center"/>
          </w:tcPr>
          <w:p>
            <w:pPr>
              <w:pStyle w:val="TableContents"/>
              <w:bidi w:val="0"/>
              <w:spacing w:before="0" w:after="283"/>
              <w:jc w:val="lef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78" w:type="dxa"/>
            <w:tcBorders/>
            <w:shd w:fill="EEEEEE" w:val="clear"/>
            <w:tcMar>
              <w:bottom w:w="0" w:type="dxa"/>
            </w:tcMar>
            <w:vAlign w:val="center"/>
          </w:tcPr>
          <w:p>
            <w:pPr>
              <w:pStyle w:val="TableContents"/>
              <w:bidi w:val="0"/>
              <w:spacing w:before="0" w:after="283"/>
              <w:jc w:val="left"/>
              <w:rPr/>
            </w:pPr>
            <w:r>
              <w:rPr/>
              <w:t> </w:t>
            </w:r>
          </w:p>
        </w:tc>
        <w:tc>
          <w:tcPr>
            <w:tcW w:w="887" w:type="dxa"/>
            <w:tcBorders/>
            <w:shd w:fill="EEEEEE" w:val="clear"/>
            <w:tcMar>
              <w:bottom w:w="0" w:type="dxa"/>
            </w:tcMar>
            <w:vAlign w:val="center"/>
          </w:tcPr>
          <w:p>
            <w:pPr>
              <w:pStyle w:val="TableContents"/>
              <w:bidi w:val="0"/>
              <w:spacing w:before="0" w:after="283"/>
              <w:jc w:val="right"/>
              <w:rPr/>
            </w:pPr>
            <w:r>
              <w:rPr/>
              <w:t>6,227</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30" w:type="dxa"/>
            <w:tcBorders/>
            <w:shd w:fill="EEEEEE" w:val="clear"/>
            <w:tcMar>
              <w:bottom w:w="0" w:type="dxa"/>
            </w:tcMar>
            <w:vAlign w:val="center"/>
          </w:tcPr>
          <w:p>
            <w:pPr>
              <w:pStyle w:val="TableContents"/>
              <w:bidi w:val="0"/>
              <w:spacing w:before="0" w:after="283"/>
              <w:jc w:val="left"/>
              <w:rPr/>
            </w:pPr>
            <w:r>
              <w:rPr/>
              <w:t> </w:t>
            </w:r>
          </w:p>
        </w:tc>
        <w:tc>
          <w:tcPr>
            <w:tcW w:w="955" w:type="dxa"/>
            <w:tcBorders/>
            <w:shd w:fill="EEEEEE" w:val="clear"/>
            <w:tcMar>
              <w:bottom w:w="0" w:type="dxa"/>
            </w:tcMar>
            <w:vAlign w:val="center"/>
          </w:tcPr>
          <w:p>
            <w:pPr>
              <w:pStyle w:val="TableContents"/>
              <w:bidi w:val="0"/>
              <w:spacing w:before="0" w:after="283"/>
              <w:jc w:val="right"/>
              <w:rPr/>
            </w:pPr>
            <w:r>
              <w:rPr/>
              <w:t>11.1</w:t>
            </w:r>
          </w:p>
        </w:tc>
        <w:tc>
          <w:tcPr>
            <w:tcW w:w="215" w:type="dxa"/>
            <w:tcBorders/>
            <w:shd w:fill="EEEEEE" w:val="clear"/>
            <w:tcMar>
              <w:bottom w:w="0" w:type="dxa"/>
            </w:tcMar>
            <w:vAlign w:val="center"/>
          </w:tcPr>
          <w:p>
            <w:pPr>
              <w:pStyle w:val="TableContents"/>
              <w:bidi w:val="0"/>
              <w:spacing w:before="0" w:after="283"/>
              <w:jc w:val="lef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93" w:type="dxa"/>
            <w:tcBorders/>
            <w:shd w:fill="EEEEEE" w:val="clear"/>
            <w:tcMar>
              <w:bottom w:w="0" w:type="dxa"/>
            </w:tcMar>
            <w:vAlign w:val="center"/>
          </w:tcPr>
          <w:p>
            <w:pPr>
              <w:pStyle w:val="TableContents"/>
              <w:bidi w:val="0"/>
              <w:spacing w:before="0" w:after="283"/>
              <w:jc w:val="left"/>
              <w:rPr/>
            </w:pPr>
            <w:r>
              <w:rPr/>
              <w:t> </w:t>
            </w:r>
          </w:p>
        </w:tc>
        <w:tc>
          <w:tcPr>
            <w:tcW w:w="872" w:type="dxa"/>
            <w:tcBorders/>
            <w:shd w:fill="EEEEEE" w:val="clear"/>
            <w:tcMar>
              <w:bottom w:w="0" w:type="dxa"/>
            </w:tcMar>
            <w:vAlign w:val="center"/>
          </w:tcPr>
          <w:p>
            <w:pPr>
              <w:pStyle w:val="TableContents"/>
              <w:bidi w:val="0"/>
              <w:spacing w:before="0" w:after="283"/>
              <w:jc w:val="right"/>
              <w:rPr/>
            </w:pPr>
            <w:r>
              <w:rPr/>
              <w:t>1,954</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71" w:type="dxa"/>
            <w:tcBorders/>
            <w:shd w:fill="EEEEEE" w:val="clear"/>
            <w:tcMar>
              <w:bottom w:w="0" w:type="dxa"/>
            </w:tcMar>
            <w:vAlign w:val="center"/>
          </w:tcPr>
          <w:p>
            <w:pPr>
              <w:pStyle w:val="TableContents"/>
              <w:bidi w:val="0"/>
              <w:spacing w:before="0" w:after="283"/>
              <w:jc w:val="left"/>
              <w:rPr/>
            </w:pPr>
            <w:r>
              <w:rPr/>
              <w:t> </w:t>
            </w:r>
          </w:p>
        </w:tc>
        <w:tc>
          <w:tcPr>
            <w:tcW w:w="914" w:type="dxa"/>
            <w:tcBorders/>
            <w:shd w:fill="EEEEEE" w:val="clear"/>
            <w:tcMar>
              <w:bottom w:w="0" w:type="dxa"/>
            </w:tcMar>
            <w:vAlign w:val="center"/>
          </w:tcPr>
          <w:p>
            <w:pPr>
              <w:pStyle w:val="TableContents"/>
              <w:bidi w:val="0"/>
              <w:spacing w:before="0" w:after="283"/>
              <w:jc w:val="right"/>
              <w:rPr/>
            </w:pPr>
            <w:r>
              <w:rPr/>
              <w:t>3.5</w:t>
            </w:r>
          </w:p>
        </w:tc>
        <w:tc>
          <w:tcPr>
            <w:tcW w:w="215" w:type="dxa"/>
            <w:tcBorders/>
            <w:shd w:fill="EEEEEE" w:val="clear"/>
            <w:tcMar>
              <w:bottom w:w="0" w:type="dxa"/>
            </w:tcMar>
            <w:vAlign w:val="center"/>
          </w:tcPr>
          <w:p>
            <w:pPr>
              <w:pStyle w:val="TableContents"/>
              <w:bidi w:val="0"/>
              <w:spacing w:before="0" w:after="283"/>
              <w:jc w:val="lef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180" w:type="dxa"/>
            <w:tcBorders/>
            <w:shd w:fill="EEEEEE" w:val="clear"/>
            <w:tcMar>
              <w:bottom w:w="0" w:type="dxa"/>
            </w:tcMar>
            <w:vAlign w:val="center"/>
          </w:tcPr>
          <w:p>
            <w:pPr>
              <w:pStyle w:val="TableContents"/>
              <w:bidi w:val="0"/>
              <w:spacing w:before="0" w:after="283"/>
              <w:jc w:val="left"/>
              <w:rPr/>
            </w:pPr>
            <w:r>
              <w:rPr/>
              <w:t> </w:t>
            </w:r>
          </w:p>
        </w:tc>
        <w:tc>
          <w:tcPr>
            <w:tcW w:w="785" w:type="dxa"/>
            <w:tcBorders/>
            <w:shd w:fill="EEEEEE" w:val="clear"/>
            <w:tcMar>
              <w:bottom w:w="0" w:type="dxa"/>
            </w:tcMar>
            <w:vAlign w:val="center"/>
          </w:tcPr>
          <w:p>
            <w:pPr>
              <w:pStyle w:val="TableContents"/>
              <w:bidi w:val="0"/>
              <w:spacing w:before="0" w:after="283"/>
              <w:jc w:val="right"/>
              <w:rPr/>
            </w:pPr>
            <w:r>
              <w:rPr/>
              <w:t>9</w:t>
            </w:r>
          </w:p>
        </w:tc>
        <w:tc>
          <w:tcPr>
            <w:tcW w:w="75" w:type="dxa"/>
            <w:tcBorders/>
            <w:shd w:fill="EEEEEE"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sz w:val="20"/>
        </w:rPr>
      </w:pPr>
      <w:r>
        <w:rPr>
          <w:sz w:val="20"/>
        </w:rPr>
        <w:t>______________________</w:t>
      </w:r>
    </w:p>
    <w:p>
      <w:pPr>
        <w:pStyle w:val="TextBody"/>
        <w:bidi w:val="0"/>
        <w:spacing w:before="0" w:after="0"/>
        <w:ind w:left="0" w:right="0" w:hanging="0"/>
        <w:jc w:val="both"/>
        <w:rPr>
          <w:rFonts w:ascii="Times New Roman;Times;Serif" w:hAnsi="Times New Roman;Times;Serif"/>
          <w:b w:val="false"/>
          <w:i/>
          <w:caps w:val="false"/>
          <w:smallCaps w:val="false"/>
          <w:sz w:val="18"/>
        </w:rPr>
      </w:pPr>
      <w:r>
        <w:rPr>
          <w:rFonts w:ascii="Times New Roman;Times;Serif" w:hAnsi="Times New Roman;Times;Serif"/>
          <w:b w:val="false"/>
          <w:i/>
          <w:caps w:val="false"/>
          <w:smallCaps w:val="false"/>
          <w:sz w:val="18"/>
        </w:rPr>
        <w:t>Note: Table excludes extensions on portfolios serviced for third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view these results as a confirmation of the effectiveness of our extension program. For example, of the accounts granted extensions in 2019, 69.1% were either paid in full or active and performing as of September 30, 2023. Each of these successful accounts represent continued payments of interest and principal (including payment in full in many cases), where without the extension we likely would have incurred a substantial loss and no interest revenue after the extension.</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extension accounts that ultimately charge off, we consider any that charged off more than six months after the extension to be at least partially successful. For example, of the accounts granted extensions in 2012 that subsequently charged off, such charge offs occurred, on average, 18 months after the extension, indicating that even in the cases of an ultimate loss, the obligor serviced the account with additional payments of principal and interest.</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8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about our extensions is provided in the tables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06"/>
        <w:gridCol w:w="60"/>
        <w:gridCol w:w="149"/>
        <w:gridCol w:w="2005"/>
        <w:gridCol w:w="215"/>
        <w:gridCol w:w="60"/>
        <w:gridCol w:w="149"/>
        <w:gridCol w:w="2005"/>
        <w:gridCol w:w="215"/>
        <w:gridCol w:w="60"/>
        <w:gridCol w:w="121"/>
        <w:gridCol w:w="1626"/>
        <w:gridCol w:w="234"/>
      </w:tblGrid>
      <w:tr>
        <w:trPr/>
        <w:tc>
          <w:tcPr>
            <w:tcW w:w="33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4" w:type="dxa"/>
            <w:gridSpan w:val="2"/>
            <w:tcBorders>
              <w:bottom w:val="single" w:sz="8" w:space="0" w:color="000000"/>
            </w:tcBorders>
            <w:tcMar>
              <w:bottom w:w="28" w:type="dxa"/>
            </w:tcMar>
            <w:vAlign w:val="center"/>
          </w:tcPr>
          <w:p>
            <w:pPr>
              <w:pStyle w:val="TableContents"/>
              <w:bidi w:val="0"/>
              <w:spacing w:before="0" w:after="283"/>
              <w:jc w:val="center"/>
              <w:rPr/>
            </w:pPr>
            <w:r>
              <w:rPr/>
              <w:t>Nine Months Ended September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4" w:type="dxa"/>
            <w:gridSpan w:val="2"/>
            <w:tcBorders>
              <w:bottom w:val="single" w:sz="8" w:space="0" w:color="000000"/>
            </w:tcBorders>
            <w:tcMar>
              <w:bottom w:w="28" w:type="dxa"/>
            </w:tcMar>
            <w:vAlign w:val="center"/>
          </w:tcPr>
          <w:p>
            <w:pPr>
              <w:pStyle w:val="TableContents"/>
              <w:bidi w:val="0"/>
              <w:spacing w:before="0" w:after="283"/>
              <w:jc w:val="center"/>
              <w:rPr/>
            </w:pPr>
            <w:r>
              <w:rPr/>
              <w:t>Nine Months Ended September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7" w:type="dxa"/>
            <w:gridSpan w:val="2"/>
            <w:tcBorders>
              <w:bottom w:val="single" w:sz="8" w:space="0" w:color="000000"/>
            </w:tcBorders>
            <w:tcMar>
              <w:bottom w:w="28" w:type="dxa"/>
            </w:tcMar>
            <w:vAlign w:val="center"/>
          </w:tcPr>
          <w:p>
            <w:pPr>
              <w:pStyle w:val="TableContents"/>
              <w:bidi w:val="0"/>
              <w:spacing w:before="0" w:after="283"/>
              <w:jc w:val="center"/>
              <w:rPr/>
            </w:pPr>
            <w:r>
              <w:rPr/>
              <w:t>Year Ended December 31,</w:t>
            </w:r>
          </w:p>
        </w:tc>
        <w:tc>
          <w:tcPr>
            <w:tcW w:w="234" w:type="dxa"/>
            <w:tcBorders/>
            <w:vAlign w:val="center"/>
          </w:tcPr>
          <w:p>
            <w:pPr>
              <w:pStyle w:val="TableContents"/>
              <w:bidi w:val="0"/>
              <w:spacing w:before="0" w:after="283"/>
              <w:jc w:val="left"/>
              <w:rPr/>
            </w:pPr>
            <w:r>
              <w:rPr/>
              <w:t> </w:t>
            </w:r>
          </w:p>
        </w:tc>
      </w:tr>
      <w:tr>
        <w:trPr/>
        <w:tc>
          <w:tcPr>
            <w:tcW w:w="33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4"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4" w:type="dxa"/>
            <w:gridSpan w:val="2"/>
            <w:tcBorders>
              <w:bottom w:val="single" w:sz="8" w:space="0" w:color="000000"/>
            </w:tcBorders>
            <w:tcMar>
              <w:bottom w:w="28" w:type="dxa"/>
            </w:tcMar>
            <w:vAlign w:val="center"/>
          </w:tcPr>
          <w:p>
            <w:pPr>
              <w:pStyle w:val="TableContents"/>
              <w:bidi w:val="0"/>
              <w:spacing w:before="0" w:after="283"/>
              <w:jc w:val="center"/>
              <w:rPr/>
            </w:pPr>
            <w:r>
              <w:rPr/>
              <w:t>2022</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7" w:type="dxa"/>
            <w:gridSpan w:val="2"/>
            <w:tcBorders>
              <w:bottom w:val="single" w:sz="8" w:space="0" w:color="000000"/>
            </w:tcBorders>
            <w:tcMar>
              <w:bottom w:w="28" w:type="dxa"/>
            </w:tcMar>
            <w:vAlign w:val="center"/>
          </w:tcPr>
          <w:p>
            <w:pPr>
              <w:pStyle w:val="TableContents"/>
              <w:bidi w:val="0"/>
              <w:spacing w:before="0" w:after="283"/>
              <w:jc w:val="center"/>
              <w:rPr/>
            </w:pPr>
            <w:r>
              <w:rPr/>
              <w:t>2022</w:t>
            </w:r>
          </w:p>
        </w:tc>
        <w:tc>
          <w:tcPr>
            <w:tcW w:w="234" w:type="dxa"/>
            <w:tcBorders/>
            <w:vAlign w:val="center"/>
          </w:tcPr>
          <w:p>
            <w:pPr>
              <w:pStyle w:val="TableContents"/>
              <w:bidi w:val="0"/>
              <w:spacing w:before="0" w:after="283"/>
              <w:jc w:val="left"/>
              <w:rPr/>
            </w:pPr>
            <w:r>
              <w:rPr/>
              <w:t> </w:t>
            </w:r>
          </w:p>
        </w:tc>
      </w:tr>
      <w:tr>
        <w:trPr/>
        <w:tc>
          <w:tcPr>
            <w:tcW w:w="33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4"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4"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7" w:type="dxa"/>
            <w:gridSpan w:val="2"/>
            <w:tcBorders/>
            <w:vAlign w:val="center"/>
          </w:tcPr>
          <w:p>
            <w:pPr>
              <w:pStyle w:val="TableContents"/>
              <w:bidi w:val="0"/>
              <w:spacing w:before="0" w:after="283"/>
              <w:jc w:val="center"/>
              <w:rPr/>
            </w:pPr>
            <w:r>
              <w:rPr/>
              <w:t> </w:t>
            </w:r>
          </w:p>
        </w:tc>
        <w:tc>
          <w:tcPr>
            <w:tcW w:w="234" w:type="dxa"/>
            <w:tcBorders/>
            <w:vAlign w:val="center"/>
          </w:tcPr>
          <w:p>
            <w:pPr>
              <w:pStyle w:val="TableContents"/>
              <w:bidi w:val="0"/>
              <w:spacing w:before="0" w:after="283"/>
              <w:jc w:val="left"/>
              <w:rPr/>
            </w:pPr>
            <w:r>
              <w:rPr/>
              <w:t> </w:t>
            </w:r>
          </w:p>
        </w:tc>
      </w:tr>
      <w:tr>
        <w:trPr/>
        <w:tc>
          <w:tcPr>
            <w:tcW w:w="3306" w:type="dxa"/>
            <w:tcBorders/>
            <w:shd w:fill="EEEEEE" w:val="clear"/>
            <w:vAlign w:val="center"/>
          </w:tcPr>
          <w:p>
            <w:pPr>
              <w:pStyle w:val="TableContents"/>
              <w:bidi w:val="0"/>
              <w:spacing w:before="0" w:after="283"/>
              <w:jc w:val="left"/>
              <w:rPr/>
            </w:pPr>
            <w:r>
              <w:rPr/>
              <w:t>Average number of extensions granted per month</w:t>
            </w:r>
          </w:p>
        </w:tc>
        <w:tc>
          <w:tcPr>
            <w:tcW w:w="60" w:type="dxa"/>
            <w:tcBorders/>
            <w:shd w:fill="EEEEEE" w:val="clear"/>
            <w:vAlign w:val="center"/>
          </w:tcPr>
          <w:p>
            <w:pPr>
              <w:pStyle w:val="TableContents"/>
              <w:bidi w:val="0"/>
              <w:spacing w:before="0" w:after="283"/>
              <w:jc w:val="left"/>
              <w:rPr/>
            </w:pPr>
            <w:r>
              <w:rPr/>
              <w:t> </w:t>
            </w:r>
          </w:p>
        </w:tc>
        <w:tc>
          <w:tcPr>
            <w:tcW w:w="149" w:type="dxa"/>
            <w:tcBorders/>
            <w:shd w:fill="EEEEEE" w:val="clear"/>
            <w:vAlign w:val="center"/>
          </w:tcPr>
          <w:p>
            <w:pPr>
              <w:pStyle w:val="TableContents"/>
              <w:bidi w:val="0"/>
              <w:spacing w:before="0" w:after="283"/>
              <w:jc w:val="left"/>
              <w:rPr/>
            </w:pPr>
            <w:r>
              <w:rPr/>
              <w:t> </w:t>
            </w:r>
          </w:p>
        </w:tc>
        <w:tc>
          <w:tcPr>
            <w:tcW w:w="2005" w:type="dxa"/>
            <w:tcBorders/>
            <w:shd w:fill="EEEEEE" w:val="clear"/>
            <w:vAlign w:val="center"/>
          </w:tcPr>
          <w:p>
            <w:pPr>
              <w:pStyle w:val="TableContents"/>
              <w:bidi w:val="0"/>
              <w:spacing w:before="0" w:after="283"/>
              <w:jc w:val="right"/>
              <w:rPr/>
            </w:pPr>
            <w:r>
              <w:rPr/>
              <w:t>6,649</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9" w:type="dxa"/>
            <w:tcBorders/>
            <w:shd w:fill="EEEEEE" w:val="clear"/>
            <w:vAlign w:val="center"/>
          </w:tcPr>
          <w:p>
            <w:pPr>
              <w:pStyle w:val="TableContents"/>
              <w:bidi w:val="0"/>
              <w:spacing w:before="0" w:after="283"/>
              <w:jc w:val="left"/>
              <w:rPr/>
            </w:pPr>
            <w:r>
              <w:rPr/>
              <w:t> </w:t>
            </w:r>
          </w:p>
        </w:tc>
        <w:tc>
          <w:tcPr>
            <w:tcW w:w="2005" w:type="dxa"/>
            <w:tcBorders/>
            <w:shd w:fill="EEEEEE" w:val="clear"/>
            <w:vAlign w:val="center"/>
          </w:tcPr>
          <w:p>
            <w:pPr>
              <w:pStyle w:val="TableContents"/>
              <w:bidi w:val="0"/>
              <w:spacing w:before="0" w:after="283"/>
              <w:jc w:val="right"/>
              <w:rPr/>
            </w:pPr>
            <w:r>
              <w:rPr/>
              <w:t>4,433</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1" w:type="dxa"/>
            <w:tcBorders/>
            <w:shd w:fill="EEEEEE" w:val="clear"/>
            <w:vAlign w:val="center"/>
          </w:tcPr>
          <w:p>
            <w:pPr>
              <w:pStyle w:val="TableContents"/>
              <w:bidi w:val="0"/>
              <w:spacing w:before="0" w:after="283"/>
              <w:jc w:val="left"/>
              <w:rPr/>
            </w:pPr>
            <w:r>
              <w:rPr/>
              <w:t> </w:t>
            </w:r>
          </w:p>
        </w:tc>
        <w:tc>
          <w:tcPr>
            <w:tcW w:w="1626" w:type="dxa"/>
            <w:tcBorders/>
            <w:shd w:fill="EEEEEE" w:val="clear"/>
            <w:vAlign w:val="center"/>
          </w:tcPr>
          <w:p>
            <w:pPr>
              <w:pStyle w:val="TableContents"/>
              <w:bidi w:val="0"/>
              <w:spacing w:before="0" w:after="283"/>
              <w:jc w:val="right"/>
              <w:rPr/>
            </w:pPr>
            <w:r>
              <w:rPr/>
              <w:t>4,869</w:t>
            </w:r>
          </w:p>
        </w:tc>
        <w:tc>
          <w:tcPr>
            <w:tcW w:w="234" w:type="dxa"/>
            <w:tcBorders/>
            <w:shd w:fill="EEEEEE" w:val="clear"/>
            <w:vAlign w:val="center"/>
          </w:tcPr>
          <w:p>
            <w:pPr>
              <w:pStyle w:val="TableContents"/>
              <w:bidi w:val="0"/>
              <w:spacing w:before="0" w:after="283"/>
              <w:jc w:val="left"/>
              <w:rPr/>
            </w:pPr>
            <w:r>
              <w:rPr/>
              <w:t> </w:t>
            </w:r>
          </w:p>
        </w:tc>
      </w:tr>
      <w:tr>
        <w:trPr/>
        <w:tc>
          <w:tcPr>
            <w:tcW w:w="33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00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00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26"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pPr>
            <w:r>
              <w:rPr/>
              <w:t> </w:t>
            </w:r>
          </w:p>
        </w:tc>
      </w:tr>
      <w:tr>
        <w:trPr/>
        <w:tc>
          <w:tcPr>
            <w:tcW w:w="3306" w:type="dxa"/>
            <w:tcBorders/>
            <w:shd w:fill="EEEEEE" w:val="clear"/>
            <w:vAlign w:val="center"/>
          </w:tcPr>
          <w:p>
            <w:pPr>
              <w:pStyle w:val="TableContents"/>
              <w:bidi w:val="0"/>
              <w:spacing w:before="0" w:after="283"/>
              <w:jc w:val="left"/>
              <w:rPr/>
            </w:pPr>
            <w:r>
              <w:rPr/>
              <w:t>Average number of outstanding accounts</w:t>
            </w:r>
          </w:p>
        </w:tc>
        <w:tc>
          <w:tcPr>
            <w:tcW w:w="60" w:type="dxa"/>
            <w:tcBorders/>
            <w:shd w:fill="EEEEEE" w:val="clear"/>
            <w:vAlign w:val="center"/>
          </w:tcPr>
          <w:p>
            <w:pPr>
              <w:pStyle w:val="TableContents"/>
              <w:bidi w:val="0"/>
              <w:spacing w:before="0" w:after="283"/>
              <w:jc w:val="left"/>
              <w:rPr/>
            </w:pPr>
            <w:r>
              <w:rPr/>
              <w:t> </w:t>
            </w:r>
          </w:p>
        </w:tc>
        <w:tc>
          <w:tcPr>
            <w:tcW w:w="149" w:type="dxa"/>
            <w:tcBorders/>
            <w:shd w:fill="EEEEEE" w:val="clear"/>
            <w:vAlign w:val="center"/>
          </w:tcPr>
          <w:p>
            <w:pPr>
              <w:pStyle w:val="TableContents"/>
              <w:bidi w:val="0"/>
              <w:spacing w:before="0" w:after="283"/>
              <w:jc w:val="left"/>
              <w:rPr/>
            </w:pPr>
            <w:r>
              <w:rPr/>
              <w:t> </w:t>
            </w:r>
          </w:p>
        </w:tc>
        <w:tc>
          <w:tcPr>
            <w:tcW w:w="2005" w:type="dxa"/>
            <w:tcBorders/>
            <w:shd w:fill="EEEEEE" w:val="clear"/>
            <w:vAlign w:val="center"/>
          </w:tcPr>
          <w:p>
            <w:pPr>
              <w:pStyle w:val="TableContents"/>
              <w:bidi w:val="0"/>
              <w:spacing w:before="0" w:after="283"/>
              <w:jc w:val="right"/>
              <w:rPr/>
            </w:pPr>
            <w:r>
              <w:rPr/>
              <w:t>175,734</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9" w:type="dxa"/>
            <w:tcBorders/>
            <w:shd w:fill="EEEEEE" w:val="clear"/>
            <w:vAlign w:val="center"/>
          </w:tcPr>
          <w:p>
            <w:pPr>
              <w:pStyle w:val="TableContents"/>
              <w:bidi w:val="0"/>
              <w:spacing w:before="0" w:after="283"/>
              <w:jc w:val="left"/>
              <w:rPr/>
            </w:pPr>
            <w:r>
              <w:rPr/>
              <w:t> </w:t>
            </w:r>
          </w:p>
        </w:tc>
        <w:tc>
          <w:tcPr>
            <w:tcW w:w="2005" w:type="dxa"/>
            <w:tcBorders/>
            <w:shd w:fill="EEEEEE" w:val="clear"/>
            <w:vAlign w:val="center"/>
          </w:tcPr>
          <w:p>
            <w:pPr>
              <w:pStyle w:val="TableContents"/>
              <w:bidi w:val="0"/>
              <w:spacing w:before="0" w:after="283"/>
              <w:jc w:val="right"/>
              <w:rPr/>
            </w:pPr>
            <w:r>
              <w:rPr/>
              <w:t>159,910</w:t>
            </w:r>
          </w:p>
        </w:tc>
        <w:tc>
          <w:tcPr>
            <w:tcW w:w="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21" w:type="dxa"/>
            <w:tcBorders/>
            <w:shd w:fill="EEEEEE" w:val="clear"/>
            <w:vAlign w:val="center"/>
          </w:tcPr>
          <w:p>
            <w:pPr>
              <w:pStyle w:val="TableContents"/>
              <w:bidi w:val="0"/>
              <w:spacing w:before="0" w:after="283"/>
              <w:jc w:val="left"/>
              <w:rPr/>
            </w:pPr>
            <w:r>
              <w:rPr/>
              <w:t> </w:t>
            </w:r>
          </w:p>
        </w:tc>
        <w:tc>
          <w:tcPr>
            <w:tcW w:w="1626" w:type="dxa"/>
            <w:tcBorders/>
            <w:shd w:fill="EEEEEE" w:val="clear"/>
            <w:vAlign w:val="center"/>
          </w:tcPr>
          <w:p>
            <w:pPr>
              <w:pStyle w:val="TableContents"/>
              <w:bidi w:val="0"/>
              <w:spacing w:before="0" w:after="283"/>
              <w:jc w:val="right"/>
              <w:rPr/>
            </w:pPr>
            <w:r>
              <w:rPr/>
              <w:t>162,264</w:t>
            </w:r>
          </w:p>
        </w:tc>
        <w:tc>
          <w:tcPr>
            <w:tcW w:w="234" w:type="dxa"/>
            <w:tcBorders/>
            <w:shd w:fill="EEEEEE" w:val="clear"/>
            <w:vAlign w:val="center"/>
          </w:tcPr>
          <w:p>
            <w:pPr>
              <w:pStyle w:val="TableContents"/>
              <w:bidi w:val="0"/>
              <w:spacing w:before="0" w:after="283"/>
              <w:jc w:val="left"/>
              <w:rPr/>
            </w:pPr>
            <w:r>
              <w:rPr/>
              <w:t> </w:t>
            </w:r>
          </w:p>
        </w:tc>
      </w:tr>
      <w:tr>
        <w:trPr/>
        <w:tc>
          <w:tcPr>
            <w:tcW w:w="33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00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00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26"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pPr>
            <w:r>
              <w:rPr/>
              <w:t> </w:t>
            </w:r>
          </w:p>
        </w:tc>
      </w:tr>
      <w:tr>
        <w:trPr/>
        <w:tc>
          <w:tcPr>
            <w:tcW w:w="3306" w:type="dxa"/>
            <w:tcBorders/>
            <w:shd w:fill="EEEEEE" w:val="clear"/>
            <w:vAlign w:val="center"/>
          </w:tcPr>
          <w:p>
            <w:pPr>
              <w:pStyle w:val="TableContents"/>
              <w:bidi w:val="0"/>
              <w:spacing w:before="0" w:after="283"/>
              <w:jc w:val="left"/>
              <w:rPr/>
            </w:pPr>
            <w:r>
              <w:rPr/>
              <w:t>Average monthly extensions as % of average outstandings</w:t>
            </w:r>
          </w:p>
        </w:tc>
        <w:tc>
          <w:tcPr>
            <w:tcW w:w="60" w:type="dxa"/>
            <w:tcBorders/>
            <w:shd w:fill="EEEEEE" w:val="clear"/>
            <w:vAlign w:val="center"/>
          </w:tcPr>
          <w:p>
            <w:pPr>
              <w:pStyle w:val="TableContents"/>
              <w:bidi w:val="0"/>
              <w:spacing w:before="0" w:after="283"/>
              <w:jc w:val="left"/>
              <w:rPr/>
            </w:pPr>
            <w:r>
              <w:rPr/>
              <w:t> </w:t>
            </w:r>
          </w:p>
        </w:tc>
        <w:tc>
          <w:tcPr>
            <w:tcW w:w="149" w:type="dxa"/>
            <w:tcBorders/>
            <w:shd w:fill="EEEEEE" w:val="clear"/>
            <w:vAlign w:val="center"/>
          </w:tcPr>
          <w:p>
            <w:pPr>
              <w:pStyle w:val="TableContents"/>
              <w:bidi w:val="0"/>
              <w:spacing w:before="0" w:after="283"/>
              <w:jc w:val="left"/>
              <w:rPr/>
            </w:pPr>
            <w:r>
              <w:rPr/>
              <w:t> </w:t>
            </w:r>
          </w:p>
        </w:tc>
        <w:tc>
          <w:tcPr>
            <w:tcW w:w="2005" w:type="dxa"/>
            <w:tcBorders/>
            <w:shd w:fill="EEEEEE" w:val="clear"/>
            <w:vAlign w:val="center"/>
          </w:tcPr>
          <w:p>
            <w:pPr>
              <w:pStyle w:val="TableContents"/>
              <w:bidi w:val="0"/>
              <w:spacing w:before="0" w:after="283"/>
              <w:jc w:val="right"/>
              <w:rPr/>
            </w:pPr>
            <w:r>
              <w:rPr/>
              <w:t>3.8</w:t>
            </w:r>
          </w:p>
        </w:tc>
        <w:tc>
          <w:tcPr>
            <w:tcW w:w="21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9" w:type="dxa"/>
            <w:tcBorders/>
            <w:shd w:fill="EEEEEE" w:val="clear"/>
            <w:vAlign w:val="center"/>
          </w:tcPr>
          <w:p>
            <w:pPr>
              <w:pStyle w:val="TableContents"/>
              <w:bidi w:val="0"/>
              <w:spacing w:before="0" w:after="283"/>
              <w:jc w:val="left"/>
              <w:rPr/>
            </w:pPr>
            <w:r>
              <w:rPr/>
              <w:t> </w:t>
            </w:r>
          </w:p>
        </w:tc>
        <w:tc>
          <w:tcPr>
            <w:tcW w:w="2005" w:type="dxa"/>
            <w:tcBorders/>
            <w:shd w:fill="EEEEEE" w:val="clear"/>
            <w:vAlign w:val="center"/>
          </w:tcPr>
          <w:p>
            <w:pPr>
              <w:pStyle w:val="TableContents"/>
              <w:bidi w:val="0"/>
              <w:spacing w:before="0" w:after="283"/>
              <w:jc w:val="right"/>
              <w:rPr/>
            </w:pPr>
            <w:r>
              <w:rPr/>
              <w:t>2.8</w:t>
            </w:r>
          </w:p>
        </w:tc>
        <w:tc>
          <w:tcPr>
            <w:tcW w:w="21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21" w:type="dxa"/>
            <w:tcBorders/>
            <w:shd w:fill="EEEEEE" w:val="clear"/>
            <w:vAlign w:val="center"/>
          </w:tcPr>
          <w:p>
            <w:pPr>
              <w:pStyle w:val="TableContents"/>
              <w:bidi w:val="0"/>
              <w:spacing w:before="0" w:after="283"/>
              <w:jc w:val="left"/>
              <w:rPr/>
            </w:pPr>
            <w:r>
              <w:rPr/>
              <w:t> </w:t>
            </w:r>
          </w:p>
        </w:tc>
        <w:tc>
          <w:tcPr>
            <w:tcW w:w="1626" w:type="dxa"/>
            <w:tcBorders/>
            <w:shd w:fill="EEEEEE" w:val="clear"/>
            <w:vAlign w:val="center"/>
          </w:tcPr>
          <w:p>
            <w:pPr>
              <w:pStyle w:val="TableContents"/>
              <w:bidi w:val="0"/>
              <w:spacing w:before="0" w:after="283"/>
              <w:jc w:val="right"/>
              <w:rPr/>
            </w:pPr>
            <w:r>
              <w:rPr/>
              <w:t>3.0</w:t>
            </w:r>
          </w:p>
        </w:tc>
        <w:tc>
          <w:tcPr>
            <w:tcW w:w="234" w:type="dxa"/>
            <w:tcBorders/>
            <w:shd w:fill="EEEEEE"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sz w:val="20"/>
        </w:rPr>
      </w:pPr>
      <w:r>
        <w:rPr>
          <w:sz w:val="20"/>
        </w:rPr>
        <w:t>____________________</w:t>
      </w:r>
    </w:p>
    <w:p>
      <w:pPr>
        <w:pStyle w:val="TextBody"/>
        <w:bidi w:val="0"/>
        <w:spacing w:before="0" w:after="0"/>
        <w:ind w:left="0" w:right="0" w:hanging="0"/>
        <w:jc w:val="both"/>
        <w:rPr>
          <w:rFonts w:ascii="Times New Roman;Times;Serif" w:hAnsi="Times New Roman;Times;Serif"/>
          <w:b w:val="false"/>
          <w:i/>
          <w:caps w:val="false"/>
          <w:smallCaps w:val="false"/>
          <w:sz w:val="18"/>
        </w:rPr>
      </w:pPr>
      <w:r>
        <w:rPr>
          <w:rFonts w:ascii="Times New Roman;Times;Serif" w:hAnsi="Times New Roman;Times;Serif"/>
          <w:b w:val="false"/>
          <w:i/>
          <w:caps w:val="false"/>
          <w:smallCaps w:val="false"/>
          <w:sz w:val="18"/>
        </w:rPr>
        <w:t>Note: Table excludes portfolios originated and owned by third parties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2"/>
        <w:gridCol w:w="60"/>
        <w:gridCol w:w="84"/>
        <w:gridCol w:w="1128"/>
        <w:gridCol w:w="60"/>
        <w:gridCol w:w="60"/>
        <w:gridCol w:w="140"/>
        <w:gridCol w:w="980"/>
        <w:gridCol w:w="60"/>
        <w:gridCol w:w="60"/>
        <w:gridCol w:w="84"/>
        <w:gridCol w:w="1128"/>
        <w:gridCol w:w="60"/>
        <w:gridCol w:w="60"/>
        <w:gridCol w:w="140"/>
        <w:gridCol w:w="980"/>
        <w:gridCol w:w="60"/>
        <w:gridCol w:w="60"/>
        <w:gridCol w:w="84"/>
        <w:gridCol w:w="1128"/>
        <w:gridCol w:w="60"/>
        <w:gridCol w:w="60"/>
        <w:gridCol w:w="140"/>
        <w:gridCol w:w="980"/>
        <w:gridCol w:w="77"/>
      </w:tblGrid>
      <w:tr>
        <w:trPr/>
        <w:tc>
          <w:tcPr>
            <w:tcW w:w="24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2" w:type="dxa"/>
            <w:gridSpan w:val="6"/>
            <w:tcBorders>
              <w:bottom w:val="single" w:sz="8" w:space="0" w:color="000000"/>
            </w:tcBorders>
            <w:tcMar>
              <w:bottom w:w="28" w:type="dxa"/>
            </w:tcMar>
            <w:vAlign w:val="center"/>
          </w:tcPr>
          <w:p>
            <w:pPr>
              <w:pStyle w:val="TableContents"/>
              <w:bidi w:val="0"/>
              <w:spacing w:before="0" w:after="283"/>
              <w:jc w:val="center"/>
              <w:rPr/>
            </w:pPr>
            <w:r>
              <w:rPr/>
              <w:t>September 30,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2" w:type="dxa"/>
            <w:gridSpan w:val="6"/>
            <w:tcBorders>
              <w:bottom w:val="single" w:sz="8" w:space="0" w:color="000000"/>
            </w:tcBorders>
            <w:tcMar>
              <w:bottom w:w="28" w:type="dxa"/>
            </w:tcMar>
            <w:vAlign w:val="center"/>
          </w:tcPr>
          <w:p>
            <w:pPr>
              <w:pStyle w:val="TableContents"/>
              <w:bidi w:val="0"/>
              <w:spacing w:before="0" w:after="283"/>
              <w:jc w:val="center"/>
              <w:rPr/>
            </w:pPr>
            <w:r>
              <w:rPr/>
              <w:t>September 30, 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2" w:type="dxa"/>
            <w:gridSpan w:val="6"/>
            <w:tcBorders>
              <w:bottom w:val="single" w:sz="8" w:space="0" w:color="000000"/>
            </w:tcBorders>
            <w:tcMar>
              <w:bottom w:w="28" w:type="dxa"/>
            </w:tcMar>
            <w:vAlign w:val="center"/>
          </w:tcPr>
          <w:p>
            <w:pPr>
              <w:pStyle w:val="TableContents"/>
              <w:bidi w:val="0"/>
              <w:spacing w:before="0" w:after="283"/>
              <w:jc w:val="center"/>
              <w:rPr/>
            </w:pPr>
            <w:r>
              <w:rPr/>
              <w:t>December 31, 2022</w:t>
            </w:r>
          </w:p>
        </w:tc>
        <w:tc>
          <w:tcPr>
            <w:tcW w:w="77" w:type="dxa"/>
            <w:tcBorders/>
            <w:vAlign w:val="center"/>
          </w:tcPr>
          <w:p>
            <w:pPr>
              <w:pStyle w:val="TableContents"/>
              <w:bidi w:val="0"/>
              <w:spacing w:before="0" w:after="283"/>
              <w:jc w:val="left"/>
              <w:rPr/>
            </w:pPr>
            <w:r>
              <w:rPr/>
              <w:t> </w:t>
            </w:r>
          </w:p>
        </w:tc>
      </w:tr>
      <w:tr>
        <w:trPr/>
        <w:tc>
          <w:tcPr>
            <w:tcW w:w="247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12" w:type="dxa"/>
            <w:gridSpan w:val="2"/>
            <w:tcBorders>
              <w:bottom w:val="single" w:sz="8" w:space="0" w:color="000000"/>
            </w:tcBorders>
            <w:tcMar>
              <w:bottom w:w="28" w:type="dxa"/>
            </w:tcMar>
            <w:vAlign w:val="center"/>
          </w:tcPr>
          <w:p>
            <w:pPr>
              <w:pStyle w:val="TableContents"/>
              <w:bidi w:val="0"/>
              <w:spacing w:before="0" w:after="283"/>
              <w:jc w:val="center"/>
              <w:rPr/>
            </w:pPr>
            <w:r>
              <w:rPr/>
              <w:t>Number of Contracts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2" w:type="dxa"/>
            <w:gridSpan w:val="2"/>
            <w:tcBorders>
              <w:bottom w:val="single" w:sz="8" w:space="0" w:color="000000"/>
            </w:tcBorders>
            <w:tcMar>
              <w:bottom w:w="28" w:type="dxa"/>
            </w:tcMar>
            <w:vAlign w:val="center"/>
          </w:tcPr>
          <w:p>
            <w:pPr>
              <w:pStyle w:val="TableContents"/>
              <w:bidi w:val="0"/>
              <w:spacing w:before="0" w:after="283"/>
              <w:jc w:val="center"/>
              <w:rPr/>
            </w:pPr>
            <w:r>
              <w:rPr/>
              <w:t>Number of Contracts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2" w:type="dxa"/>
            <w:gridSpan w:val="2"/>
            <w:tcBorders>
              <w:bottom w:val="single" w:sz="8" w:space="0" w:color="000000"/>
            </w:tcBorders>
            <w:tcMar>
              <w:bottom w:w="28" w:type="dxa"/>
            </w:tcMar>
            <w:vAlign w:val="center"/>
          </w:tcPr>
          <w:p>
            <w:pPr>
              <w:pStyle w:val="TableContents"/>
              <w:bidi w:val="0"/>
              <w:spacing w:before="0" w:after="283"/>
              <w:jc w:val="center"/>
              <w:rPr/>
            </w:pPr>
            <w:r>
              <w:rPr/>
              <w:t>Number of Contracts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t>Amount</w:t>
            </w:r>
          </w:p>
        </w:tc>
        <w:tc>
          <w:tcPr>
            <w:tcW w:w="77" w:type="dxa"/>
            <w:tcBorders/>
            <w:vAlign w:val="center"/>
          </w:tcPr>
          <w:p>
            <w:pPr>
              <w:pStyle w:val="TableContents"/>
              <w:bidi w:val="0"/>
              <w:spacing w:before="0" w:after="283"/>
              <w:jc w:val="left"/>
              <w:rPr/>
            </w:pPr>
            <w:r>
              <w:rPr/>
              <w:t> </w:t>
            </w:r>
          </w:p>
        </w:tc>
      </w:tr>
      <w:tr>
        <w:trPr/>
        <w:tc>
          <w:tcPr>
            <w:tcW w:w="24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2"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2" w:type="dxa"/>
            <w:gridSpan w:val="6"/>
            <w:tcBorders/>
            <w:vAlign w:val="center"/>
          </w:tcPr>
          <w:p>
            <w:pPr>
              <w:pStyle w:val="TableContents"/>
              <w:bidi w:val="0"/>
              <w:spacing w:before="0" w:after="283"/>
              <w:jc w:val="center"/>
              <w:rPr/>
            </w:pPr>
            <w:r>
              <w:rPr/>
              <w:t>(Dollars 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2"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24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2"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2"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2"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2472" w:type="dxa"/>
            <w:tcBorders/>
            <w:shd w:fill="EEEEEE" w:val="clear"/>
            <w:vAlign w:val="center"/>
          </w:tcPr>
          <w:p>
            <w:pPr>
              <w:pStyle w:val="TableContents"/>
              <w:bidi w:val="0"/>
              <w:spacing w:before="0" w:after="283"/>
              <w:jc w:val="left"/>
              <w:rPr/>
            </w:pPr>
            <w:r>
              <w:rPr/>
              <w:t>Contracts with one extension</w:t>
            </w:r>
          </w:p>
        </w:tc>
        <w:tc>
          <w:tcPr>
            <w:tcW w:w="60" w:type="dxa"/>
            <w:tcBorders/>
            <w:shd w:fill="EEEEEE" w:val="clear"/>
            <w:vAlign w:val="center"/>
          </w:tcPr>
          <w:p>
            <w:pPr>
              <w:pStyle w:val="TableContents"/>
              <w:bidi w:val="0"/>
              <w:spacing w:before="0" w:after="283"/>
              <w:jc w:val="left"/>
              <w:rPr/>
            </w:pPr>
            <w:r>
              <w:rPr/>
              <w:t> </w:t>
            </w:r>
          </w:p>
        </w:tc>
        <w:tc>
          <w:tcPr>
            <w:tcW w:w="84" w:type="dxa"/>
            <w:tcBorders/>
            <w:shd w:fill="EEEEEE" w:val="clear"/>
            <w:vAlign w:val="center"/>
          </w:tcPr>
          <w:p>
            <w:pPr>
              <w:pStyle w:val="TableContents"/>
              <w:bidi w:val="0"/>
              <w:spacing w:before="0" w:after="283"/>
              <w:jc w:val="left"/>
              <w:rPr/>
            </w:pPr>
            <w:r>
              <w:rPr/>
              <w:t> </w:t>
            </w:r>
          </w:p>
        </w:tc>
        <w:tc>
          <w:tcPr>
            <w:tcW w:w="1128" w:type="dxa"/>
            <w:tcBorders/>
            <w:shd w:fill="EEEEEE" w:val="clear"/>
            <w:vAlign w:val="center"/>
          </w:tcPr>
          <w:p>
            <w:pPr>
              <w:pStyle w:val="TableContents"/>
              <w:bidi w:val="0"/>
              <w:spacing w:before="0" w:after="283"/>
              <w:jc w:val="right"/>
              <w:rPr/>
            </w:pPr>
            <w:r>
              <w:rPr/>
              <w:t>34,606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622,707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4" w:type="dxa"/>
            <w:tcBorders/>
            <w:shd w:fill="EEEEEE" w:val="clear"/>
            <w:vAlign w:val="center"/>
          </w:tcPr>
          <w:p>
            <w:pPr>
              <w:pStyle w:val="TableContents"/>
              <w:bidi w:val="0"/>
              <w:spacing w:before="0" w:after="283"/>
              <w:jc w:val="left"/>
              <w:rPr/>
            </w:pPr>
            <w:r>
              <w:rPr/>
              <w:t> </w:t>
            </w:r>
          </w:p>
        </w:tc>
        <w:tc>
          <w:tcPr>
            <w:tcW w:w="1128" w:type="dxa"/>
            <w:tcBorders/>
            <w:shd w:fill="EEEEEE" w:val="clear"/>
            <w:vAlign w:val="center"/>
          </w:tcPr>
          <w:p>
            <w:pPr>
              <w:pStyle w:val="TableContents"/>
              <w:bidi w:val="0"/>
              <w:spacing w:before="0" w:after="283"/>
              <w:jc w:val="right"/>
              <w:rPr/>
            </w:pPr>
            <w:r>
              <w:rPr/>
              <w:t>30,516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407,580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4" w:type="dxa"/>
            <w:tcBorders/>
            <w:shd w:fill="EEEEEE" w:val="clear"/>
            <w:vAlign w:val="center"/>
          </w:tcPr>
          <w:p>
            <w:pPr>
              <w:pStyle w:val="TableContents"/>
              <w:bidi w:val="0"/>
              <w:spacing w:before="0" w:after="283"/>
              <w:jc w:val="left"/>
              <w:rPr/>
            </w:pPr>
            <w:r>
              <w:rPr/>
              <w:t> </w:t>
            </w:r>
          </w:p>
        </w:tc>
        <w:tc>
          <w:tcPr>
            <w:tcW w:w="1128" w:type="dxa"/>
            <w:tcBorders/>
            <w:shd w:fill="EEEEEE" w:val="clear"/>
            <w:vAlign w:val="center"/>
          </w:tcPr>
          <w:p>
            <w:pPr>
              <w:pStyle w:val="TableContents"/>
              <w:bidi w:val="0"/>
              <w:spacing w:before="0" w:after="283"/>
              <w:jc w:val="right"/>
              <w:rPr/>
            </w:pPr>
            <w:r>
              <w:rPr/>
              <w:t>28,565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479,114</w:t>
            </w:r>
          </w:p>
        </w:tc>
        <w:tc>
          <w:tcPr>
            <w:tcW w:w="77" w:type="dxa"/>
            <w:tcBorders/>
            <w:shd w:fill="EEEEEE" w:val="clear"/>
            <w:vAlign w:val="center"/>
          </w:tcPr>
          <w:p>
            <w:pPr>
              <w:pStyle w:val="TableContents"/>
              <w:bidi w:val="0"/>
              <w:spacing w:before="0" w:after="283"/>
              <w:jc w:val="left"/>
              <w:rPr/>
            </w:pPr>
            <w:r>
              <w:rPr/>
              <w:t> </w:t>
            </w:r>
          </w:p>
        </w:tc>
      </w:tr>
      <w:tr>
        <w:trPr/>
        <w:tc>
          <w:tcPr>
            <w:tcW w:w="2472" w:type="dxa"/>
            <w:tcBorders/>
            <w:shd w:fill="FFFFFF" w:val="clear"/>
            <w:vAlign w:val="center"/>
          </w:tcPr>
          <w:p>
            <w:pPr>
              <w:pStyle w:val="TableContents"/>
              <w:bidi w:val="0"/>
              <w:spacing w:before="0" w:after="283"/>
              <w:jc w:val="left"/>
              <w:rPr/>
            </w:pPr>
            <w:r>
              <w:rPr/>
              <w:t>Contracts with two extensions</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17,572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285,371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22,795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310,724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13,730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180,547</w:t>
            </w:r>
          </w:p>
        </w:tc>
        <w:tc>
          <w:tcPr>
            <w:tcW w:w="77" w:type="dxa"/>
            <w:tcBorders/>
            <w:shd w:fill="FFFFFF" w:val="clear"/>
            <w:vAlign w:val="center"/>
          </w:tcPr>
          <w:p>
            <w:pPr>
              <w:pStyle w:val="TableContents"/>
              <w:bidi w:val="0"/>
              <w:spacing w:before="0" w:after="283"/>
              <w:jc w:val="left"/>
              <w:rPr/>
            </w:pPr>
            <w:r>
              <w:rPr/>
              <w:t> </w:t>
            </w:r>
          </w:p>
        </w:tc>
      </w:tr>
      <w:tr>
        <w:trPr/>
        <w:tc>
          <w:tcPr>
            <w:tcW w:w="2472" w:type="dxa"/>
            <w:tcBorders/>
            <w:shd w:fill="EEEEEE" w:val="clear"/>
            <w:vAlign w:val="center"/>
          </w:tcPr>
          <w:p>
            <w:pPr>
              <w:pStyle w:val="TableContents"/>
              <w:bidi w:val="0"/>
              <w:spacing w:before="0" w:after="283"/>
              <w:jc w:val="left"/>
              <w:rPr/>
            </w:pPr>
            <w:r>
              <w:rPr/>
              <w:t>Contracts with three extensions</w:t>
            </w:r>
          </w:p>
        </w:tc>
        <w:tc>
          <w:tcPr>
            <w:tcW w:w="60" w:type="dxa"/>
            <w:tcBorders/>
            <w:shd w:fill="EEEEEE" w:val="clear"/>
            <w:vAlign w:val="center"/>
          </w:tcPr>
          <w:p>
            <w:pPr>
              <w:pStyle w:val="TableContents"/>
              <w:bidi w:val="0"/>
              <w:spacing w:before="0" w:after="283"/>
              <w:jc w:val="left"/>
              <w:rPr/>
            </w:pPr>
            <w:r>
              <w:rPr/>
              <w:t> </w:t>
            </w:r>
          </w:p>
        </w:tc>
        <w:tc>
          <w:tcPr>
            <w:tcW w:w="84" w:type="dxa"/>
            <w:tcBorders/>
            <w:shd w:fill="EEEEEE" w:val="clear"/>
            <w:vAlign w:val="center"/>
          </w:tcPr>
          <w:p>
            <w:pPr>
              <w:pStyle w:val="TableContents"/>
              <w:bidi w:val="0"/>
              <w:spacing w:before="0" w:after="283"/>
              <w:jc w:val="left"/>
              <w:rPr/>
            </w:pPr>
            <w:r>
              <w:rPr/>
              <w:t> </w:t>
            </w:r>
          </w:p>
        </w:tc>
        <w:tc>
          <w:tcPr>
            <w:tcW w:w="1128" w:type="dxa"/>
            <w:tcBorders/>
            <w:shd w:fill="EEEEEE" w:val="clear"/>
            <w:vAlign w:val="center"/>
          </w:tcPr>
          <w:p>
            <w:pPr>
              <w:pStyle w:val="TableContents"/>
              <w:bidi w:val="0"/>
              <w:spacing w:before="0" w:after="283"/>
              <w:jc w:val="right"/>
              <w:rPr/>
            </w:pPr>
            <w:r>
              <w:rPr/>
              <w:t>9,511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116,087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4" w:type="dxa"/>
            <w:tcBorders/>
            <w:shd w:fill="EEEEEE" w:val="clear"/>
            <w:vAlign w:val="center"/>
          </w:tcPr>
          <w:p>
            <w:pPr>
              <w:pStyle w:val="TableContents"/>
              <w:bidi w:val="0"/>
              <w:spacing w:before="0" w:after="283"/>
              <w:jc w:val="left"/>
              <w:rPr/>
            </w:pPr>
            <w:r>
              <w:rPr/>
              <w:t> </w:t>
            </w:r>
          </w:p>
        </w:tc>
        <w:tc>
          <w:tcPr>
            <w:tcW w:w="1128" w:type="dxa"/>
            <w:tcBorders/>
            <w:shd w:fill="EEEEEE" w:val="clear"/>
            <w:vAlign w:val="center"/>
          </w:tcPr>
          <w:p>
            <w:pPr>
              <w:pStyle w:val="TableContents"/>
              <w:bidi w:val="0"/>
              <w:spacing w:before="0" w:after="283"/>
              <w:jc w:val="right"/>
              <w:rPr/>
            </w:pPr>
            <w:r>
              <w:rPr/>
              <w:t>17,058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235,319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4" w:type="dxa"/>
            <w:tcBorders/>
            <w:shd w:fill="EEEEEE" w:val="clear"/>
            <w:vAlign w:val="center"/>
          </w:tcPr>
          <w:p>
            <w:pPr>
              <w:pStyle w:val="TableContents"/>
              <w:bidi w:val="0"/>
              <w:spacing w:before="0" w:after="283"/>
              <w:jc w:val="left"/>
              <w:rPr/>
            </w:pPr>
            <w:r>
              <w:rPr/>
              <w:t> </w:t>
            </w:r>
          </w:p>
        </w:tc>
        <w:tc>
          <w:tcPr>
            <w:tcW w:w="1128" w:type="dxa"/>
            <w:tcBorders/>
            <w:shd w:fill="EEEEEE" w:val="clear"/>
            <w:vAlign w:val="center"/>
          </w:tcPr>
          <w:p>
            <w:pPr>
              <w:pStyle w:val="TableContents"/>
              <w:bidi w:val="0"/>
              <w:spacing w:before="0" w:after="283"/>
              <w:jc w:val="right"/>
              <w:rPr/>
            </w:pPr>
            <w:r>
              <w:rPr/>
              <w:t>9,837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108,986</w:t>
            </w:r>
          </w:p>
        </w:tc>
        <w:tc>
          <w:tcPr>
            <w:tcW w:w="77" w:type="dxa"/>
            <w:tcBorders/>
            <w:shd w:fill="EEEEEE" w:val="clear"/>
            <w:vAlign w:val="center"/>
          </w:tcPr>
          <w:p>
            <w:pPr>
              <w:pStyle w:val="TableContents"/>
              <w:bidi w:val="0"/>
              <w:spacing w:before="0" w:after="283"/>
              <w:jc w:val="left"/>
              <w:rPr/>
            </w:pPr>
            <w:r>
              <w:rPr/>
              <w:t> </w:t>
            </w:r>
          </w:p>
        </w:tc>
      </w:tr>
      <w:tr>
        <w:trPr/>
        <w:tc>
          <w:tcPr>
            <w:tcW w:w="2472" w:type="dxa"/>
            <w:tcBorders/>
            <w:shd w:fill="FFFFFF" w:val="clear"/>
            <w:vAlign w:val="center"/>
          </w:tcPr>
          <w:p>
            <w:pPr>
              <w:pStyle w:val="TableContents"/>
              <w:bidi w:val="0"/>
              <w:spacing w:before="0" w:after="283"/>
              <w:jc w:val="left"/>
              <w:rPr/>
            </w:pPr>
            <w:r>
              <w:rPr/>
              <w:t>Contracts with four extensions</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6,957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66,903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11,282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155,514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7,938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76,219</w:t>
            </w:r>
          </w:p>
        </w:tc>
        <w:tc>
          <w:tcPr>
            <w:tcW w:w="77" w:type="dxa"/>
            <w:tcBorders/>
            <w:shd w:fill="FFFFFF" w:val="clear"/>
            <w:vAlign w:val="center"/>
          </w:tcPr>
          <w:p>
            <w:pPr>
              <w:pStyle w:val="TableContents"/>
              <w:bidi w:val="0"/>
              <w:spacing w:before="0" w:after="283"/>
              <w:jc w:val="left"/>
              <w:rPr/>
            </w:pPr>
            <w:r>
              <w:rPr/>
              <w:t> </w:t>
            </w:r>
          </w:p>
        </w:tc>
      </w:tr>
      <w:tr>
        <w:trPr/>
        <w:tc>
          <w:tcPr>
            <w:tcW w:w="2472" w:type="dxa"/>
            <w:tcBorders/>
            <w:shd w:fill="EEEEEE" w:val="clear"/>
            <w:vAlign w:val="center"/>
          </w:tcPr>
          <w:p>
            <w:pPr>
              <w:pStyle w:val="TableContents"/>
              <w:bidi w:val="0"/>
              <w:spacing w:before="0" w:after="283"/>
              <w:jc w:val="left"/>
              <w:rPr/>
            </w:pPr>
            <w:r>
              <w:rPr/>
              <w:t>Contracts with five extensions</w:t>
            </w:r>
          </w:p>
        </w:tc>
        <w:tc>
          <w:tcPr>
            <w:tcW w:w="60" w:type="dxa"/>
            <w:tcBorders/>
            <w:shd w:fill="EEEEEE" w:val="clear"/>
            <w:vAlign w:val="center"/>
          </w:tcPr>
          <w:p>
            <w:pPr>
              <w:pStyle w:val="TableContents"/>
              <w:bidi w:val="0"/>
              <w:spacing w:before="0" w:after="283"/>
              <w:jc w:val="left"/>
              <w:rPr/>
            </w:pPr>
            <w:r>
              <w:rPr/>
              <w:t> </w:t>
            </w:r>
          </w:p>
        </w:tc>
        <w:tc>
          <w:tcPr>
            <w:tcW w:w="84" w:type="dxa"/>
            <w:tcBorders/>
            <w:shd w:fill="EEEEEE" w:val="clear"/>
            <w:vAlign w:val="center"/>
          </w:tcPr>
          <w:p>
            <w:pPr>
              <w:pStyle w:val="TableContents"/>
              <w:bidi w:val="0"/>
              <w:spacing w:before="0" w:after="283"/>
              <w:jc w:val="left"/>
              <w:rPr/>
            </w:pPr>
            <w:r>
              <w:rPr/>
              <w:t> </w:t>
            </w:r>
          </w:p>
        </w:tc>
        <w:tc>
          <w:tcPr>
            <w:tcW w:w="1128" w:type="dxa"/>
            <w:tcBorders/>
            <w:shd w:fill="EEEEEE" w:val="clear"/>
            <w:vAlign w:val="center"/>
          </w:tcPr>
          <w:p>
            <w:pPr>
              <w:pStyle w:val="TableContents"/>
              <w:bidi w:val="0"/>
              <w:spacing w:before="0" w:after="283"/>
              <w:jc w:val="right"/>
              <w:rPr/>
            </w:pPr>
            <w:r>
              <w:rPr/>
              <w:t>5,300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43,541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4" w:type="dxa"/>
            <w:tcBorders/>
            <w:shd w:fill="EEEEEE" w:val="clear"/>
            <w:vAlign w:val="center"/>
          </w:tcPr>
          <w:p>
            <w:pPr>
              <w:pStyle w:val="TableContents"/>
              <w:bidi w:val="0"/>
              <w:spacing w:before="0" w:after="283"/>
              <w:jc w:val="left"/>
              <w:rPr/>
            </w:pPr>
            <w:r>
              <w:rPr/>
              <w:t> </w:t>
            </w:r>
          </w:p>
        </w:tc>
        <w:tc>
          <w:tcPr>
            <w:tcW w:w="1128" w:type="dxa"/>
            <w:tcBorders/>
            <w:shd w:fill="EEEEEE" w:val="clear"/>
            <w:vAlign w:val="center"/>
          </w:tcPr>
          <w:p>
            <w:pPr>
              <w:pStyle w:val="TableContents"/>
              <w:bidi w:val="0"/>
              <w:spacing w:before="0" w:after="283"/>
              <w:jc w:val="right"/>
              <w:rPr/>
            </w:pPr>
            <w:r>
              <w:rPr/>
              <w:t>6,332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84,695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4" w:type="dxa"/>
            <w:tcBorders/>
            <w:shd w:fill="EEEEEE" w:val="clear"/>
            <w:vAlign w:val="center"/>
          </w:tcPr>
          <w:p>
            <w:pPr>
              <w:pStyle w:val="TableContents"/>
              <w:bidi w:val="0"/>
              <w:spacing w:before="0" w:after="283"/>
              <w:jc w:val="left"/>
              <w:rPr/>
            </w:pPr>
            <w:r>
              <w:rPr/>
              <w:t> </w:t>
            </w:r>
          </w:p>
        </w:tc>
        <w:tc>
          <w:tcPr>
            <w:tcW w:w="1128" w:type="dxa"/>
            <w:tcBorders/>
            <w:shd w:fill="EEEEEE" w:val="clear"/>
            <w:vAlign w:val="center"/>
          </w:tcPr>
          <w:p>
            <w:pPr>
              <w:pStyle w:val="TableContents"/>
              <w:bidi w:val="0"/>
              <w:spacing w:before="0" w:after="283"/>
              <w:jc w:val="right"/>
              <w:rPr/>
            </w:pPr>
            <w:r>
              <w:rPr/>
              <w:t>5,425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45,519</w:t>
            </w:r>
          </w:p>
        </w:tc>
        <w:tc>
          <w:tcPr>
            <w:tcW w:w="77" w:type="dxa"/>
            <w:tcBorders/>
            <w:shd w:fill="EEEEEE" w:val="clear"/>
            <w:vAlign w:val="center"/>
          </w:tcPr>
          <w:p>
            <w:pPr>
              <w:pStyle w:val="TableContents"/>
              <w:bidi w:val="0"/>
              <w:spacing w:before="0" w:after="283"/>
              <w:jc w:val="left"/>
              <w:rPr/>
            </w:pPr>
            <w:r>
              <w:rPr/>
              <w:t> </w:t>
            </w:r>
          </w:p>
        </w:tc>
      </w:tr>
      <w:tr>
        <w:trPr/>
        <w:tc>
          <w:tcPr>
            <w:tcW w:w="2472" w:type="dxa"/>
            <w:tcBorders/>
            <w:shd w:fill="FFFFFF" w:val="clear"/>
            <w:vAlign w:val="center"/>
          </w:tcPr>
          <w:p>
            <w:pPr>
              <w:pStyle w:val="TableContents"/>
              <w:bidi w:val="0"/>
              <w:spacing w:before="0" w:after="283"/>
              <w:jc w:val="left"/>
              <w:rPr/>
            </w:pPr>
            <w:r>
              <w:rPr/>
              <w:t>Contracts with six extensions</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FFFFFF" w:val="clear"/>
            <w:tcMar>
              <w:bottom w:w="28" w:type="dxa"/>
            </w:tcMar>
            <w:vAlign w:val="center"/>
          </w:tcPr>
          <w:p>
            <w:pPr>
              <w:pStyle w:val="TableContents"/>
              <w:bidi w:val="0"/>
              <w:spacing w:before="0" w:after="283"/>
              <w:jc w:val="right"/>
              <w:rPr/>
            </w:pPr>
            <w:r>
              <w:rPr/>
              <w:t>3,069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20,195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FFFFFF" w:val="clear"/>
            <w:tcMar>
              <w:bottom w:w="28" w:type="dxa"/>
            </w:tcMar>
            <w:vAlign w:val="center"/>
          </w:tcPr>
          <w:p>
            <w:pPr>
              <w:pStyle w:val="TableContents"/>
              <w:bidi w:val="0"/>
              <w:spacing w:before="0" w:after="283"/>
              <w:jc w:val="right"/>
              <w:rPr/>
            </w:pPr>
            <w:r>
              <w:rPr/>
              <w:t>3,345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41,669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FFFFFF" w:val="clear"/>
            <w:tcMar>
              <w:bottom w:w="28" w:type="dxa"/>
            </w:tcMar>
            <w:vAlign w:val="center"/>
          </w:tcPr>
          <w:p>
            <w:pPr>
              <w:pStyle w:val="TableContents"/>
              <w:bidi w:val="0"/>
              <w:spacing w:before="0" w:after="283"/>
              <w:jc w:val="right"/>
              <w:rPr/>
            </w:pPr>
            <w:r>
              <w:rPr/>
              <w:t>3,269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21,806</w:t>
            </w:r>
          </w:p>
        </w:tc>
        <w:tc>
          <w:tcPr>
            <w:tcW w:w="77" w:type="dxa"/>
            <w:tcBorders/>
            <w:shd w:fill="FFFFFF" w:val="clear"/>
            <w:vAlign w:val="center"/>
          </w:tcPr>
          <w:p>
            <w:pPr>
              <w:pStyle w:val="TableContents"/>
              <w:bidi w:val="0"/>
              <w:spacing w:before="0" w:after="283"/>
              <w:jc w:val="left"/>
              <w:rPr/>
            </w:pPr>
            <w:r>
              <w:rPr/>
              <w:t> </w:t>
            </w:r>
          </w:p>
        </w:tc>
      </w:tr>
      <w:tr>
        <w:trPr/>
        <w:tc>
          <w:tcPr>
            <w:tcW w:w="2472"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4"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1128" w:type="dxa"/>
            <w:tcBorders>
              <w:bottom w:val="double" w:sz="6" w:space="0" w:color="000000"/>
            </w:tcBorders>
            <w:shd w:fill="EEEEEE" w:val="clear"/>
            <w:tcMar>
              <w:bottom w:w="28" w:type="dxa"/>
            </w:tcMar>
            <w:vAlign w:val="center"/>
          </w:tcPr>
          <w:p>
            <w:pPr>
              <w:pStyle w:val="TableContents"/>
              <w:bidi w:val="0"/>
              <w:spacing w:before="0" w:after="283"/>
              <w:jc w:val="right"/>
              <w:rPr/>
            </w:pPr>
            <w:r>
              <w:rPr/>
              <w:t>77,015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r>
              <w:rPr/>
              <w:t>1,154,804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4"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1128" w:type="dxa"/>
            <w:tcBorders>
              <w:bottom w:val="double" w:sz="6" w:space="0" w:color="000000"/>
            </w:tcBorders>
            <w:shd w:fill="EEEEEE" w:val="clear"/>
            <w:tcMar>
              <w:bottom w:w="28" w:type="dxa"/>
            </w:tcMar>
            <w:vAlign w:val="center"/>
          </w:tcPr>
          <w:p>
            <w:pPr>
              <w:pStyle w:val="TableContents"/>
              <w:bidi w:val="0"/>
              <w:spacing w:before="0" w:after="283"/>
              <w:jc w:val="right"/>
              <w:rPr/>
            </w:pPr>
            <w:r>
              <w:rPr/>
              <w:t>91,328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r>
              <w:rPr/>
              <w:t>1,235,501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4"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1128" w:type="dxa"/>
            <w:tcBorders>
              <w:bottom w:val="double" w:sz="6" w:space="0" w:color="000000"/>
            </w:tcBorders>
            <w:shd w:fill="EEEEEE" w:val="clear"/>
            <w:tcMar>
              <w:bottom w:w="28" w:type="dxa"/>
            </w:tcMar>
            <w:vAlign w:val="center"/>
          </w:tcPr>
          <w:p>
            <w:pPr>
              <w:pStyle w:val="TableContents"/>
              <w:bidi w:val="0"/>
              <w:spacing w:before="0" w:after="283"/>
              <w:jc w:val="right"/>
              <w:rPr/>
            </w:pPr>
            <w:r>
              <w:rPr/>
              <w:t>68,764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r>
              <w:rPr/>
              <w:t>912,191</w:t>
            </w:r>
          </w:p>
        </w:tc>
        <w:tc>
          <w:tcPr>
            <w:tcW w:w="77" w:type="dxa"/>
            <w:tcBorders/>
            <w:shd w:fill="EEEEEE" w:val="clear"/>
            <w:vAlign w:val="center"/>
          </w:tcPr>
          <w:p>
            <w:pPr>
              <w:pStyle w:val="TableContents"/>
              <w:bidi w:val="0"/>
              <w:spacing w:before="0" w:after="283"/>
              <w:jc w:val="left"/>
              <w:rPr/>
            </w:pPr>
            <w:r>
              <w:rPr/>
              <w:t> </w:t>
            </w:r>
          </w:p>
        </w:tc>
      </w:tr>
      <w:tr>
        <w:trPr/>
        <w:tc>
          <w:tcPr>
            <w:tcW w:w="24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ind w:left="0" w:right="0" w:hanging="200"/>
              <w:jc w:val="left"/>
              <w:rPr/>
            </w:pPr>
            <w:r>
              <w:rPr/>
              <w:t> </w:t>
            </w:r>
          </w:p>
        </w:tc>
      </w:tr>
      <w:tr>
        <w:trPr/>
        <w:tc>
          <w:tcPr>
            <w:tcW w:w="2472" w:type="dxa"/>
            <w:tcBorders/>
            <w:shd w:fill="EEEEEE" w:val="clear"/>
            <w:vAlign w:val="center"/>
          </w:tcPr>
          <w:p>
            <w:pPr>
              <w:pStyle w:val="TableContents"/>
              <w:bidi w:val="0"/>
              <w:spacing w:before="0" w:after="283"/>
              <w:jc w:val="left"/>
              <w:rPr/>
            </w:pPr>
            <w:r>
              <w:rPr/>
              <w:t>Managed portfolio (excluding originated and owned by 3rd parties)</w:t>
            </w:r>
          </w:p>
        </w:tc>
        <w:tc>
          <w:tcPr>
            <w:tcW w:w="60" w:type="dxa"/>
            <w:tcBorders/>
            <w:shd w:fill="EEEEEE" w:val="clear"/>
            <w:vAlign w:val="center"/>
          </w:tcPr>
          <w:p>
            <w:pPr>
              <w:pStyle w:val="TableContents"/>
              <w:bidi w:val="0"/>
              <w:spacing w:before="0" w:after="283"/>
              <w:jc w:val="left"/>
              <w:rPr/>
            </w:pPr>
            <w:r>
              <w:rPr/>
              <w:t> </w:t>
            </w:r>
          </w:p>
        </w:tc>
        <w:tc>
          <w:tcPr>
            <w:tcW w:w="84" w:type="dxa"/>
            <w:tcBorders/>
            <w:shd w:fill="EEEEEE" w:val="clear"/>
            <w:vAlign w:val="center"/>
          </w:tcPr>
          <w:p>
            <w:pPr>
              <w:pStyle w:val="TableContents"/>
              <w:bidi w:val="0"/>
              <w:spacing w:before="0" w:after="283"/>
              <w:jc w:val="left"/>
              <w:rPr/>
            </w:pPr>
            <w:r>
              <w:rPr/>
              <w:t> </w:t>
            </w:r>
          </w:p>
        </w:tc>
        <w:tc>
          <w:tcPr>
            <w:tcW w:w="1128" w:type="dxa"/>
            <w:tcBorders/>
            <w:shd w:fill="EEEEEE" w:val="clear"/>
            <w:vAlign w:val="center"/>
          </w:tcPr>
          <w:p>
            <w:pPr>
              <w:pStyle w:val="TableContents"/>
              <w:bidi w:val="0"/>
              <w:spacing w:before="0" w:after="283"/>
              <w:jc w:val="right"/>
              <w:rPr/>
            </w:pPr>
            <w:r>
              <w:rPr/>
              <w:t>177,709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2,943,322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4" w:type="dxa"/>
            <w:tcBorders/>
            <w:shd w:fill="EEEEEE" w:val="clear"/>
            <w:vAlign w:val="center"/>
          </w:tcPr>
          <w:p>
            <w:pPr>
              <w:pStyle w:val="TableContents"/>
              <w:bidi w:val="0"/>
              <w:spacing w:before="0" w:after="283"/>
              <w:jc w:val="left"/>
              <w:rPr/>
            </w:pPr>
            <w:r>
              <w:rPr/>
              <w:t> </w:t>
            </w:r>
          </w:p>
        </w:tc>
        <w:tc>
          <w:tcPr>
            <w:tcW w:w="1128" w:type="dxa"/>
            <w:tcBorders/>
            <w:shd w:fill="EEEEEE" w:val="clear"/>
            <w:vAlign w:val="center"/>
          </w:tcPr>
          <w:p>
            <w:pPr>
              <w:pStyle w:val="TableContents"/>
              <w:bidi w:val="0"/>
              <w:spacing w:before="0" w:after="283"/>
              <w:jc w:val="right"/>
              <w:rPr/>
            </w:pPr>
            <w:r>
              <w:rPr/>
              <w:t>166,370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2,687,308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4" w:type="dxa"/>
            <w:tcBorders/>
            <w:shd w:fill="EEEEEE" w:val="clear"/>
            <w:vAlign w:val="center"/>
          </w:tcPr>
          <w:p>
            <w:pPr>
              <w:pStyle w:val="TableContents"/>
              <w:bidi w:val="0"/>
              <w:spacing w:before="0" w:after="283"/>
              <w:jc w:val="left"/>
              <w:rPr/>
            </w:pPr>
            <w:r>
              <w:rPr/>
              <w:t> </w:t>
            </w:r>
          </w:p>
        </w:tc>
        <w:tc>
          <w:tcPr>
            <w:tcW w:w="1128" w:type="dxa"/>
            <w:tcBorders/>
            <w:shd w:fill="EEEEEE" w:val="clear"/>
            <w:vAlign w:val="center"/>
          </w:tcPr>
          <w:p>
            <w:pPr>
              <w:pStyle w:val="TableContents"/>
              <w:bidi w:val="0"/>
              <w:spacing w:before="0" w:after="283"/>
              <w:jc w:val="right"/>
              <w:rPr/>
            </w:pPr>
            <w:r>
              <w:rPr/>
              <w:t>154,151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2,209,430</w:t>
            </w:r>
          </w:p>
        </w:tc>
        <w:tc>
          <w:tcPr>
            <w:tcW w:w="77"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sz w:val="20"/>
        </w:rPr>
      </w:pPr>
      <w:r>
        <w:rPr>
          <w:sz w:val="20"/>
        </w:rPr>
        <w:t>___________________</w:t>
      </w:r>
    </w:p>
    <w:p>
      <w:pPr>
        <w:pStyle w:val="TextBody"/>
        <w:bidi w:val="0"/>
        <w:spacing w:before="0" w:after="0"/>
        <w:ind w:left="0" w:right="0" w:hanging="0"/>
        <w:jc w:val="both"/>
        <w:rPr>
          <w:rFonts w:ascii="Times New Roman;Times;Serif" w:hAnsi="Times New Roman;Times;Serif"/>
          <w:b w:val="false"/>
          <w:i/>
          <w:caps w:val="false"/>
          <w:smallCaps w:val="false"/>
          <w:sz w:val="18"/>
        </w:rPr>
      </w:pPr>
      <w:r>
        <w:rPr>
          <w:rFonts w:ascii="Times New Roman;Times;Serif" w:hAnsi="Times New Roman;Times;Serif"/>
          <w:b w:val="false"/>
          <w:i/>
          <w:caps w:val="false"/>
          <w:smallCaps w:val="false"/>
          <w:sz w:val="18"/>
        </w:rPr>
        <w:t>Note: Table excludes portfolios originated and owned by third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2019, we have been able to reduce extensions by working with our servicing staff to be more selective in granting extensions including, where appropriate, to exhaust all possibilities of payment by the customer before granting an extension. However, as delinquency rates have risen, so has the average number of extensions granted.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Non-Accrual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uncommon for our obligors to fall behind in their payments. However, with the diligent efforts of our Servicing staff and systems for managing our collection efforts, we regularly work with our customers to resolve delinquencies. Our staff are trained to employ a counseling approach to assist our customers with their cash flow management skills and help them to prioritize their payment obligations in order to avoid losing their vehicle to repossession. Through our experience, we have learned that once a customer becomes greater than 90 days past due, it is not likely that the delinquency will be resolved and will ultimately result in a charge-off. As a result, we do not recognize any interest income for contracts that are greater than 90 days past due.</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8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contract exceeds the 90 days past due threshold at the end of one period, and then makes the necessary payments such that it becomes less than or equal to 90 days delinquent at the end of a subsequent period, it would be restored to full accrual status for our financial reporting purposes. At the time a contract is restored to full accrual in this manner, there can be no assurance that full repayment of interest and principal will ultimately be made. However, we monitor each obligor’s payment performance and are aware of the severity of his delinquency at any time. The fact that the delinquency has been reduced below the 90-day threshold is a positive indicator. Should the contract again exceed the 90-day delinquency level at the end of any reporting period, it would again be reflected as a non-accrual account.</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policy for placing a contract on non-accrual status is independent of our policy to grant an extension. In practice, it would be an uncommon circumstance where an extension was granted and the account remained in a non-accrual status, since the goal of the extension is to bring the contract current (or nearly current).</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Liquidity and Capital Resources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requires substantial cash to support our purchases of automobile contracts and other operating activities. Our primary sources of cash have been cash flows from the proceeds from term securitization transactions and other sales of automobile contracts, amounts borrowed under various revolving credit facilities (also sometimes known as warehouse credit facilities), customer payments of principal and interest on finance receivables, fees for origination of automobile contracts, and releases of cash from securitization transactions and their related spread accounts. Our primary uses of cash have been the purchases of automobile contracts, repayment of amounts borrowed under lines of credit, securitization transactions and otherwise, operating expenses such as employee, interest, occupancy expenses and other general and administrative expenses, the establishment of spread accounts and initial overcollateralization, if any,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pools and their related spread accounts), the rate of expansion or contraction in our managed portfolio, and the terms upon which we are able to acquire and borrow against automobile contracts.</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 for the nine-month period ended September 30, 2023 was $181.9 million, a decrease of $17.2 million, compared to net cash provided by operating activities for the nine-month period ended September 30, 2022 of $164.7 million. Net cash from operating activities is generally provided by net income from operations adjusted for significant non-cash items such as our provision for credit losses and marks to finance receivables measured at fair value.</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$275.8 million for the nine months ended September 30, 2023 compared to $566.5 million in the prior year period. Net cash used in investing activities generally relates to new purchases of automobile contracts net of principal payments and other proceeds received during the period. Purchases of finance receivables excluding acquisition fees were $958.6 million and $1,311.7 million during the first nine months of 2023 and 2022, respectively.</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nine months ended September 30, 2023 was $73.1 million compared to $397.9 million in the prior year period. Cash provided by financing activities is primarily related to the issuance of securitization trust debt, reduced by the amount of repayment of securitization trust debt and net proceeds or repayments on our warehouse lines of credit and other debt. In the first nine months of 2023, we issued $949.4 million in new securitization trust debt compared to $1,104.0 million for the same period in 2022. We repaid $814.5 million in securitization trust debt in the nine months ended September 30, 2023 compared to repayments of securitization trust debt of $804.8 million in the prior year period. In the nine months ended September 30, 2023, we had net repayments on warehouse lines of credit of $46.4 million, compared to net advances from warehouse lines of credit of $139.5 million in the prior year’s period.</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4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purchase automobile contracts from dealers for a cash price approximately equal to their principal amount, adjusted for an acquisition fee which may either increase or decrease the automobile contract purchase price. Those automobile contracts generate cash flow, however, over a period of years. We have been dependent on warehouse credit facilities to purchase automobile contracts and our securitization transactions for long term financing of our contracts. In addition, we have accessed other sources, such as residual financings and subordinated debt in order to finance our continuing operations.</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44"/>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purchase automobile contracts.</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and may in the future be limited in our ability to purchase automobile contracts due to limits on our capital. As of September 30, 2023, we had unrestricted cash of $8.3 million and $159.6 million aggregate available borrowings under our two warehouse credit facilities (assuming the availability of sufficient eligible collateral). As of September 30, 2023, we had approximately $19.6 million of such eligible collateral. Our plans to manage our liquidity include maintaining our rate of automobile contract purchases at a level that matches our available capital, and, as appropriate, minimizing our operating costs. During the nine-month period ended September 30, 2023, we completed three securitizations aggregating $949.4 million of notes sold.</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flows, if any, only if the amount of credit enhancement has reached specified levels and the net losses related to the automobile contracts in the pool are below certain predetermined levels. In the event delinquencies or net losses on the automobile contracts exceed such levels, the terms of the securitization may require increased credit enhancement to be accumulated for the particular pool. There can be no assurance that collections from the related trusts will continue to generate sufficient cash.</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September 30, 2023, we were in compliance with all such financial covenants.</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and will continue to have a substantial amount of indebtedness. At September 30, 2023, we had approximately $2,552.6 million of debt outstanding. Such debt consisted primarily of $2,243.3 million of securitization trust debt and $240.4 million of debt from warehouse lines of credit. Our securitization trust debt has increased by $134.5 million while our warehouse lines of credit debt has decreased by $44.9 million since December 31, 2022 (each net of deferred financing costs). Since 2005, we have offered renewable subordinated notes to the public on a continuous basis, and such notes have maturities that range from six months to 10 years. We had $19.2 million and $25.3 million in subordinated renewable notes outstanding at September 30, 2023 and December 31, 2022, respectively. On June 30, 2021, we completed a $50.0 million securitization of residual interests from other previously issued securitizations. As of September 30, 2023, all $50.0 million of this debt remains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we are able to service and repay our debt, there is no assurance that we will be able to do so. If our plans for future operations do not generate sufficient cash flows and earnings, our ability to make required payments on our debt would be impaired. If we fail to pay our indebtedness when due, it could have a material adverse effect on us and may require us to issue additional debt or equity securities.</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firstLine="144"/>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Forward Looking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10-Q includes certain “forward-looking statements.” Forward-looking statements may be identified by the use of words such as “anticipates,” “expects,” “plans,” “estimates,” or words of like meaning. Our provision for credit losses is a forward-looking statement, as it is dependent on our estimates as to future chargeoffs and recovery rates. Factors that could affect charge-offs and recovery rates include changes in the general economic climate, which could affect the willingness or ability of obligors to pay pursuant to the terms of automobile contracts, changes in laws respecting consumer finance, which could affect our ability to enforce rights under automobile contracts, and changes in the market for used vehicles, which could affect the levels of recoveries upon sale of repossessed vehicles. Our valuation of receivables measured at fair value is a forward-looking statement, as it is dependent, among other things, on our estimates of cash to be received in the future with respect to such receivables. Each of the factors listed above as affecting charge-offs and recovery rates could have a similar effect on cash to be received in the future with respect to receivables measured at fair value. Factors that could affect our revenues in the current year include the levels of cash releases from existing pools of automobile contracts, which would affect our ability to purchase automobile contracts, the terms on which we are able to finance such purchases, the willingness of dealers to sell automobile contracts to us on the terms that we offer, and the terms on which and whether we are able to complete term securitizations once automobile contracts are acquired. Factors that could affect our expenses in the current year include competitive conditions in the market for qualified personnel and interest rates (which affect the rates that we pay on notes issued in our securitizations). The factors identified in this and other reports as “Risk Factors” could affect our revenues, expenses, liquidity and financial condition, and the timing and amount of cash received with respect to our automobile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4. </w:t>
      </w:r>
      <w:bookmarkStart w:id="1068" w:name="q3_011"/>
      <w:bookmarkEnd w:id="1068"/>
      <w:r>
        <w:rPr>
          <w:rFonts w:ascii="Times New Roman;Times;Serif" w:hAnsi="Times New Roman;Times;Serif"/>
          <w:b/>
          <w:i/>
          <w:caps w:val="false"/>
          <w:smallCaps w:val="false"/>
          <w:sz w:val="20"/>
        </w:rPr>
        <w:t>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system of internal controls and procedures designed to provide reasonable assurance as to the reliability of our published financial statements and other disclosures included in this report. As of the end of the period covered by this report, we evaluated the effectiveness of the design and operation of such disclosure controls and procedures. Based upon that evaluation, the principal executive officer (Charles E. Bradley, Jr.) and the principal financial officer (Denesh Bharwani) concluded that the disclosure controls and procedures are effective in recording, processing, summarizing and reporting, on a timely basis, material information relating to us that is required to be included in our reports filed under the Securities Exchange Act of 1934. There has been no change in our internal controls over financial reporting during our most recently completed fiscal quarter that has materially affected, or is reasonably likely to materially affect,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69" w:name="q3_012"/>
      <w:bookmarkEnd w:id="1069"/>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70" w:name="q3_013"/>
      <w:bookmarkEnd w:id="1070"/>
      <w:r>
        <w:rPr>
          <w:rFonts w:ascii="Times New Roman;Times;Serif" w:hAnsi="Times New Roman;Times;Serif"/>
          <w:b/>
          <w:i w:val="false"/>
          <w:caps w:val="false"/>
          <w:smallCaps w:val="false"/>
          <w:sz w:val="20"/>
        </w:rPr>
        <w:t xml:space="preserve">Item 1. </w:t>
      </w:r>
      <w:r>
        <w:rPr>
          <w:rFonts w:ascii="Times New Roman;Times;Serif" w:hAnsi="Times New Roman;Times;Serif"/>
          <w:b/>
          <w:i/>
          <w:caps w:val="false"/>
          <w:smallCaps w:val="false"/>
          <w:sz w:val="20"/>
        </w:rPr>
        <w:t xml:space="preserve">Legal Proceedings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under the caption “Legal Proceedings,” Note 8 to the Unaudited Condensed Consolidated Financial Statements, included in Part I of this report,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1A. </w:t>
      </w:r>
      <w:bookmarkStart w:id="1071" w:name="q3_014"/>
      <w:bookmarkEnd w:id="1071"/>
      <w:r>
        <w:rPr>
          <w:rFonts w:ascii="Times New Roman;Times;Serif" w:hAnsi="Times New Roman;Times;Serif"/>
          <w:b/>
          <w:i/>
          <w:caps w:val="false"/>
          <w:smallCaps w:val="false"/>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remind the reader that risk factors are set forth in Item 1A of our report on Form 10-K, filed with the U.S. Securities and Exchange Commission on March 15, 2023. Where we are aware of material changes to such risk factors as previously disclosed, we set forth below an updated discussion of such risks. The reader should note that the other risks identified in our report on Form 10-K remain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have substantial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and will continue to have a substantial amount of indebtedness. At September 30, 2023, we had approximately $2,552.6 million of debt outstanding. Such debt consisted primarily of $2,243.3 million of securitization trust debt and $240.4 million of debt from warehouse lines of credit. Our securitization trust debt has increased by $134.5 million while our warehouse lines of credit debt has decreased by $44.9 million since December 31, 2022 (each net of deferred financing costs). Since 2005, we have offered renewable subordinated notes to the public on a continuous basis, and such notes have maturities that range from six months to 10 years. We had $19.2 million and $25.3 million in subordinated renewable notes outstanding at September 30, 2023 and December 31, 2022, respectively. On June 30, 2021, we completed a $50.0 million securitization of residual interests from other previously issued securitizations. As of September 30, 2023, all $50.0 million of this debt remains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substantial indebtedness could adversely affect our financial condition by, among other things: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increasing our vulnerability to general adverse economic and industry conditions;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requiring us to dedicate a substantial portion of our cash flow from operations to payments on our indebtedness, thereby reducing amounts available for working capital, capital expenditures and other general corporate purposes;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limiting our flexibility in planning for, or reacting to, changes in our business and the industry in which we operate;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placing us at a competitive disadvantage compared to our competitors that have less debt; and</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limiting our ability to borrow additional funds.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we are able to service and repay such debt, there is no assurance that we will be able to do so. If we do not generate sufficient operating profits, our ability to make required payments on our debt would be impaired. Failure to pay our indebtedness when due could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may have rescission liability in connection with sales of our subordinated renewable notes to certain purchasers.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filed a registration statement on Form S-3 with respect to various securities, including our renewable unsecured subordinated notes, on May 28, 2015, and filed amendments to the registration statement on June 26, 2015, and July 27, 2015 (such registration statement, as so amended, the “Former Registration Statement”). The Former Registration Statement was declared effective on August 26, 2015 (the “Former Registration Statement Effective Date”). Rule 415(a)(5) under the Securities Act of 1933, as amended (the “Securities Act”), provides that a shelf registration statement such as the Former Registration Statement expires three years after the official effective date. The Former Registration Statement expired on August 26, 2018; however, the Company continued to conduct offers and sales and renewals after that date. Additionally, with respect to the Former Registration Statement, the Company failed to file certain prospectus supplements relating to certain sales. Lastly, offers and sales of Renewable Notes and renewals of outstanding notes were made for amounts beyond the amount of securities covered by the registration statement. These activities may result in certain of these purchasers having a statutory right to rescind their purchases. As a result, we could be required to repurchase some or all of such notes at the original sale price plus statutory interest, less the amount of any income received by the purchasers. As of October 31, 2023, there were approximately $5.3 million of such notes outstanding and sold within the preceding twelve months. That figure includes renewals of previously sold notes, but excludes notes that we have repaid, and excludes notes that we sold or renewed pursuant to the registration statement to which this prospectus relates.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of operations, financial condition and cash flows could be materially and adversely affected if a substantial number of purchasers of such notes were to successfully assert rescission rights or if we were to be assessed substantial penalties by regulatory authorities. If holders of sufficient amounts of such notes were to demand rescission and to prevail in that demand, the adverse effect on our liquidity could be material, which could in turn impair our ability to conduct our business as otherwise planned.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These forward-looking statements relate to, among other things, expectations of the business environment in which we operate, projections of future performance, perceived opportunities in the market and statements regarding our mission and vision. You can generally identify forward-looking statements as statements containing the words "will," "would," "believe," "may," "could," "expect," "anticipate," "intend," "estimate," "assume" or other similar expressions. Our actual results, performance and achievements may differ materially from the results, performance and achievements expressed or implied in such forward-looking statements. The discussion under "Risk Factors" identifies some of the factors that might cause such a difference, including the following:</w:t>
      </w:r>
    </w:p>
    <w:p>
      <w:pPr>
        <w:pStyle w:val="TextBody"/>
        <w:bidi w:val="0"/>
        <w:spacing w:before="0" w:after="0"/>
        <w:ind w:left="0" w:right="0" w:firstLine="144"/>
        <w:jc w:val="both"/>
        <w:rPr>
          <w:caps w:val="false"/>
          <w:smallCaps w:val="false"/>
        </w:rPr>
      </w:pPr>
      <w:r>
        <w:rPr>
          <w:caps w:val="false"/>
          <w:smallCaps w:val="false"/>
        </w:rPr>
        <w:t> </w:t>
      </w:r>
    </w:p>
    <w:tbl>
      <w:tblPr>
        <w:tblW w:w="8620" w:type="dxa"/>
        <w:jc w:val="left"/>
        <w:tblInd w:w="0" w:type="dxa"/>
        <w:tblLayout w:type="fixed"/>
        <w:tblCellMar>
          <w:top w:w="0" w:type="dxa"/>
          <w:left w:w="0" w:type="dxa"/>
          <w:bottom w:w="0" w:type="dxa"/>
          <w:right w:w="0" w:type="dxa"/>
        </w:tblCellMar>
      </w:tblPr>
      <w:tblGrid>
        <w:gridCol w:w="75"/>
        <w:gridCol w:w="125"/>
        <w:gridCol w:w="8420"/>
      </w:tblGrid>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420" w:type="dxa"/>
            <w:tcBorders/>
            <w:vAlign w:val="center"/>
          </w:tcPr>
          <w:p>
            <w:pPr>
              <w:pStyle w:val="TableContents"/>
              <w:bidi w:val="0"/>
              <w:spacing w:before="0" w:after="283"/>
              <w:jc w:val="left"/>
              <w:rPr/>
            </w:pPr>
            <w:r>
              <w:rPr/>
              <w:t>changes in general economic conditions;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420" w:type="dxa"/>
            <w:tcBorders/>
            <w:vAlign w:val="center"/>
          </w:tcPr>
          <w:p>
            <w:pPr>
              <w:pStyle w:val="TableContents"/>
              <w:bidi w:val="0"/>
              <w:spacing w:before="0" w:after="283"/>
              <w:jc w:val="left"/>
              <w:rPr/>
            </w:pPr>
            <w:r>
              <w:rPr/>
              <w:t>our ability or inability to obtain necessary financing, and the terms of any such financing;</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420" w:type="dxa"/>
            <w:tcBorders/>
            <w:vAlign w:val="center"/>
          </w:tcPr>
          <w:p>
            <w:pPr>
              <w:pStyle w:val="TableContents"/>
              <w:bidi w:val="0"/>
              <w:spacing w:before="0" w:after="283"/>
              <w:jc w:val="left"/>
              <w:rPr/>
            </w:pPr>
            <w:r>
              <w:rPr/>
              <w:t>changes in interest rates, especially as applicable to securitization trust debt;</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420" w:type="dxa"/>
            <w:tcBorders/>
            <w:vAlign w:val="center"/>
          </w:tcPr>
          <w:p>
            <w:pPr>
              <w:pStyle w:val="TableContents"/>
              <w:bidi w:val="0"/>
              <w:spacing w:before="0" w:after="283"/>
              <w:jc w:val="left"/>
              <w:rPr/>
            </w:pPr>
            <w:r>
              <w:rPr/>
              <w:t>our ability to generate sufficient operating and financing cash flows;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420" w:type="dxa"/>
            <w:tcBorders/>
            <w:vAlign w:val="center"/>
          </w:tcPr>
          <w:p>
            <w:pPr>
              <w:pStyle w:val="TableContents"/>
              <w:bidi w:val="0"/>
              <w:spacing w:before="0" w:after="283"/>
              <w:jc w:val="left"/>
              <w:rPr/>
            </w:pPr>
            <w:r>
              <w:rPr/>
              <w:t>competition;</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420" w:type="dxa"/>
            <w:tcBorders/>
            <w:vAlign w:val="center"/>
          </w:tcPr>
          <w:p>
            <w:pPr>
              <w:pStyle w:val="TableContents"/>
              <w:bidi w:val="0"/>
              <w:spacing w:before="0" w:after="283"/>
              <w:jc w:val="left"/>
              <w:rPr/>
            </w:pPr>
            <w:r>
              <w:rPr/>
              <w:t>level of future provisioning for receivables losses;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420" w:type="dxa"/>
            <w:tcBorders/>
            <w:vAlign w:val="center"/>
          </w:tcPr>
          <w:p>
            <w:pPr>
              <w:pStyle w:val="TableContents"/>
              <w:bidi w:val="0"/>
              <w:spacing w:before="0" w:after="283"/>
              <w:jc w:val="left"/>
              <w:rPr/>
            </w:pPr>
            <w:r>
              <w:rPr/>
              <w:t>the levels of actual losses on receivables; and</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420" w:type="dxa"/>
            <w:tcBorders/>
            <w:vAlign w:val="center"/>
          </w:tcPr>
          <w:p>
            <w:pPr>
              <w:pStyle w:val="TableContents"/>
              <w:bidi w:val="0"/>
              <w:spacing w:before="0" w:after="283"/>
              <w:jc w:val="left"/>
              <w:rPr/>
            </w:pPr>
            <w:r>
              <w:rPr/>
              <w:t>regulatory requirements.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 this report also include our recorded figures representing allowances for remaining expected lifetime credit losses, our markdown of the recorded value for the portion of our portfolio accounted for at fair value, our charge to the provision for credit losses for the our legacy portfolio, our estimates of fair value (most significantly for our receivables accounted for at fair value), our entries offsetting the preceding, and figures derived from any of the preceding. In each case, such figures are forward-looking statements because they are dependent on our estimates of cash to be received and losses to be incurred in the future. The accuracy of such estimates may be adversely affected by various factors, which include (in addition to risks relating to the COVD-19 pandemic and to the economy generally) the following: possible increased delinquencies; repossessions and losses on retail installment contracts; incorrect prepayment speed and/or discount rate assumptions; possible unavailability of qualified personnel, which could adversely affect our ability to service our portfolio; possible increases in the rate of consumer bankruptcy filings, which could adversely affect our rights to collect payments from our portfolio; other changes in government regulations affecting consumer credit; possible declines in the market price for used vehicles, which could adversely affect our realization upon repossessed vehicles; and economic conditions in geographic areas in which the Company's business is concentrated. The accuracy of such estimates may also be affected by the effects of the COVID-19 pandemic and of governmental responses to said pandemic, which have included prohibitions on certain means of enforcement of receivables, and may include additional restrictions, as yet unknown, in the future. Any or all of such factors also may affect our future financial results, as to which there can be no assurance. Any implication that past results or past consecutive earnings are indicative of future results or future earnings is disclaimed, and the reader should draw no such inference. Factors such as those identified above in relation to losses to be incurred in the future may affect future performance.</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not guarantees of performance. They involve risks, uncertainties and assumptions. Actual results may differ from expectations due to many factors beyond our ability to control or predict, including those described herein, and in documents incorporated by reference in this report. For these statements, we claim the protection of the safe harbor for forward-looking statements contained in the Private Securities Litigation Reform Act of 1995.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undertake no obligation to publicly update any forward-looking information. You are advised to consult any additional disclosure we make in our periodic reports filed with the SEC.</w:t>
      </w:r>
    </w:p>
    <w:p>
      <w:pPr>
        <w:pStyle w:val="TextBody"/>
        <w:bidi w:val="0"/>
        <w:spacing w:before="0" w:after="0"/>
        <w:ind w:left="0" w:right="0" w:firstLine="14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2. </w:t>
      </w:r>
      <w:bookmarkStart w:id="1072" w:name="q3_015"/>
      <w:bookmarkEnd w:id="1072"/>
      <w:r>
        <w:rPr>
          <w:rFonts w:ascii="Times New Roman;Times;Serif" w:hAnsi="Times New Roman;Times;Serif"/>
          <w:b/>
          <w:i/>
          <w:caps w:val="false"/>
          <w:smallCaps w:val="false"/>
          <w:sz w:val="20"/>
        </w:rPr>
        <w:t>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September 30, 2023, we repurchased 61,685 shares from existing shareholders, as reflected in the table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Issuer Purchases of Equity Securities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11"/>
        <w:gridCol w:w="60"/>
        <w:gridCol w:w="138"/>
        <w:gridCol w:w="1161"/>
        <w:gridCol w:w="60"/>
        <w:gridCol w:w="60"/>
        <w:gridCol w:w="187"/>
        <w:gridCol w:w="749"/>
        <w:gridCol w:w="60"/>
        <w:gridCol w:w="60"/>
        <w:gridCol w:w="240"/>
        <w:gridCol w:w="2750"/>
        <w:gridCol w:w="60"/>
        <w:gridCol w:w="60"/>
        <w:gridCol w:w="408"/>
        <w:gridCol w:w="2862"/>
        <w:gridCol w:w="79"/>
      </w:tblGrid>
      <w:tr>
        <w:trPr/>
        <w:tc>
          <w:tcPr>
            <w:tcW w:w="121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99" w:type="dxa"/>
            <w:gridSpan w:val="2"/>
            <w:tcBorders/>
            <w:vAlign w:val="center"/>
          </w:tcPr>
          <w:p>
            <w:pPr>
              <w:pStyle w:val="TableContents"/>
              <w:bidi w:val="0"/>
              <w:spacing w:before="0" w:after="283"/>
              <w:jc w:val="center"/>
              <w:rPr>
                <w:b/>
              </w:rPr>
            </w:pPr>
            <w:r>
              <w:rPr>
                <w:b/>
              </w:rPr>
              <w:t>Total Number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6"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90" w:type="dxa"/>
            <w:gridSpan w:val="2"/>
            <w:tcBorders/>
            <w:vAlign w:val="center"/>
          </w:tcPr>
          <w:p>
            <w:pPr>
              <w:pStyle w:val="TableContents"/>
              <w:bidi w:val="0"/>
              <w:spacing w:before="0" w:after="283"/>
              <w:jc w:val="center"/>
              <w:rPr>
                <w:b/>
              </w:rPr>
            </w:pPr>
            <w:r>
              <w:rPr>
                <w:b/>
              </w:rPr>
              <w:t xml:space="preserve">Total Number of Shares Purchased as Part of Publicly Announced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0" w:type="dxa"/>
            <w:gridSpan w:val="2"/>
            <w:tcBorders/>
            <w:vAlign w:val="center"/>
          </w:tcPr>
          <w:p>
            <w:pPr>
              <w:pStyle w:val="TableContents"/>
              <w:bidi w:val="0"/>
              <w:spacing w:before="0" w:after="283"/>
              <w:jc w:val="center"/>
              <w:rPr>
                <w:b/>
              </w:rPr>
            </w:pPr>
            <w:r>
              <w:rPr>
                <w:b/>
              </w:rPr>
              <w:t xml:space="preserve">Approximate Dollar Value of Shares that May Yet be Purchased Under </w:t>
            </w:r>
          </w:p>
        </w:tc>
        <w:tc>
          <w:tcPr>
            <w:tcW w:w="79" w:type="dxa"/>
            <w:tcBorders/>
            <w:vAlign w:val="center"/>
          </w:tcPr>
          <w:p>
            <w:pPr>
              <w:pStyle w:val="TableContents"/>
              <w:bidi w:val="0"/>
              <w:spacing w:before="0" w:after="283"/>
              <w:jc w:val="left"/>
              <w:rPr/>
            </w:pPr>
            <w:r>
              <w:rPr/>
              <w:t> </w:t>
            </w:r>
          </w:p>
        </w:tc>
      </w:tr>
      <w:tr>
        <w:trPr/>
        <w:tc>
          <w:tcPr>
            <w:tcW w:w="121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99" w:type="dxa"/>
            <w:gridSpan w:val="2"/>
            <w:tcBorders/>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6" w:type="dxa"/>
            <w:gridSpan w:val="2"/>
            <w:tcBorders/>
            <w:vAlign w:val="center"/>
          </w:tcPr>
          <w:p>
            <w:pPr>
              <w:pStyle w:val="TableContents"/>
              <w:bidi w:val="0"/>
              <w:spacing w:before="0" w:after="283"/>
              <w:jc w:val="center"/>
              <w:rPr>
                <w:b/>
              </w:rPr>
            </w:pPr>
            <w:r>
              <w:rPr>
                <w:b/>
              </w:rPr>
              <w:t>Price Paid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90" w:type="dxa"/>
            <w:gridSpan w:val="2"/>
            <w:tcBorders/>
            <w:vAlign w:val="center"/>
          </w:tcPr>
          <w:p>
            <w:pPr>
              <w:pStyle w:val="TableContents"/>
              <w:bidi w:val="0"/>
              <w:spacing w:before="0" w:after="283"/>
              <w:jc w:val="center"/>
              <w:rPr>
                <w:b/>
              </w:rPr>
            </w:pPr>
            <w:r>
              <w:rPr>
                <w:b/>
              </w:rPr>
              <w:t>Plans or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0" w:type="dxa"/>
            <w:gridSpan w:val="2"/>
            <w:tcBorders/>
            <w:vAlign w:val="center"/>
          </w:tcPr>
          <w:p>
            <w:pPr>
              <w:pStyle w:val="TableContents"/>
              <w:bidi w:val="0"/>
              <w:spacing w:before="0" w:after="283"/>
              <w:jc w:val="center"/>
              <w:rPr>
                <w:b/>
              </w:rPr>
            </w:pPr>
            <w:r>
              <w:rPr>
                <w:b/>
              </w:rPr>
              <w:t>the Plans or</w:t>
            </w:r>
          </w:p>
        </w:tc>
        <w:tc>
          <w:tcPr>
            <w:tcW w:w="79" w:type="dxa"/>
            <w:tcBorders/>
            <w:vAlign w:val="center"/>
          </w:tcPr>
          <w:p>
            <w:pPr>
              <w:pStyle w:val="TableContents"/>
              <w:bidi w:val="0"/>
              <w:spacing w:before="0" w:after="283"/>
              <w:jc w:val="left"/>
              <w:rPr/>
            </w:pPr>
            <w:r>
              <w:rPr/>
              <w:t> </w:t>
            </w:r>
          </w:p>
        </w:tc>
      </w:tr>
      <w:tr>
        <w:trPr/>
        <w:tc>
          <w:tcPr>
            <w:tcW w:w="1211" w:type="dxa"/>
            <w:tcBorders>
              <w:bottom w:val="single" w:sz="8" w:space="0" w:color="000000"/>
            </w:tcBorders>
            <w:tcMar>
              <w:bottom w:w="28" w:type="dxa"/>
            </w:tcMar>
            <w:vAlign w:val="center"/>
          </w:tcPr>
          <w:p>
            <w:pPr>
              <w:pStyle w:val="TableContents"/>
              <w:bidi w:val="0"/>
              <w:spacing w:before="0" w:after="283"/>
              <w:jc w:val="center"/>
              <w:rPr>
                <w:b/>
              </w:rPr>
            </w:pPr>
            <w:r>
              <w:rPr>
                <w:b/>
              </w:rPr>
              <w:t>Period(1)</w:t>
            </w:r>
          </w:p>
        </w:tc>
        <w:tc>
          <w:tcPr>
            <w:tcW w:w="60" w:type="dxa"/>
            <w:tcBorders/>
            <w:vAlign w:val="center"/>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Purchased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Programs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Programs (2)</w:t>
            </w:r>
          </w:p>
        </w:tc>
        <w:tc>
          <w:tcPr>
            <w:tcW w:w="79" w:type="dxa"/>
            <w:tcBorders/>
            <w:vAlign w:val="center"/>
          </w:tcPr>
          <w:p>
            <w:pPr>
              <w:pStyle w:val="TableContents"/>
              <w:bidi w:val="0"/>
              <w:spacing w:before="0" w:after="283"/>
              <w:jc w:val="left"/>
              <w:rPr/>
            </w:pPr>
            <w:r>
              <w:rPr/>
              <w:t> </w:t>
            </w:r>
          </w:p>
        </w:tc>
      </w:tr>
      <w:tr>
        <w:trPr/>
        <w:tc>
          <w:tcPr>
            <w:tcW w:w="12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6"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0" w:type="dxa"/>
            <w:gridSpan w:val="2"/>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r>
      <w:tr>
        <w:trPr/>
        <w:tc>
          <w:tcPr>
            <w:tcW w:w="1211" w:type="dxa"/>
            <w:tcBorders/>
            <w:shd w:fill="EEEEEE" w:val="clear"/>
            <w:vAlign w:val="center"/>
          </w:tcPr>
          <w:p>
            <w:pPr>
              <w:pStyle w:val="TableContents"/>
              <w:bidi w:val="0"/>
              <w:spacing w:before="0" w:after="283"/>
              <w:jc w:val="left"/>
              <w:rPr/>
            </w:pPr>
            <w:r>
              <w:rPr/>
              <w:t>Jul 2023</w:t>
            </w:r>
          </w:p>
        </w:tc>
        <w:tc>
          <w:tcPr>
            <w:tcW w:w="60" w:type="dxa"/>
            <w:tcBorders/>
            <w:shd w:fill="EEEEEE" w:val="clear"/>
            <w:vAlign w:val="center"/>
          </w:tcPr>
          <w:p>
            <w:pPr>
              <w:pStyle w:val="TableContents"/>
              <w:bidi w:val="0"/>
              <w:spacing w:before="0" w:after="283"/>
              <w:jc w:val="left"/>
              <w:rPr/>
            </w:pPr>
            <w:r>
              <w:rPr/>
              <w:t> </w:t>
            </w:r>
          </w:p>
        </w:tc>
        <w:tc>
          <w:tcPr>
            <w:tcW w:w="138" w:type="dxa"/>
            <w:tcBorders/>
            <w:shd w:fill="EEEEEE" w:val="clear"/>
            <w:vAlign w:val="center"/>
          </w:tcPr>
          <w:p>
            <w:pPr>
              <w:pStyle w:val="TableContents"/>
              <w:bidi w:val="0"/>
              <w:spacing w:before="0" w:after="283"/>
              <w:jc w:val="left"/>
              <w:rPr/>
            </w:pPr>
            <w:r>
              <w:rPr/>
              <w:t> </w:t>
            </w:r>
          </w:p>
        </w:tc>
        <w:tc>
          <w:tcPr>
            <w:tcW w:w="1161" w:type="dxa"/>
            <w:tcBorders/>
            <w:shd w:fill="EEEEEE" w:val="clear"/>
            <w:vAlign w:val="center"/>
          </w:tcPr>
          <w:p>
            <w:pPr>
              <w:pStyle w:val="TableContents"/>
              <w:bidi w:val="0"/>
              <w:spacing w:before="0" w:after="283"/>
              <w:jc w:val="right"/>
              <w:rPr/>
            </w:pPr>
            <w:r>
              <w:rPr/>
              <w:t>10,257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7" w:type="dxa"/>
            <w:tcBorders/>
            <w:shd w:fill="EEEEEE" w:val="clear"/>
            <w:vAlign w:val="center"/>
          </w:tcPr>
          <w:p>
            <w:pPr>
              <w:pStyle w:val="TableContents"/>
              <w:bidi w:val="0"/>
              <w:spacing w:before="0" w:after="283"/>
              <w:jc w:val="left"/>
              <w:rPr/>
            </w:pPr>
            <w:r>
              <w:rPr/>
              <w:t>$</w:t>
            </w:r>
          </w:p>
        </w:tc>
        <w:tc>
          <w:tcPr>
            <w:tcW w:w="749" w:type="dxa"/>
            <w:tcBorders/>
            <w:shd w:fill="EEEEEE" w:val="clear"/>
            <w:vAlign w:val="center"/>
          </w:tcPr>
          <w:p>
            <w:pPr>
              <w:pStyle w:val="TableContents"/>
              <w:bidi w:val="0"/>
              <w:spacing w:before="0" w:after="283"/>
              <w:jc w:val="right"/>
              <w:rPr/>
            </w:pPr>
            <w:r>
              <w:rPr/>
              <w:t>11.31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0" w:type="dxa"/>
            <w:tcBorders/>
            <w:shd w:fill="EEEEEE" w:val="clear"/>
            <w:vAlign w:val="center"/>
          </w:tcPr>
          <w:p>
            <w:pPr>
              <w:pStyle w:val="TableContents"/>
              <w:bidi w:val="0"/>
              <w:spacing w:before="0" w:after="283"/>
              <w:jc w:val="left"/>
              <w:rPr/>
            </w:pPr>
            <w:r>
              <w:rPr/>
              <w:t> </w:t>
            </w:r>
          </w:p>
        </w:tc>
        <w:tc>
          <w:tcPr>
            <w:tcW w:w="2750" w:type="dxa"/>
            <w:tcBorders/>
            <w:shd w:fill="EEEEEE" w:val="clear"/>
            <w:vAlign w:val="center"/>
          </w:tcPr>
          <w:p>
            <w:pPr>
              <w:pStyle w:val="TableContents"/>
              <w:bidi w:val="0"/>
              <w:spacing w:before="0" w:after="283"/>
              <w:jc w:val="right"/>
              <w:rPr/>
            </w:pPr>
            <w:r>
              <w:rPr/>
              <w:t>10,257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408" w:type="dxa"/>
            <w:tcBorders/>
            <w:shd w:fill="EEEEEE" w:val="clear"/>
            <w:vAlign w:val="center"/>
          </w:tcPr>
          <w:p>
            <w:pPr>
              <w:pStyle w:val="TableContents"/>
              <w:bidi w:val="0"/>
              <w:spacing w:before="0" w:after="283"/>
              <w:jc w:val="left"/>
              <w:rPr/>
            </w:pPr>
            <w:r>
              <w:rPr/>
              <w:t>$</w:t>
            </w:r>
          </w:p>
        </w:tc>
        <w:tc>
          <w:tcPr>
            <w:tcW w:w="2862" w:type="dxa"/>
            <w:tcBorders/>
            <w:shd w:fill="EEEEEE" w:val="clear"/>
            <w:vAlign w:val="center"/>
          </w:tcPr>
          <w:p>
            <w:pPr>
              <w:pStyle w:val="TableContents"/>
              <w:bidi w:val="0"/>
              <w:spacing w:before="0" w:after="283"/>
              <w:jc w:val="right"/>
              <w:rPr/>
            </w:pPr>
            <w:r>
              <w:rPr/>
              <w:t>2,380,515</w:t>
            </w:r>
          </w:p>
        </w:tc>
        <w:tc>
          <w:tcPr>
            <w:tcW w:w="79" w:type="dxa"/>
            <w:tcBorders/>
            <w:shd w:fill="EEEEEE" w:val="clear"/>
            <w:vAlign w:val="center"/>
          </w:tcPr>
          <w:p>
            <w:pPr>
              <w:pStyle w:val="TableContents"/>
              <w:bidi w:val="0"/>
              <w:spacing w:before="0" w:after="283"/>
              <w:jc w:val="left"/>
              <w:rPr/>
            </w:pPr>
            <w:r>
              <w:rPr/>
              <w:t> </w:t>
            </w:r>
          </w:p>
        </w:tc>
      </w:tr>
      <w:tr>
        <w:trPr/>
        <w:tc>
          <w:tcPr>
            <w:tcW w:w="1211" w:type="dxa"/>
            <w:tcBorders/>
            <w:shd w:fill="FFFFFF" w:val="clear"/>
            <w:vAlign w:val="center"/>
          </w:tcPr>
          <w:p>
            <w:pPr>
              <w:pStyle w:val="TableContents"/>
              <w:bidi w:val="0"/>
              <w:spacing w:before="0" w:after="283"/>
              <w:jc w:val="left"/>
              <w:rPr/>
            </w:pPr>
            <w:r>
              <w:rPr/>
              <w:t>August 2023</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w:t>
            </w:r>
          </w:p>
        </w:tc>
        <w:tc>
          <w:tcPr>
            <w:tcW w:w="74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275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pPr>
            <w:r>
              <w:rPr/>
              <w:t>$</w:t>
            </w:r>
          </w:p>
        </w:tc>
        <w:tc>
          <w:tcPr>
            <w:tcW w:w="2862" w:type="dxa"/>
            <w:tcBorders/>
            <w:shd w:fill="FFFFFF" w:val="clear"/>
            <w:vAlign w:val="center"/>
          </w:tcPr>
          <w:p>
            <w:pPr>
              <w:pStyle w:val="TableContents"/>
              <w:bidi w:val="0"/>
              <w:spacing w:before="0" w:after="283"/>
              <w:jc w:val="right"/>
              <w:rPr/>
            </w:pPr>
            <w:r>
              <w:rPr/>
              <w:t>2,380,515</w:t>
            </w:r>
          </w:p>
        </w:tc>
        <w:tc>
          <w:tcPr>
            <w:tcW w:w="79" w:type="dxa"/>
            <w:tcBorders/>
            <w:shd w:fill="FFFFFF" w:val="clear"/>
            <w:vAlign w:val="center"/>
          </w:tcPr>
          <w:p>
            <w:pPr>
              <w:pStyle w:val="TableContents"/>
              <w:bidi w:val="0"/>
              <w:spacing w:before="0" w:after="283"/>
              <w:jc w:val="left"/>
              <w:rPr/>
            </w:pPr>
            <w:r>
              <w:rPr/>
              <w:t> </w:t>
            </w:r>
          </w:p>
        </w:tc>
      </w:tr>
      <w:tr>
        <w:trPr/>
        <w:tc>
          <w:tcPr>
            <w:tcW w:w="1211" w:type="dxa"/>
            <w:tcBorders/>
            <w:shd w:fill="EEEEEE" w:val="clear"/>
            <w:vAlign w:val="center"/>
          </w:tcPr>
          <w:p>
            <w:pPr>
              <w:pStyle w:val="TableContents"/>
              <w:bidi w:val="0"/>
              <w:spacing w:before="0" w:after="283"/>
              <w:jc w:val="left"/>
              <w:rPr/>
            </w:pPr>
            <w:r>
              <w:rPr/>
              <w:t>September 2023</w:t>
            </w:r>
          </w:p>
        </w:tc>
        <w:tc>
          <w:tcPr>
            <w:tcW w:w="60" w:type="dxa"/>
            <w:tcBorders/>
            <w:shd w:fill="EEEEEE" w:val="clear"/>
            <w:vAlign w:val="center"/>
          </w:tcPr>
          <w:p>
            <w:pPr>
              <w:pStyle w:val="TableContents"/>
              <w:bidi w:val="0"/>
              <w:spacing w:before="0" w:after="283"/>
              <w:jc w:val="left"/>
              <w:rPr/>
            </w:pPr>
            <w:r>
              <w:rPr/>
              <w:t> </w:t>
            </w:r>
          </w:p>
        </w:tc>
        <w:tc>
          <w:tcPr>
            <w:tcW w:w="138"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61" w:type="dxa"/>
            <w:tcBorders>
              <w:bottom w:val="single" w:sz="8" w:space="0" w:color="000000"/>
            </w:tcBorders>
            <w:shd w:fill="EEEEEE" w:val="clear"/>
            <w:tcMar>
              <w:bottom w:w="28" w:type="dxa"/>
            </w:tcMar>
            <w:vAlign w:val="center"/>
          </w:tcPr>
          <w:p>
            <w:pPr>
              <w:pStyle w:val="TableContents"/>
              <w:bidi w:val="0"/>
              <w:spacing w:before="0" w:after="283"/>
              <w:jc w:val="right"/>
              <w:rPr/>
            </w:pPr>
            <w:r>
              <w:rPr/>
              <w:t>51,428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7" w:type="dxa"/>
            <w:tcBorders>
              <w:bottom w:val="single" w:sz="8" w:space="0" w:color="000000"/>
            </w:tcBorders>
            <w:shd w:fill="EEEEEE" w:val="clear"/>
            <w:tcMar>
              <w:bottom w:w="28" w:type="dxa"/>
            </w:tcMar>
            <w:vAlign w:val="center"/>
          </w:tcPr>
          <w:p>
            <w:pPr>
              <w:pStyle w:val="TableContents"/>
              <w:bidi w:val="0"/>
              <w:spacing w:before="0" w:after="283"/>
              <w:jc w:val="left"/>
              <w:rPr/>
            </w:pPr>
            <w:r>
              <w:rPr/>
              <w:t>$</w:t>
            </w:r>
          </w:p>
        </w:tc>
        <w:tc>
          <w:tcPr>
            <w:tcW w:w="749" w:type="dxa"/>
            <w:tcBorders>
              <w:bottom w:val="single" w:sz="8" w:space="0" w:color="000000"/>
            </w:tcBorders>
            <w:shd w:fill="EEEEEE" w:val="clear"/>
            <w:tcMar>
              <w:bottom w:w="28" w:type="dxa"/>
            </w:tcMar>
            <w:vAlign w:val="center"/>
          </w:tcPr>
          <w:p>
            <w:pPr>
              <w:pStyle w:val="TableContents"/>
              <w:bidi w:val="0"/>
              <w:spacing w:before="0" w:after="283"/>
              <w:jc w:val="right"/>
              <w:rPr/>
            </w:pPr>
            <w:r>
              <w:rPr/>
              <w:t>9.25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2750" w:type="dxa"/>
            <w:tcBorders>
              <w:bottom w:val="single" w:sz="8" w:space="0" w:color="000000"/>
            </w:tcBorders>
            <w:shd w:fill="EEEEEE" w:val="clear"/>
            <w:tcMar>
              <w:bottom w:w="28" w:type="dxa"/>
            </w:tcMar>
            <w:vAlign w:val="center"/>
          </w:tcPr>
          <w:p>
            <w:pPr>
              <w:pStyle w:val="TableContents"/>
              <w:bidi w:val="0"/>
              <w:spacing w:before="0" w:after="283"/>
              <w:jc w:val="right"/>
              <w:rPr/>
            </w:pPr>
            <w:r>
              <w:rPr/>
              <w:t>51,428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408" w:type="dxa"/>
            <w:tcBorders/>
            <w:shd w:fill="EEEEEE" w:val="clear"/>
            <w:vAlign w:val="center"/>
          </w:tcPr>
          <w:p>
            <w:pPr>
              <w:pStyle w:val="TableContents"/>
              <w:bidi w:val="0"/>
              <w:spacing w:before="0" w:after="283"/>
              <w:jc w:val="left"/>
              <w:rPr/>
            </w:pPr>
            <w:r>
              <w:rPr/>
              <w:t>$</w:t>
            </w:r>
          </w:p>
        </w:tc>
        <w:tc>
          <w:tcPr>
            <w:tcW w:w="2862" w:type="dxa"/>
            <w:tcBorders/>
            <w:shd w:fill="EEEEEE" w:val="clear"/>
            <w:vAlign w:val="center"/>
          </w:tcPr>
          <w:p>
            <w:pPr>
              <w:pStyle w:val="TableContents"/>
              <w:bidi w:val="0"/>
              <w:spacing w:before="0" w:after="283"/>
              <w:jc w:val="right"/>
              <w:rPr/>
            </w:pPr>
            <w:r>
              <w:rPr/>
              <w:t>1,905,025</w:t>
            </w:r>
          </w:p>
        </w:tc>
        <w:tc>
          <w:tcPr>
            <w:tcW w:w="79" w:type="dxa"/>
            <w:tcBorders/>
            <w:shd w:fill="EEEEEE" w:val="clear"/>
            <w:vAlign w:val="center"/>
          </w:tcPr>
          <w:p>
            <w:pPr>
              <w:pStyle w:val="TableContents"/>
              <w:bidi w:val="0"/>
              <w:spacing w:before="0" w:after="283"/>
              <w:jc w:val="left"/>
              <w:rPr/>
            </w:pPr>
            <w:r>
              <w:rPr/>
              <w:t> </w:t>
            </w:r>
          </w:p>
        </w:tc>
      </w:tr>
      <w:tr>
        <w:trPr/>
        <w:tc>
          <w:tcPr>
            <w:tcW w:w="1211"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61" w:type="dxa"/>
            <w:tcBorders>
              <w:bottom w:val="double" w:sz="6" w:space="0" w:color="000000"/>
            </w:tcBorders>
            <w:shd w:fill="FFFFFF" w:val="clear"/>
            <w:tcMar>
              <w:bottom w:w="28" w:type="dxa"/>
            </w:tcMar>
            <w:vAlign w:val="center"/>
          </w:tcPr>
          <w:p>
            <w:pPr>
              <w:pStyle w:val="TableContents"/>
              <w:bidi w:val="0"/>
              <w:spacing w:before="0" w:after="283"/>
              <w:jc w:val="right"/>
              <w:rPr/>
            </w:pPr>
            <w:r>
              <w:rPr/>
              <w:t>61,685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49" w:type="dxa"/>
            <w:tcBorders>
              <w:bottom w:val="double" w:sz="6" w:space="0" w:color="000000"/>
            </w:tcBorders>
            <w:shd w:fill="FFFFFF" w:val="clear"/>
            <w:tcMar>
              <w:bottom w:w="28" w:type="dxa"/>
            </w:tcMar>
            <w:vAlign w:val="center"/>
          </w:tcPr>
          <w:p>
            <w:pPr>
              <w:pStyle w:val="TableContents"/>
              <w:bidi w:val="0"/>
              <w:spacing w:before="0" w:after="283"/>
              <w:jc w:val="right"/>
              <w:rPr/>
            </w:pPr>
            <w:r>
              <w:rPr/>
              <w:t>9.59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750" w:type="dxa"/>
            <w:tcBorders>
              <w:bottom w:val="double" w:sz="6" w:space="0" w:color="000000"/>
            </w:tcBorders>
            <w:shd w:fill="FFFFFF" w:val="clear"/>
            <w:tcMar>
              <w:bottom w:w="28" w:type="dxa"/>
            </w:tcMar>
            <w:vAlign w:val="center"/>
          </w:tcPr>
          <w:p>
            <w:pPr>
              <w:pStyle w:val="TableContents"/>
              <w:bidi w:val="0"/>
              <w:spacing w:before="0" w:after="283"/>
              <w:jc w:val="right"/>
              <w:rPr/>
            </w:pPr>
            <w:r>
              <w:rPr/>
              <w:t>61,685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pPr>
            <w:r>
              <w:rPr/>
              <w:t> </w:t>
            </w:r>
          </w:p>
        </w:tc>
        <w:tc>
          <w:tcPr>
            <w:tcW w:w="2862"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sz w:val="20"/>
        </w:rPr>
      </w:pPr>
      <w:r>
        <w:rPr>
          <w:sz w:val="20"/>
        </w:rPr>
        <w:t>____________________</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i/>
                <w:sz w:val="18"/>
              </w:rPr>
            </w:pPr>
            <w:r>
              <w:rPr>
                <w:i/>
                <w:sz w:val="18"/>
              </w:rPr>
              <w:t>(1)</w:t>
            </w:r>
          </w:p>
        </w:tc>
        <w:tc>
          <w:tcPr>
            <w:tcW w:w="9976" w:type="dxa"/>
            <w:tcBorders/>
            <w:vAlign w:val="center"/>
          </w:tcPr>
          <w:p>
            <w:pPr>
              <w:pStyle w:val="TableContents"/>
              <w:bidi w:val="0"/>
              <w:spacing w:before="0" w:after="283"/>
              <w:jc w:val="both"/>
              <w:rPr>
                <w:i/>
                <w:sz w:val="18"/>
              </w:rPr>
            </w:pPr>
            <w:r>
              <w:rPr>
                <w:i/>
                <w:sz w:val="18"/>
              </w:rPr>
              <w:t>Each monthly period is the calendar month.</w:t>
            </w:r>
          </w:p>
        </w:tc>
      </w:tr>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i/>
                <w:sz w:val="18"/>
              </w:rPr>
            </w:pPr>
            <w:r>
              <w:rPr>
                <w:i/>
                <w:sz w:val="18"/>
              </w:rPr>
              <w:t>(2)</w:t>
            </w:r>
          </w:p>
        </w:tc>
        <w:tc>
          <w:tcPr>
            <w:tcW w:w="9976" w:type="dxa"/>
            <w:tcBorders/>
            <w:vAlign w:val="center"/>
          </w:tcPr>
          <w:p>
            <w:pPr>
              <w:pStyle w:val="TableContents"/>
              <w:bidi w:val="0"/>
              <w:spacing w:before="0" w:after="283"/>
              <w:jc w:val="both"/>
              <w:rPr>
                <w:i/>
                <w:sz w:val="18"/>
              </w:rPr>
            </w:pPr>
            <w:r>
              <w:rPr>
                <w:i/>
                <w:sz w:val="18"/>
              </w:rPr>
              <w:t xml:space="preserve">Through September 30, 2023, our board of directors had authorized the purchase of up to $103.2 million of our outstanding securities, under a program first announced in our annual report for the year 2002, filed on June 26, 2003. All purchases described in the table above were under the program announced in June 2003, which has no fixed expiration date.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6. </w:t>
      </w:r>
      <w:bookmarkStart w:id="1073" w:name="q3_016"/>
      <w:bookmarkEnd w:id="1073"/>
      <w:r>
        <w:rPr>
          <w:rFonts w:ascii="Times New Roman;Times;Serif" w:hAnsi="Times New Roman;Times;Serif"/>
          <w:b/>
          <w:i/>
          <w:caps w:val="false"/>
          <w:smallCaps w:val="false"/>
          <w:sz w:val="20"/>
        </w:rPr>
        <w:t>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listed below are filed with this report.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8"/>
        <w:gridCol w:w="9677"/>
      </w:tblGrid>
      <w:tr>
        <w:trPr/>
        <w:tc>
          <w:tcPr>
            <w:tcW w:w="528" w:type="dxa"/>
            <w:tcBorders/>
            <w:vAlign w:val="center"/>
          </w:tcPr>
          <w:p>
            <w:pPr>
              <w:pStyle w:val="TableContents"/>
              <w:bidi w:val="0"/>
              <w:spacing w:before="0" w:after="283"/>
              <w:jc w:val="left"/>
              <w:rPr>
                <w:sz w:val="4"/>
                <w:szCs w:val="4"/>
              </w:rPr>
            </w:pPr>
            <w:r>
              <w:rPr>
                <w:sz w:val="4"/>
                <w:szCs w:val="4"/>
              </w:rPr>
            </w:r>
          </w:p>
        </w:tc>
        <w:tc>
          <w:tcPr>
            <w:tcW w:w="9677" w:type="dxa"/>
            <w:tcBorders/>
            <w:vAlign w:val="center"/>
          </w:tcPr>
          <w:p>
            <w:pPr>
              <w:pStyle w:val="TableContents"/>
              <w:bidi w:val="0"/>
              <w:spacing w:before="0" w:after="283"/>
              <w:jc w:val="left"/>
              <w:rPr>
                <w:sz w:val="4"/>
                <w:szCs w:val="4"/>
              </w:rPr>
            </w:pPr>
            <w:r>
              <w:rPr>
                <w:sz w:val="4"/>
                <w:szCs w:val="4"/>
              </w:rPr>
            </w:r>
          </w:p>
        </w:tc>
      </w:tr>
      <w:tr>
        <w:trPr/>
        <w:tc>
          <w:tcPr>
            <w:tcW w:w="528" w:type="dxa"/>
            <w:tcBorders/>
            <w:vAlign w:val="center"/>
          </w:tcPr>
          <w:p>
            <w:pPr>
              <w:pStyle w:val="TableContents"/>
              <w:bidi w:val="0"/>
              <w:spacing w:before="0" w:after="283"/>
              <w:jc w:val="both"/>
              <w:rPr>
                <w:sz w:val="20"/>
              </w:rPr>
            </w:pPr>
            <w:r>
              <w:rPr>
                <w:sz w:val="20"/>
              </w:rPr>
              <w:t>4.14</w:t>
            </w:r>
          </w:p>
        </w:tc>
        <w:tc>
          <w:tcPr>
            <w:tcW w:w="9677" w:type="dxa"/>
            <w:tcBorders/>
            <w:vAlign w:val="center"/>
          </w:tcPr>
          <w:p>
            <w:pPr>
              <w:pStyle w:val="TableContents"/>
              <w:bidi w:val="0"/>
              <w:spacing w:before="0" w:after="283"/>
              <w:jc w:val="both"/>
              <w:rPr>
                <w:sz w:val="20"/>
              </w:rPr>
            </w:pPr>
            <w:r>
              <w:rPr>
                <w:sz w:val="20"/>
              </w:rPr>
              <w:t>Instruments defining the rights of holders of long-term debt of certain consolidated subsidiaries of the registrant are omitted pursuant to the exclusion set forth in subdivisions (b)(iv)(iii)(A) and (b)(v) of Item 601 of Regulation S-K (17 CFR 229.601). The registrant agrees to provide copies of such instruments to the United States Securities and Exchange Commission upon request.</w:t>
            </w:r>
          </w:p>
        </w:tc>
      </w:tr>
      <w:tr>
        <w:trPr/>
        <w:tc>
          <w:tcPr>
            <w:tcW w:w="528" w:type="dxa"/>
            <w:tcBorders/>
            <w:vAlign w:val="center"/>
          </w:tcPr>
          <w:p>
            <w:pPr>
              <w:pStyle w:val="TableContents"/>
              <w:bidi w:val="0"/>
              <w:spacing w:before="0" w:after="283"/>
              <w:jc w:val="both"/>
              <w:rPr/>
            </w:pPr>
            <w:r>
              <w:rPr/>
              <w:t> </w:t>
            </w:r>
          </w:p>
        </w:tc>
        <w:tc>
          <w:tcPr>
            <w:tcW w:w="9677" w:type="dxa"/>
            <w:tcBorders/>
            <w:vAlign w:val="center"/>
          </w:tcPr>
          <w:p>
            <w:pPr>
              <w:pStyle w:val="TableContents"/>
              <w:bidi w:val="0"/>
              <w:spacing w:before="0" w:after="283"/>
              <w:jc w:val="both"/>
              <w:rPr/>
            </w:pPr>
            <w:r>
              <w:rPr/>
              <w:t> </w:t>
            </w:r>
          </w:p>
        </w:tc>
      </w:tr>
      <w:tr>
        <w:trPr/>
        <w:tc>
          <w:tcPr>
            <w:tcW w:w="528" w:type="dxa"/>
            <w:tcBorders/>
            <w:vAlign w:val="center"/>
          </w:tcPr>
          <w:p>
            <w:pPr>
              <w:pStyle w:val="TableContents"/>
              <w:bidi w:val="0"/>
              <w:spacing w:before="0" w:after="283"/>
              <w:jc w:val="both"/>
              <w:rPr>
                <w:sz w:val="20"/>
              </w:rPr>
            </w:pPr>
            <w:r>
              <w:rPr>
                <w:sz w:val="20"/>
              </w:rPr>
              <w:t>31.1</w:t>
            </w:r>
          </w:p>
        </w:tc>
        <w:tc>
          <w:tcPr>
            <w:tcW w:w="9677" w:type="dxa"/>
            <w:tcBorders/>
            <w:vAlign w:val="center"/>
          </w:tcPr>
          <w:p>
            <w:pPr>
              <w:pStyle w:val="TableContents"/>
              <w:bidi w:val="0"/>
              <w:spacing w:before="0" w:after="283"/>
              <w:jc w:val="both"/>
              <w:rPr/>
            </w:pPr>
            <w:hyperlink w:anchor="cps_ex3101.htm">
              <w:r>
                <w:rPr>
                  <w:rStyle w:val="InternetLink"/>
                  <w:sz w:val="20"/>
                </w:rPr>
                <w:t>Rule 13a-14(a) Certification of the Chief Executive Officer of the registrant</w:t>
              </w:r>
            </w:hyperlink>
            <w:r>
              <w:rPr>
                <w:sz w:val="20"/>
              </w:rPr>
              <w:t>.</w:t>
            </w:r>
          </w:p>
        </w:tc>
      </w:tr>
      <w:tr>
        <w:trPr/>
        <w:tc>
          <w:tcPr>
            <w:tcW w:w="528" w:type="dxa"/>
            <w:tcBorders/>
            <w:vAlign w:val="center"/>
          </w:tcPr>
          <w:p>
            <w:pPr>
              <w:pStyle w:val="TableContents"/>
              <w:bidi w:val="0"/>
              <w:spacing w:before="0" w:after="283"/>
              <w:jc w:val="both"/>
              <w:rPr/>
            </w:pPr>
            <w:r>
              <w:rPr/>
              <w:t> </w:t>
            </w:r>
          </w:p>
        </w:tc>
        <w:tc>
          <w:tcPr>
            <w:tcW w:w="9677" w:type="dxa"/>
            <w:tcBorders/>
            <w:vAlign w:val="center"/>
          </w:tcPr>
          <w:p>
            <w:pPr>
              <w:pStyle w:val="TableContents"/>
              <w:bidi w:val="0"/>
              <w:spacing w:before="0" w:after="283"/>
              <w:jc w:val="both"/>
              <w:rPr/>
            </w:pPr>
            <w:r>
              <w:rPr/>
              <w:t> </w:t>
            </w:r>
          </w:p>
        </w:tc>
      </w:tr>
      <w:tr>
        <w:trPr/>
        <w:tc>
          <w:tcPr>
            <w:tcW w:w="528" w:type="dxa"/>
            <w:tcBorders/>
            <w:vAlign w:val="center"/>
          </w:tcPr>
          <w:p>
            <w:pPr>
              <w:pStyle w:val="TableContents"/>
              <w:bidi w:val="0"/>
              <w:spacing w:before="0" w:after="283"/>
              <w:jc w:val="both"/>
              <w:rPr>
                <w:sz w:val="20"/>
              </w:rPr>
            </w:pPr>
            <w:r>
              <w:rPr>
                <w:sz w:val="20"/>
              </w:rPr>
              <w:t>31.2</w:t>
            </w:r>
          </w:p>
        </w:tc>
        <w:tc>
          <w:tcPr>
            <w:tcW w:w="9677" w:type="dxa"/>
            <w:tcBorders/>
            <w:vAlign w:val="center"/>
          </w:tcPr>
          <w:p>
            <w:pPr>
              <w:pStyle w:val="TableContents"/>
              <w:bidi w:val="0"/>
              <w:spacing w:before="0" w:after="283"/>
              <w:jc w:val="both"/>
              <w:rPr/>
            </w:pPr>
            <w:hyperlink w:anchor="cps_ex3102.htm">
              <w:r>
                <w:rPr>
                  <w:rStyle w:val="InternetLink"/>
                  <w:sz w:val="20"/>
                </w:rPr>
                <w:t>Rule 13a-14(a) Certification of the Chief Financial Officer of the registrant</w:t>
              </w:r>
            </w:hyperlink>
            <w:r>
              <w:rPr>
                <w:sz w:val="20"/>
              </w:rPr>
              <w:t>.</w:t>
            </w:r>
          </w:p>
        </w:tc>
      </w:tr>
      <w:tr>
        <w:trPr/>
        <w:tc>
          <w:tcPr>
            <w:tcW w:w="528" w:type="dxa"/>
            <w:tcBorders/>
            <w:vAlign w:val="center"/>
          </w:tcPr>
          <w:p>
            <w:pPr>
              <w:pStyle w:val="TableContents"/>
              <w:bidi w:val="0"/>
              <w:spacing w:before="0" w:after="283"/>
              <w:jc w:val="both"/>
              <w:rPr/>
            </w:pPr>
            <w:r>
              <w:rPr/>
              <w:t> </w:t>
            </w:r>
          </w:p>
        </w:tc>
        <w:tc>
          <w:tcPr>
            <w:tcW w:w="9677" w:type="dxa"/>
            <w:tcBorders/>
            <w:vAlign w:val="center"/>
          </w:tcPr>
          <w:p>
            <w:pPr>
              <w:pStyle w:val="TableContents"/>
              <w:bidi w:val="0"/>
              <w:spacing w:before="0" w:after="283"/>
              <w:jc w:val="both"/>
              <w:rPr/>
            </w:pPr>
            <w:r>
              <w:rPr/>
              <w:t> </w:t>
            </w:r>
          </w:p>
        </w:tc>
      </w:tr>
      <w:tr>
        <w:trPr/>
        <w:tc>
          <w:tcPr>
            <w:tcW w:w="528" w:type="dxa"/>
            <w:tcBorders/>
            <w:vAlign w:val="center"/>
          </w:tcPr>
          <w:p>
            <w:pPr>
              <w:pStyle w:val="TableContents"/>
              <w:bidi w:val="0"/>
              <w:spacing w:before="0" w:after="283"/>
              <w:jc w:val="both"/>
              <w:rPr>
                <w:sz w:val="20"/>
              </w:rPr>
            </w:pPr>
            <w:r>
              <w:rPr>
                <w:sz w:val="20"/>
              </w:rPr>
              <w:t>32</w:t>
            </w:r>
          </w:p>
        </w:tc>
        <w:tc>
          <w:tcPr>
            <w:tcW w:w="9677" w:type="dxa"/>
            <w:tcBorders/>
            <w:vAlign w:val="center"/>
          </w:tcPr>
          <w:p>
            <w:pPr>
              <w:pStyle w:val="TableContents"/>
              <w:bidi w:val="0"/>
              <w:spacing w:before="0" w:after="0"/>
              <w:ind w:left="0" w:right="0" w:hanging="0"/>
              <w:jc w:val="both"/>
              <w:rPr/>
            </w:pPr>
            <w:hyperlink w:anchor="cps_ex3200.htm">
              <w:r>
                <w:rPr>
                  <w:rStyle w:val="InternetLink"/>
                  <w:rFonts w:ascii="Times New Roman;Times;Serif" w:hAnsi="Times New Roman;Times;Serif"/>
                  <w:b w:val="false"/>
                  <w:i w:val="false"/>
                  <w:caps w:val="false"/>
                  <w:smallCaps w:val="false"/>
                  <w:sz w:val="20"/>
                </w:rPr>
                <w:t>Section 1350 Certifications</w:t>
              </w:r>
            </w:hyperlink>
            <w:r>
              <w:rPr>
                <w:rFonts w:ascii="Times New Roman;Times;Serif" w:hAnsi="Times New Roman;Times;Serif"/>
                <w:b w:val="false"/>
                <w:i w:val="false"/>
                <w:caps w:val="false"/>
                <w:smallCaps w:val="false"/>
                <w:sz w:val="20"/>
              </w:rPr>
              <w:t>.*</w:t>
            </w:r>
          </w:p>
        </w:tc>
      </w:tr>
      <w:tr>
        <w:trPr/>
        <w:tc>
          <w:tcPr>
            <w:tcW w:w="528" w:type="dxa"/>
            <w:tcBorders/>
            <w:vAlign w:val="center"/>
          </w:tcPr>
          <w:p>
            <w:pPr>
              <w:pStyle w:val="TableContents"/>
              <w:bidi w:val="0"/>
              <w:spacing w:before="0" w:after="283"/>
              <w:jc w:val="both"/>
              <w:rPr/>
            </w:pPr>
            <w:r>
              <w:rPr/>
              <w:t> </w:t>
            </w:r>
          </w:p>
        </w:tc>
        <w:tc>
          <w:tcPr>
            <w:tcW w:w="9677" w:type="dxa"/>
            <w:tcBorders/>
            <w:vAlign w:val="center"/>
          </w:tcPr>
          <w:p>
            <w:pPr>
              <w:pStyle w:val="TableContents"/>
              <w:bidi w:val="0"/>
              <w:spacing w:before="0" w:after="283"/>
              <w:jc w:val="left"/>
              <w:rPr/>
            </w:pPr>
            <w:r>
              <w:rPr/>
              <w:t> </w:t>
            </w:r>
          </w:p>
        </w:tc>
      </w:tr>
      <w:tr>
        <w:trPr/>
        <w:tc>
          <w:tcPr>
            <w:tcW w:w="528" w:type="dxa"/>
            <w:tcBorders/>
            <w:vAlign w:val="center"/>
          </w:tcPr>
          <w:p>
            <w:pPr>
              <w:pStyle w:val="TableContents"/>
              <w:bidi w:val="0"/>
              <w:spacing w:before="0" w:after="283"/>
              <w:jc w:val="both"/>
              <w:rPr/>
            </w:pPr>
            <w:r>
              <w:rPr/>
              <w:t> </w:t>
            </w:r>
          </w:p>
        </w:tc>
        <w:tc>
          <w:tcPr>
            <w:tcW w:w="9677" w:type="dxa"/>
            <w:tcBorders/>
            <w:vAlign w:val="center"/>
          </w:tcPr>
          <w:p>
            <w:pPr>
              <w:pStyle w:val="TableContents"/>
              <w:bidi w:val="0"/>
              <w:spacing w:before="0" w:after="283"/>
              <w:jc w:val="left"/>
              <w:rPr/>
            </w:pPr>
            <w:r>
              <w:rPr/>
              <w:t> </w:t>
            </w:r>
          </w:p>
        </w:tc>
      </w:tr>
      <w:tr>
        <w:trPr/>
        <w:tc>
          <w:tcPr>
            <w:tcW w:w="528" w:type="dxa"/>
            <w:tcBorders/>
            <w:vAlign w:val="center"/>
          </w:tcPr>
          <w:p>
            <w:pPr>
              <w:pStyle w:val="TableContents"/>
              <w:bidi w:val="0"/>
              <w:spacing w:before="0" w:after="283"/>
              <w:jc w:val="both"/>
              <w:rPr>
                <w:sz w:val="20"/>
              </w:rPr>
            </w:pPr>
            <w:r>
              <w:rPr>
                <w:sz w:val="20"/>
              </w:rPr>
              <w:t>101.INS</w:t>
            </w:r>
          </w:p>
        </w:tc>
        <w:tc>
          <w:tcPr>
            <w:tcW w:w="9677" w:type="dxa"/>
            <w:tcBorders/>
            <w:vAlign w:val="center"/>
          </w:tcPr>
          <w:p>
            <w:pPr>
              <w:pStyle w:val="TableContents"/>
              <w:bidi w:val="0"/>
              <w:spacing w:before="0" w:after="283"/>
              <w:jc w:val="both"/>
              <w:rPr>
                <w:sz w:val="20"/>
              </w:rPr>
            </w:pPr>
            <w:r>
              <w:rPr>
                <w:sz w:val="20"/>
              </w:rPr>
              <w:t>Inline XBRL Instance Document (the instance document does not appear in the Interactive Data File because its XBRL tags are embedded within the Inline XBRL document)</w:t>
            </w:r>
          </w:p>
        </w:tc>
      </w:tr>
      <w:tr>
        <w:trPr/>
        <w:tc>
          <w:tcPr>
            <w:tcW w:w="528" w:type="dxa"/>
            <w:tcBorders/>
            <w:vAlign w:val="center"/>
          </w:tcPr>
          <w:p>
            <w:pPr>
              <w:pStyle w:val="TableContents"/>
              <w:bidi w:val="0"/>
              <w:spacing w:before="0" w:after="283"/>
              <w:jc w:val="both"/>
              <w:rPr>
                <w:sz w:val="20"/>
              </w:rPr>
            </w:pPr>
            <w:r>
              <w:rPr>
                <w:sz w:val="20"/>
              </w:rPr>
              <w:t>101.SCH</w:t>
            </w:r>
          </w:p>
        </w:tc>
        <w:tc>
          <w:tcPr>
            <w:tcW w:w="9677" w:type="dxa"/>
            <w:tcBorders/>
            <w:vAlign w:val="center"/>
          </w:tcPr>
          <w:p>
            <w:pPr>
              <w:pStyle w:val="TableContents"/>
              <w:bidi w:val="0"/>
              <w:spacing w:before="0" w:after="283"/>
              <w:jc w:val="both"/>
              <w:rPr>
                <w:sz w:val="20"/>
              </w:rPr>
            </w:pPr>
            <w:r>
              <w:rPr>
                <w:sz w:val="20"/>
              </w:rPr>
              <w:t>Inline XBRL Taxonomy Extension Schema Document</w:t>
            </w:r>
          </w:p>
        </w:tc>
      </w:tr>
      <w:tr>
        <w:trPr/>
        <w:tc>
          <w:tcPr>
            <w:tcW w:w="528" w:type="dxa"/>
            <w:tcBorders/>
            <w:vAlign w:val="center"/>
          </w:tcPr>
          <w:p>
            <w:pPr>
              <w:pStyle w:val="TableContents"/>
              <w:bidi w:val="0"/>
              <w:spacing w:before="0" w:after="283"/>
              <w:jc w:val="both"/>
              <w:rPr>
                <w:sz w:val="20"/>
              </w:rPr>
            </w:pPr>
            <w:r>
              <w:rPr>
                <w:sz w:val="20"/>
              </w:rPr>
              <w:t>101.CAL</w:t>
            </w:r>
          </w:p>
        </w:tc>
        <w:tc>
          <w:tcPr>
            <w:tcW w:w="9677" w:type="dxa"/>
            <w:tcBorders/>
            <w:vAlign w:val="center"/>
          </w:tcPr>
          <w:p>
            <w:pPr>
              <w:pStyle w:val="TableContents"/>
              <w:bidi w:val="0"/>
              <w:spacing w:before="0" w:after="283"/>
              <w:jc w:val="both"/>
              <w:rPr>
                <w:sz w:val="20"/>
              </w:rPr>
            </w:pPr>
            <w:r>
              <w:rPr>
                <w:sz w:val="20"/>
              </w:rPr>
              <w:t>Inline XBRL Taxonomy Extension Calculation Linkbase Document</w:t>
            </w:r>
          </w:p>
        </w:tc>
      </w:tr>
      <w:tr>
        <w:trPr/>
        <w:tc>
          <w:tcPr>
            <w:tcW w:w="528" w:type="dxa"/>
            <w:tcBorders/>
            <w:vAlign w:val="center"/>
          </w:tcPr>
          <w:p>
            <w:pPr>
              <w:pStyle w:val="TableContents"/>
              <w:bidi w:val="0"/>
              <w:spacing w:before="0" w:after="283"/>
              <w:jc w:val="both"/>
              <w:rPr>
                <w:sz w:val="20"/>
              </w:rPr>
            </w:pPr>
            <w:r>
              <w:rPr>
                <w:sz w:val="20"/>
              </w:rPr>
              <w:t>101.DEF</w:t>
            </w:r>
          </w:p>
        </w:tc>
        <w:tc>
          <w:tcPr>
            <w:tcW w:w="9677" w:type="dxa"/>
            <w:tcBorders/>
            <w:vAlign w:val="center"/>
          </w:tcPr>
          <w:p>
            <w:pPr>
              <w:pStyle w:val="TableContents"/>
              <w:bidi w:val="0"/>
              <w:spacing w:before="0" w:after="283"/>
              <w:jc w:val="both"/>
              <w:rPr>
                <w:sz w:val="20"/>
              </w:rPr>
            </w:pPr>
            <w:r>
              <w:rPr>
                <w:sz w:val="20"/>
              </w:rPr>
              <w:t>Inline XBRL Taxonomy Extension Definition Linkbase Document</w:t>
            </w:r>
          </w:p>
        </w:tc>
      </w:tr>
      <w:tr>
        <w:trPr/>
        <w:tc>
          <w:tcPr>
            <w:tcW w:w="528" w:type="dxa"/>
            <w:tcBorders/>
            <w:vAlign w:val="center"/>
          </w:tcPr>
          <w:p>
            <w:pPr>
              <w:pStyle w:val="TableContents"/>
              <w:bidi w:val="0"/>
              <w:spacing w:before="0" w:after="283"/>
              <w:jc w:val="both"/>
              <w:rPr>
                <w:sz w:val="20"/>
              </w:rPr>
            </w:pPr>
            <w:r>
              <w:rPr>
                <w:sz w:val="20"/>
              </w:rPr>
              <w:t>101.LAB</w:t>
            </w:r>
          </w:p>
        </w:tc>
        <w:tc>
          <w:tcPr>
            <w:tcW w:w="9677" w:type="dxa"/>
            <w:tcBorders/>
            <w:vAlign w:val="center"/>
          </w:tcPr>
          <w:p>
            <w:pPr>
              <w:pStyle w:val="TableContents"/>
              <w:bidi w:val="0"/>
              <w:spacing w:before="0" w:after="283"/>
              <w:jc w:val="both"/>
              <w:rPr>
                <w:sz w:val="20"/>
              </w:rPr>
            </w:pPr>
            <w:r>
              <w:rPr>
                <w:sz w:val="20"/>
              </w:rPr>
              <w:t>Inline XBRL Taxonomy Extension Definition Linkbase Document</w:t>
            </w:r>
          </w:p>
        </w:tc>
      </w:tr>
      <w:tr>
        <w:trPr/>
        <w:tc>
          <w:tcPr>
            <w:tcW w:w="528" w:type="dxa"/>
            <w:tcBorders/>
            <w:vAlign w:val="center"/>
          </w:tcPr>
          <w:p>
            <w:pPr>
              <w:pStyle w:val="TableContents"/>
              <w:bidi w:val="0"/>
              <w:spacing w:before="0" w:after="283"/>
              <w:jc w:val="both"/>
              <w:rPr>
                <w:sz w:val="20"/>
              </w:rPr>
            </w:pPr>
            <w:r>
              <w:rPr>
                <w:sz w:val="20"/>
              </w:rPr>
              <w:t>101.PRE</w:t>
            </w:r>
          </w:p>
        </w:tc>
        <w:tc>
          <w:tcPr>
            <w:tcW w:w="9677" w:type="dxa"/>
            <w:tcBorders/>
            <w:vAlign w:val="center"/>
          </w:tcPr>
          <w:p>
            <w:pPr>
              <w:pStyle w:val="TableContents"/>
              <w:bidi w:val="0"/>
              <w:spacing w:before="0" w:after="283"/>
              <w:jc w:val="both"/>
              <w:rPr>
                <w:sz w:val="20"/>
              </w:rPr>
            </w:pPr>
            <w:r>
              <w:rPr>
                <w:sz w:val="20"/>
              </w:rPr>
              <w:t>Inline XBRL Taxonomy Extension Presentation Linkbase Document</w:t>
            </w:r>
          </w:p>
        </w:tc>
      </w:tr>
      <w:tr>
        <w:trPr/>
        <w:tc>
          <w:tcPr>
            <w:tcW w:w="528" w:type="dxa"/>
            <w:tcBorders/>
            <w:vAlign w:val="center"/>
          </w:tcPr>
          <w:p>
            <w:pPr>
              <w:pStyle w:val="TableContents"/>
              <w:bidi w:val="0"/>
              <w:spacing w:before="0" w:after="283"/>
              <w:jc w:val="both"/>
              <w:rPr>
                <w:sz w:val="20"/>
              </w:rPr>
            </w:pPr>
            <w:r>
              <w:rPr>
                <w:sz w:val="20"/>
              </w:rPr>
              <w:t>104</w:t>
            </w:r>
          </w:p>
        </w:tc>
        <w:tc>
          <w:tcPr>
            <w:tcW w:w="9677" w:type="dxa"/>
            <w:tcBorders/>
            <w:vAlign w:val="center"/>
          </w:tcPr>
          <w:p>
            <w:pPr>
              <w:pStyle w:val="TableContents"/>
              <w:bidi w:val="0"/>
              <w:spacing w:before="0" w:after="283"/>
              <w:jc w:val="both"/>
              <w:rPr>
                <w:sz w:val="20"/>
              </w:rPr>
            </w:pPr>
            <w:r>
              <w:rPr>
                <w:sz w:val="20"/>
              </w:rPr>
              <w:t>Cover Page Interactive Data File (formatted in inline XBRL, and included in exhibit 101).</w:t>
            </w:r>
          </w:p>
        </w:tc>
      </w:tr>
    </w:tbl>
    <w:p>
      <w:pPr>
        <w:pStyle w:val="TextBody"/>
        <w:bidi w:val="0"/>
        <w:spacing w:before="0" w:after="0"/>
        <w:ind w:left="288" w:right="0" w:firstLine="346"/>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These Certifications shall not be deemed “filed” for purposes of Section 18 of the Securities Exchange Act of 1934, as amended, or otherwise subject to the liability of that section. These Certifications shall not be deemed to be incorporated by reference into any filing under the Securities Act of 1933, as amended, or the Exchange Act, except to the extent that the registration statement specifically states that such Certifications are incorporated therein.</w:t>
      </w:r>
    </w:p>
    <w:p>
      <w:pPr>
        <w:pStyle w:val="TextBody"/>
        <w:bidi w:val="0"/>
        <w:spacing w:before="0" w:after="0"/>
        <w:ind w:left="288" w:right="0" w:firstLine="346"/>
        <w:jc w:val="both"/>
        <w:rPr>
          <w:caps w:val="false"/>
          <w:smallCaps w:val="false"/>
        </w:rPr>
      </w:pPr>
      <w:r>
        <w:rPr>
          <w:caps w:val="false"/>
          <w:smallCaps w:val="false"/>
        </w:rPr>
        <w:t> </w:t>
      </w:r>
    </w:p>
    <w:p>
      <w:pPr>
        <w:pStyle w:val="TextBody"/>
        <w:bidi w:val="0"/>
        <w:spacing w:before="0" w:after="0"/>
        <w:ind w:left="288" w:right="0" w:firstLine="346"/>
        <w:jc w:val="both"/>
        <w:rPr>
          <w:caps w:val="false"/>
          <w:smallCaps w:val="false"/>
        </w:rPr>
      </w:pPr>
      <w:r>
        <w:rPr>
          <w:caps w:val="false"/>
          <w:smallCaps w:val="false"/>
        </w:rPr>
        <w:t> </w:t>
      </w:r>
    </w:p>
    <w:p>
      <w:pPr>
        <w:pStyle w:val="TextBody"/>
        <w:bidi w:val="0"/>
        <w:spacing w:before="0" w:after="0"/>
        <w:ind w:left="288" w:right="0" w:firstLine="346"/>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288" w:right="0" w:firstLine="346"/>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74" w:name="q3_017"/>
      <w:bookmarkEnd w:id="1074"/>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2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duly caused this report to be signed on its behalf by the undersigned thereunto duly authorized.</w:t>
      </w:r>
    </w:p>
    <w:p>
      <w:pPr>
        <w:pStyle w:val="TextBody"/>
        <w:bidi w:val="0"/>
        <w:spacing w:before="0" w:after="0"/>
        <w:ind w:left="0" w:right="0" w:firstLine="288"/>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 PORTFOLIO SERVICES, INC.</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9,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200" w:right="0" w:firstLine="3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CHARLES E. BRADLEY, JR.                      </w:t>
      </w:r>
    </w:p>
    <w:p>
      <w:pPr>
        <w:pStyle w:val="TextBody"/>
        <w:bidi w:val="0"/>
        <w:spacing w:before="0" w:after="0"/>
        <w:ind w:left="3200" w:right="0" w:firstLine="3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Charles E. Bradley, Jr.</w:t>
      </w:r>
    </w:p>
    <w:p>
      <w:pPr>
        <w:pStyle w:val="TextBody"/>
        <w:bidi w:val="0"/>
        <w:spacing w:before="0" w:after="0"/>
        <w:ind w:left="3200" w:right="0" w:firstLine="320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w:t>
      </w:r>
    </w:p>
    <w:p>
      <w:pPr>
        <w:pStyle w:val="TextBody"/>
        <w:bidi w:val="0"/>
        <w:spacing w:before="0" w:after="0"/>
        <w:ind w:left="3200" w:right="0" w:firstLine="3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p>
      <w:pPr>
        <w:pStyle w:val="TextBody"/>
        <w:bidi w:val="0"/>
        <w:spacing w:before="0" w:after="0"/>
        <w:ind w:left="3200" w:right="0" w:firstLine="320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9, 2023</w:t>
      </w:r>
    </w:p>
    <w:p>
      <w:pPr>
        <w:pStyle w:val="TextBody"/>
        <w:bidi w:val="0"/>
        <w:spacing w:before="0" w:after="0"/>
        <w:ind w:left="3200" w:right="0" w:firstLine="400"/>
        <w:jc w:val="both"/>
        <w:rPr>
          <w:caps w:val="false"/>
          <w:smallCaps w:val="false"/>
        </w:rPr>
      </w:pPr>
      <w:r>
        <w:rPr>
          <w:caps w:val="false"/>
          <w:smallCaps w:val="false"/>
        </w:rPr>
        <w:t> </w:t>
      </w:r>
    </w:p>
    <w:p>
      <w:pPr>
        <w:pStyle w:val="TextBody"/>
        <w:bidi w:val="0"/>
        <w:spacing w:before="0" w:after="0"/>
        <w:ind w:left="3200" w:right="0" w:firstLine="3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DENESH BHARWANI                      </w:t>
      </w:r>
    </w:p>
    <w:p>
      <w:pPr>
        <w:pStyle w:val="TextBody"/>
        <w:bidi w:val="0"/>
        <w:spacing w:before="0" w:after="0"/>
        <w:ind w:left="3200" w:right="0" w:firstLine="3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Denesh Bharwani</w:t>
      </w:r>
    </w:p>
    <w:p>
      <w:pPr>
        <w:pStyle w:val="TextBody"/>
        <w:bidi w:val="0"/>
        <w:spacing w:before="0" w:after="0"/>
        <w:ind w:left="3200" w:right="0" w:firstLine="320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Executive Vice President and Chief Financial Officer</w:t>
      </w:r>
    </w:p>
    <w:p>
      <w:pPr>
        <w:pStyle w:val="TextBody"/>
        <w:bidi w:val="0"/>
        <w:spacing w:before="0" w:after="0"/>
        <w:ind w:left="3200" w:right="0" w:firstLine="3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075" w:name="cps_ex3101.htm"/>
      <w:bookmarkStart w:id="1076" w:name="kscps_ex3101"/>
      <w:bookmarkEnd w:id="1075"/>
      <w:bookmarkEnd w:id="1076"/>
      <w:r>
        <w:rPr>
          <w:rFonts w:ascii="Times New Roman;Times;Serif" w:hAnsi="Times New Roman;Times;Serif"/>
          <w:b/>
          <w:i w:val="false"/>
          <w:caps w:val="false"/>
          <w:smallCaps w:val="false"/>
          <w:sz w:val="20"/>
        </w:rPr>
        <w:t xml:space="preserve">Exhibit 31.1 </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Charles E. Bradley, Jr.,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for the quarterly period ended September 30, 2023 of Consumer Portfolio Services,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720" w:right="0" w:hanging="0"/>
        <w:jc w:val="both"/>
        <w:rPr>
          <w:caps w:val="false"/>
          <w:smallCaps w:val="false"/>
        </w:rPr>
      </w:pPr>
      <w:r>
        <w:rPr>
          <w:caps w:val="false"/>
          <w:smallCaps w:val="false"/>
        </w:rPr>
        <w:t> </w:t>
      </w:r>
    </w:p>
    <w:tbl>
      <w:tblPr>
        <w:tblW w:w="4160" w:type="dxa"/>
        <w:jc w:val="left"/>
        <w:tblInd w:w="0" w:type="dxa"/>
        <w:tblLayout w:type="fixed"/>
        <w:tblCellMar>
          <w:top w:w="0" w:type="dxa"/>
          <w:left w:w="0" w:type="dxa"/>
          <w:bottom w:w="0" w:type="dxa"/>
          <w:right w:w="0" w:type="dxa"/>
        </w:tblCellMar>
      </w:tblPr>
      <w:tblGrid>
        <w:gridCol w:w="4025"/>
        <w:gridCol w:w="60"/>
        <w:gridCol w:w="75"/>
      </w:tblGrid>
      <w:tr>
        <w:trPr/>
        <w:tc>
          <w:tcPr>
            <w:tcW w:w="4025" w:type="dxa"/>
            <w:tcBorders/>
            <w:vAlign w:val="center"/>
          </w:tcPr>
          <w:p>
            <w:pPr>
              <w:pStyle w:val="TableContents"/>
              <w:bidi w:val="0"/>
              <w:spacing w:before="0" w:after="283"/>
              <w:jc w:val="both"/>
              <w:rPr>
                <w:sz w:val="20"/>
              </w:rPr>
            </w:pPr>
            <w:r>
              <w:rPr>
                <w:sz w:val="20"/>
              </w:rPr>
              <w:t>Date: November 9, 2023</w:t>
            </w:r>
          </w:p>
        </w:tc>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402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r>
            <w:r>
              <w:rPr>
                <w:rFonts w:ascii="Times New Roman;Times;Serif" w:hAnsi="Times New Roman;Times;Serif"/>
                <w:b w:val="false"/>
                <w:i w:val="false"/>
                <w:caps w:val="false"/>
                <w:smallCaps w:val="false"/>
                <w:sz w:val="20"/>
                <w:u w:val="single"/>
              </w:rPr>
              <w:t>/s/ CHARLES E. BRADLEY, JR.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Charles E. Bradley, Jr. Chief Executive Officer</w:t>
            </w:r>
          </w:p>
        </w:tc>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077" w:name="cps_ex3102.htm"/>
      <w:bookmarkStart w:id="1078" w:name="kscps_ex3102"/>
      <w:bookmarkEnd w:id="1077"/>
      <w:bookmarkEnd w:id="1078"/>
      <w:r>
        <w:rPr>
          <w:rFonts w:ascii="Times New Roman;Times;Serif" w:hAnsi="Times New Roman;Times;Serif"/>
          <w:b/>
          <w:i w:val="false"/>
          <w:caps w:val="false"/>
          <w:smallCaps w:val="false"/>
          <w:sz w:val="20"/>
        </w:rPr>
        <w:t xml:space="preserve">Exhibit 31.2 </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Denesh Bharwani,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for the quarterly period ended September 30, 2023 of Consumer Portfolio Services,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720" w:right="0" w:hanging="0"/>
        <w:jc w:val="both"/>
        <w:rPr>
          <w:caps w:val="false"/>
          <w:smallCaps w:val="false"/>
        </w:rPr>
      </w:pPr>
      <w:r>
        <w:rPr>
          <w:caps w:val="false"/>
          <w:smallCaps w:val="false"/>
        </w:rPr>
        <w:t> </w:t>
      </w:r>
    </w:p>
    <w:tbl>
      <w:tblPr>
        <w:tblW w:w="3545" w:type="dxa"/>
        <w:jc w:val="left"/>
        <w:tblInd w:w="0" w:type="dxa"/>
        <w:tblLayout w:type="fixed"/>
        <w:tblCellMar>
          <w:top w:w="0" w:type="dxa"/>
          <w:left w:w="0" w:type="dxa"/>
          <w:bottom w:w="0" w:type="dxa"/>
          <w:right w:w="0" w:type="dxa"/>
        </w:tblCellMar>
      </w:tblPr>
      <w:tblGrid>
        <w:gridCol w:w="3410"/>
        <w:gridCol w:w="60"/>
        <w:gridCol w:w="75"/>
      </w:tblGrid>
      <w:tr>
        <w:trPr/>
        <w:tc>
          <w:tcPr>
            <w:tcW w:w="3410" w:type="dxa"/>
            <w:tcBorders/>
            <w:vAlign w:val="center"/>
          </w:tcPr>
          <w:p>
            <w:pPr>
              <w:pStyle w:val="TableContents"/>
              <w:bidi w:val="0"/>
              <w:spacing w:before="0" w:after="283"/>
              <w:jc w:val="both"/>
              <w:rPr>
                <w:sz w:val="20"/>
              </w:rPr>
            </w:pPr>
            <w:r>
              <w:rPr>
                <w:sz w:val="20"/>
              </w:rPr>
              <w:t>Date: November 9, 2023</w:t>
            </w:r>
          </w:p>
        </w:tc>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41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r>
            <w:r>
              <w:rPr>
                <w:rFonts w:ascii="Times New Roman;Times;Serif" w:hAnsi="Times New Roman;Times;Serif"/>
                <w:b w:val="false"/>
                <w:i w:val="false"/>
                <w:caps w:val="false"/>
                <w:smallCaps w:val="false"/>
                <w:sz w:val="20"/>
                <w:u w:val="single"/>
              </w:rPr>
              <w:t>/s/  DENESH BHARWANI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Denesh Bharwani, Chief Financial Officer</w:t>
            </w:r>
          </w:p>
        </w:tc>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079" w:name="cps_ex3200.htm"/>
      <w:bookmarkStart w:id="1080" w:name="kscps_ex3200"/>
      <w:bookmarkEnd w:id="1079"/>
      <w:bookmarkEnd w:id="1080"/>
      <w:r>
        <w:rPr>
          <w:rFonts w:ascii="Times New Roman;Times;Serif" w:hAnsi="Times New Roman;Times;Serif"/>
          <w:b/>
          <w:i w:val="false"/>
          <w:caps w:val="false"/>
          <w:smallCaps w:val="false"/>
          <w:sz w:val="20"/>
        </w:rPr>
        <w:t xml:space="preserve">Exhibit 32 </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Certification Pursuant To</w:t>
        <w:br/>
        <w:t>18 U.S.C. Section 1350,</w:t>
        <w:br/>
        <w:t>As Adopted Pursuant To</w:t>
        <w:br/>
        <w:t xml:space="preserve">Section 906 of The Sarbanes-Oxley Act Of 2002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Consumer Portfolio Services, Inc. (the “Company”) for the quarterly period ended September 30, 2023, as filed with the Securities and Exchange Commission on the date hereof (the “Report”), Charles E. Bradley, Jr., as Chief Executive Officer of the Company, and Denesh Bharwani, as Chief Financial Officer of the Company, each hereby certifies, pursuant to 18 U.S.C. §1350, as adopted pursuant to §906 of the Sarbanes-Oxley Act of 2002,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and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firstLine="360"/>
        <w:jc w:val="left"/>
        <w:rPr>
          <w:caps w:val="false"/>
          <w:smallCaps w:val="false"/>
        </w:rPr>
      </w:pPr>
      <w:r>
        <w:rPr>
          <w:caps w:val="false"/>
          <w:smallCaps w:val="false"/>
        </w:rPr>
        <w:t> </w:t>
      </w:r>
    </w:p>
    <w:tbl>
      <w:tblPr>
        <w:tblW w:w="3980" w:type="dxa"/>
        <w:jc w:val="left"/>
        <w:tblInd w:w="0" w:type="dxa"/>
        <w:tblLayout w:type="fixed"/>
        <w:tblCellMar>
          <w:top w:w="0" w:type="dxa"/>
          <w:left w:w="0" w:type="dxa"/>
          <w:bottom w:w="0" w:type="dxa"/>
          <w:right w:w="0" w:type="dxa"/>
        </w:tblCellMar>
      </w:tblPr>
      <w:tblGrid>
        <w:gridCol w:w="3845"/>
        <w:gridCol w:w="60"/>
        <w:gridCol w:w="75"/>
      </w:tblGrid>
      <w:tr>
        <w:trPr/>
        <w:tc>
          <w:tcPr>
            <w:tcW w:w="384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9, 2023</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CHARLES E. BRADLEY, JR.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Charles E. Bradley, Jr.</w:t>
              <w:br/>
              <w:t>Chief Executive Officer</w:t>
              <w:br/>
              <w:t>___________________</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84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r>
            <w:r>
              <w:rPr>
                <w:rFonts w:ascii="Times New Roman;Times;Serif" w:hAnsi="Times New Roman;Times;Serif"/>
                <w:b w:val="false"/>
                <w:i w:val="false"/>
                <w:caps w:val="false"/>
                <w:smallCaps w:val="false"/>
                <w:sz w:val="20"/>
                <w:u w:val="single"/>
              </w:rPr>
              <w:t>/s/  DENESH BHARWANI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Denesh Bharwani</w:t>
              <w:br/>
              <w:t>Chief Financial Officer</w:t>
              <w:br/>
              <w:t>__________________</w:t>
            </w:r>
          </w:p>
        </w:tc>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accompanies each Report pursuant to § 906 of the Sarbanes-Oxley Act of 2002 and shall not, except to the extent required by the Sarbanes-Oxley Act of 2002, be deemed filed by the Company for purposes of §18 of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written statement required by Section 906 has been provided to the Company and will be retained by the Company and furnished to the Securities and Exchange Commission or its staff upon request.</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21653</Words>
  <Characters>119372</Characters>
  <CharactersWithSpaces>145766</CharactersWithSpaces>
  <Paragraphs>10840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