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780" w:hanging="3190"/>
        <w:spacing w:after="0" w:line="501" w:lineRule="auto"/>
        <w:tabs>
          <w:tab w:leader="none" w:pos="149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7"/>
              </w:rPr>
              <w:t>California</w:t>
            </w:r>
          </w:p>
        </w:tc>
        <w:tc>
          <w:tcPr>
            <w:tcW w:w="3640" w:type="dxa"/>
            <w:vAlign w:val="bottom"/>
          </w:tcPr>
          <w:p>
            <w:pPr>
              <w:jc w:val="right"/>
              <w:ind w:right="71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9"/>
              </w:rPr>
              <w:t>3800 Howard Hughes Parkway, Suite 1400,</w:t>
            </w:r>
          </w:p>
        </w:tc>
        <w:tc>
          <w:tcPr>
            <w:tcW w:w="3640" w:type="dxa"/>
            <w:vAlign w:val="bottom"/>
          </w:tcPr>
          <w:p>
            <w:pPr>
              <w:spacing w:after="0"/>
              <w:rPr>
                <w:sz w:val="24"/>
                <w:szCs w:val="24"/>
                <w:color w:val="auto"/>
              </w:rPr>
            </w:pP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[_]</w:t>
      </w:r>
    </w:p>
    <w:p>
      <w:pPr>
        <w:spacing w:after="0" w:line="18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[_]</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[_]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[_]</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[_]</w:t>
      </w:r>
    </w:p>
    <w:p>
      <w:pPr>
        <w:spacing w:after="0" w:line="200" w:lineRule="exact"/>
        <w:rPr>
          <w:sz w:val="24"/>
          <w:szCs w:val="24"/>
          <w:color w:val="auto"/>
        </w:rPr>
      </w:pPr>
    </w:p>
    <w:p>
      <w:pPr>
        <w:sectPr>
          <w:pgSz w:w="11900" w:h="16838" w:orient="portrait"/>
          <w:cols w:equalWidth="0" w:num="2">
            <w:col w:w="5220" w:space="500"/>
            <w:col w:w="5700"/>
          </w:cols>
          <w:pgMar w:left="240" w:top="233" w:right="239" w:bottom="1440" w:gutter="0" w:footer="0" w:header="0"/>
          <w:type w:val="continuous"/>
        </w:sectPr>
      </w:pPr>
    </w:p>
    <w:p>
      <w:pPr>
        <w:spacing w:after="0" w:line="2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2018 the registrant had 22,948,687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8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gridSpan w:val="2"/>
          </w:tcPr>
          <w:p>
            <w:pPr>
              <w:ind w:left="2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80" w:type="dxa"/>
            <w:vAlign w:val="bottom"/>
            <w:gridSpan w:val="8"/>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9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2018 and December 31, 2017</w:t>
              </w:r>
            </w:hyperlink>
          </w:p>
        </w:tc>
        <w:tc>
          <w:tcPr>
            <w:tcW w:w="2360" w:type="dxa"/>
            <w:vAlign w:val="bottom"/>
            <w:gridSpan w:val="4"/>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300" w:type="dxa"/>
            <w:vAlign w:val="bottom"/>
            <w:gridSpan w:val="13"/>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Consolidated Statements of Operations for the three-month and six-month periods ended June 30, 2018</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2017</w:t>
              </w:r>
            </w:hyperlink>
          </w:p>
        </w:tc>
        <w:tc>
          <w:tcPr>
            <w:tcW w:w="220" w:type="dxa"/>
            <w:vAlign w:val="bottom"/>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89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six-month periods ended</w:t>
              </w:r>
            </w:hyperlink>
          </w:p>
        </w:tc>
        <w:tc>
          <w:tcPr>
            <w:tcW w:w="3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2018 and 2017</w:t>
              </w:r>
            </w:hyperlink>
          </w:p>
        </w:tc>
        <w:tc>
          <w:tcPr>
            <w:tcW w:w="7580" w:type="dxa"/>
            <w:vAlign w:val="bottom"/>
            <w:gridSpan w:val="10"/>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six-month periods ended June 30, 2018 and 2017</w:t>
              </w:r>
            </w:hyperlink>
          </w:p>
        </w:tc>
        <w:tc>
          <w:tcPr>
            <w:tcW w:w="680" w:type="dxa"/>
            <w:vAlign w:val="bottom"/>
            <w:gridSpan w:val="3"/>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500" w:type="dxa"/>
            <w:vAlign w:val="bottom"/>
            <w:gridSpan w:val="7"/>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4"/>
          </w:tcPr>
          <w:p>
            <w:pPr>
              <w:spacing w:after="0"/>
              <w:rPr>
                <w:sz w:val="17"/>
                <w:szCs w:val="17"/>
                <w:color w:val="auto"/>
              </w:rPr>
            </w:pPr>
          </w:p>
        </w:tc>
        <w:tc>
          <w:tcPr>
            <w:tcW w:w="2840" w:type="dxa"/>
            <w:vAlign w:val="bottom"/>
            <w:gridSpan w:val="5"/>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396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4500" w:type="dxa"/>
            <w:vAlign w:val="bottom"/>
            <w:gridSpan w:val="3"/>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584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39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Unregistered Sales of Equity Securities and Use of Proceeds</w:t>
              </w:r>
            </w:hyperlink>
          </w:p>
        </w:tc>
        <w:tc>
          <w:tcPr>
            <w:tcW w:w="1480" w:type="dxa"/>
            <w:vAlign w:val="bottom"/>
          </w:tcPr>
          <w:p>
            <w:pPr>
              <w:spacing w:after="0"/>
              <w:rPr>
                <w:sz w:val="17"/>
                <w:szCs w:val="17"/>
                <w:color w:val="auto"/>
              </w:rPr>
            </w:pPr>
          </w:p>
        </w:tc>
        <w:tc>
          <w:tcPr>
            <w:tcW w:w="39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84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39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40" w:type="dxa"/>
            <w:vAlign w:val="bottom"/>
            <w:gridSpan w:val="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39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796"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FINANCIAL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17,435</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119,940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1,887,530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2,304,984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(94,376)</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(109,187)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1,793,154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412,895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31,430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37,517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26,400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2,440,670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2,424,841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27,313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137,930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39,269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2,030,705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2,083,215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15,831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2,251,048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20,962,592 and 21,488,589 shares issued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and outstanding at June 30, 2018 and December 31, 2017, respectively</w:t>
            </w:r>
          </w:p>
        </w:tc>
        <w:tc>
          <w:tcPr>
            <w:tcW w:w="2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70,955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125,849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(7,182)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189,622</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183,937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2,440,670</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2,424,841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97,012</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107,485</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197,918</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2,350</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2,587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5,008</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99,362</w:t>
            </w:r>
          </w:p>
        </w:tc>
        <w:tc>
          <w:tcPr>
            <w:tcW w:w="3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110,072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202,926</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217,670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Employee costs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19,842</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17,572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40,483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7,450</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6,819</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14,946</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25,187</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23,236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49,249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35,531</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48,550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76,038</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4,588</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3,990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8,798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1,860</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3,709</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94,708</w:t>
            </w:r>
          </w:p>
        </w:tc>
        <w:tc>
          <w:tcPr>
            <w:tcW w:w="3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102,120</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193,713</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201,926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1,489</w:t>
            </w:r>
          </w:p>
        </w:tc>
        <w:tc>
          <w:tcPr>
            <w:tcW w:w="3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3,380</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2,901</w:t>
            </w:r>
          </w:p>
        </w:tc>
        <w:tc>
          <w:tcPr>
            <w:tcW w:w="3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34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3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21,178</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23,076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21,375</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25,123</w:t>
            </w:r>
          </w:p>
        </w:tc>
        <w:tc>
          <w:tcPr>
            <w:tcW w:w="3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27,602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25,393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7"/>
              </w:rPr>
              <w:t>3,165</w:t>
            </w:r>
          </w:p>
        </w:tc>
        <w:tc>
          <w:tcPr>
            <w:tcW w:w="92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7"/>
              </w:rPr>
              <w:t>4,572</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6,312</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9,052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Other comprehensive income/(loss); change in funded status of</w:t>
            </w: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plan</w:t>
            </w:r>
          </w:p>
        </w:tc>
        <w:tc>
          <w:tcPr>
            <w:tcW w:w="920" w:type="dxa"/>
            <w:vAlign w:val="bottom"/>
            <w:shd w:val="clear" w:color="auto" w:fill="EEEEEE"/>
          </w:tcPr>
          <w:p>
            <w:pPr>
              <w:spacing w:after="0"/>
              <w:rPr>
                <w:sz w:val="21"/>
                <w:szCs w:val="21"/>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1"/>
                <w:szCs w:val="21"/>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3,165</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4,572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6,312</w:t>
            </w:r>
          </w:p>
        </w:tc>
        <w:tc>
          <w:tcPr>
            <w:tcW w:w="7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1,444</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4,743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76,038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9,236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(3,048)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101,295</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114,685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325,161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(430,611)</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12,973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(7,975)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(101,044</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(133,937</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391,823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(1,142)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24,766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advances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(444,818)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(3,803)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(3,260)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6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4,704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431"/>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12,731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13,936</w:t>
            </w: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15,810</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Interest</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44,534</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40,579</w:t>
            </w: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7,258</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3,302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 month period ended June 30, 2018 are not necessarily indicative of the operating results to be expected for the full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Anticipated credit losses are included in our estimation of cash to be received with respect to receivables. Because such credit losses are included in our computation of the appropriate level yield, we do not make continuing provision for credit losses, as our best estimate of the lifetime aggregate of credit losses is included in that initial computation. Also as a result of including anticipated credit losses in our computation of the level yield, that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2018 and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Six Months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6"/>
              </w:rPr>
              <w:t>(In thousands)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ind w:left="700"/>
              <w:spacing w:after="0"/>
              <w:rPr>
                <w:sz w:val="20"/>
                <w:szCs w:val="20"/>
                <w:color w:val="auto"/>
              </w:rPr>
            </w:pPr>
            <w:r>
              <w:rPr>
                <w:rFonts w:ascii="Arial" w:cs="Arial" w:eastAsia="Arial" w:hAnsi="Arial"/>
                <w:sz w:val="18"/>
                <w:szCs w:val="18"/>
                <w:b w:val="1"/>
                <w:bCs w:val="1"/>
                <w:color w:val="auto"/>
                <w:w w:val="95"/>
              </w:rPr>
              <w:t>(In thousands)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40" w:type="dxa"/>
            <w:vAlign w:val="bottom"/>
            <w:shd w:val="clear" w:color="auto" w:fill="EEEEEE"/>
          </w:tcPr>
          <w:p>
            <w:pPr>
              <w:jc w:val="right"/>
              <w:ind w:right="77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3"/>
              </w:rPr>
              <w:t>1,708</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8"/>
              </w:rPr>
              <w:t>1,634</w:t>
            </w:r>
          </w:p>
        </w:tc>
        <w:tc>
          <w:tcPr>
            <w:tcW w:w="50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3,504</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390</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Sales tax refunds</w:t>
            </w:r>
          </w:p>
        </w:tc>
        <w:tc>
          <w:tcPr>
            <w:tcW w:w="9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2,350</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In March 2010 we repurchased warrants for 500,000 of these shares for $1.0 million. Warrants to purchase 2,000,000 shares were outstanding as of June 30, 2018. The warrants were exercised on July 10, 2018 and 1,999,995 net shares were issued to the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2018, we recorded stock-based compensation costs in the amount of $1.2 million and $2.2 million, respectively. These stock-based compensation costs were $1.3 million and $2.6 million for the three and six months ended June 30, 2017. As of June 30, 2018, unrecognized stock-based compensation costs to be recognized over future periods equaled $4.8 million. This amount will be recognized as expense over a weighted-average period of 2.2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stock option activity for the six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Exercise Price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13,135</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Borders>
              <w:top w:val="single" w:sz="8" w:color="EEEEEE"/>
            </w:tcBorders>
            <w:shd w:val="clear" w:color="auto" w:fill="EEEEEE"/>
          </w:tcPr>
          <w:p>
            <w:pPr>
              <w:spacing w:after="0"/>
              <w:rPr>
                <w:sz w:val="18"/>
                <w:szCs w:val="18"/>
                <w:color w:val="auto"/>
              </w:rPr>
            </w:pPr>
          </w:p>
        </w:tc>
        <w:tc>
          <w:tcPr>
            <w:tcW w:w="19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9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3.49</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9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1.54</w:t>
            </w:r>
          </w:p>
        </w:tc>
        <w:tc>
          <w:tcPr>
            <w:tcW w:w="1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7.20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gridSpan w:val="2"/>
            <w:shd w:val="clear" w:color="auto" w:fill="EEEEEE"/>
          </w:tcPr>
          <w:p>
            <w:pPr>
              <w:spacing w:after="0" w:line="20" w:lineRule="exact"/>
              <w:rPr>
                <w:sz w:val="1"/>
                <w:szCs w:val="1"/>
                <w:color w:val="auto"/>
              </w:rPr>
            </w:pPr>
          </w:p>
        </w:tc>
        <w:tc>
          <w:tcPr>
            <w:tcW w:w="1600" w:type="dxa"/>
            <w:vAlign w:val="bottom"/>
            <w:gridSpan w:val="2"/>
            <w:shd w:val="clear" w:color="auto" w:fill="EEEEEE"/>
          </w:tcPr>
          <w:p>
            <w:pPr>
              <w:spacing w:after="0" w:line="20" w:lineRule="exact"/>
              <w:rPr>
                <w:sz w:val="1"/>
                <w:szCs w:val="1"/>
                <w:color w:val="auto"/>
              </w:rPr>
            </w:pPr>
          </w:p>
        </w:tc>
        <w:tc>
          <w:tcPr>
            <w:tcW w:w="198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87"/>
              </w:rPr>
              <w:t>4.30 years</w:t>
            </w:r>
          </w:p>
        </w:tc>
        <w:tc>
          <w:tcPr>
            <w:tcW w:w="0" w:type="dxa"/>
            <w:vAlign w:val="bottom"/>
          </w:tcPr>
          <w:p>
            <w:pPr>
              <w:spacing w:after="0" w:line="20" w:lineRule="exact"/>
              <w:rPr>
                <w:sz w:val="1"/>
                <w:szCs w:val="1"/>
                <w:color w:val="auto"/>
              </w:rPr>
            </w:pPr>
          </w:p>
        </w:tc>
      </w:tr>
      <w:tr>
        <w:trPr>
          <w:trHeight w:val="250"/>
        </w:trPr>
        <w:tc>
          <w:tcPr>
            <w:tcW w:w="4920" w:type="dxa"/>
            <w:vAlign w:val="bottom"/>
            <w:vMerge w:val="continue"/>
            <w:shd w:val="clear" w:color="auto" w:fill="EEEEEE"/>
          </w:tcPr>
          <w:p>
            <w:pPr>
              <w:spacing w:after="0"/>
              <w:rPr>
                <w:sz w:val="21"/>
                <w:szCs w:val="21"/>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14,404</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4.57</w:t>
            </w:r>
          </w:p>
        </w:tc>
        <w:tc>
          <w:tcPr>
            <w:tcW w:w="1980" w:type="dxa"/>
            <w:vAlign w:val="bottom"/>
            <w:vMerge w:val="continue"/>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9,982</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4.71</w:t>
            </w:r>
          </w:p>
        </w:tc>
        <w:tc>
          <w:tcPr>
            <w:tcW w:w="1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3.89 years</w:t>
            </w:r>
          </w:p>
        </w:tc>
        <w:tc>
          <w:tcPr>
            <w:tcW w:w="0" w:type="dxa"/>
            <w:vAlign w:val="bottom"/>
          </w:tcPr>
          <w:p>
            <w:pPr>
              <w:spacing w:after="0"/>
              <w:rPr>
                <w:sz w:val="1"/>
                <w:szCs w:val="1"/>
                <w:color w:val="auto"/>
              </w:rPr>
            </w:pPr>
          </w:p>
        </w:tc>
      </w:tr>
      <w:tr>
        <w:trPr>
          <w:trHeight w:val="20"/>
        </w:trPr>
        <w:tc>
          <w:tcPr>
            <w:tcW w:w="49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the aggregate intrinsic value of options outstanding and exercisable was $10.2 million and $8.7 million, respectively. There were 312,500 options exercised for the six months ended June 30, 2018 compared to 429,300 for the comparable period in 2017. The total intrinsic value of options exercised was $860,000 and $1.3 million for the six-month periods ended June 30, 2018 and 2017. There were 893,000 shares available for future stock option grants under existing plans as of June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describes the purchase of our common stock for the six-month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4"/>
          </w:tcPr>
          <w:p>
            <w:pPr>
              <w:ind w:left="46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6"/>
          </w:tcPr>
          <w:p>
            <w:pPr>
              <w:ind w:left="1000"/>
              <w:spacing w:after="0"/>
              <w:rPr>
                <w:sz w:val="20"/>
                <w:szCs w:val="20"/>
                <w:color w:val="auto"/>
              </w:rPr>
            </w:pPr>
            <w:r>
              <w:rPr>
                <w:rFonts w:ascii="Arial" w:cs="Arial" w:eastAsia="Arial" w:hAnsi="Arial"/>
                <w:sz w:val="18"/>
                <w:szCs w:val="18"/>
                <w:b w:val="1"/>
                <w:bCs w:val="1"/>
                <w:color w:val="auto"/>
              </w:rPr>
              <w:t>June 30, 2017</w:t>
            </w:r>
          </w:p>
        </w:tc>
      </w:tr>
      <w:tr>
        <w:trPr>
          <w:trHeight w:val="223"/>
        </w:trPr>
        <w:tc>
          <w:tcPr>
            <w:tcW w:w="4820" w:type="dxa"/>
            <w:vAlign w:val="bottom"/>
          </w:tcPr>
          <w:p>
            <w:pPr>
              <w:spacing w:after="0"/>
              <w:rPr>
                <w:sz w:val="19"/>
                <w:szCs w:val="19"/>
                <w:color w:val="auto"/>
              </w:rPr>
            </w:pPr>
          </w:p>
        </w:tc>
        <w:tc>
          <w:tcPr>
            <w:tcW w:w="172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Avg. Price</w:t>
            </w:r>
          </w:p>
        </w:tc>
        <w:tc>
          <w:tcPr>
            <w:tcW w:w="360" w:type="dxa"/>
            <w:vAlign w:val="bottom"/>
          </w:tcPr>
          <w:p>
            <w:pPr>
              <w:spacing w:after="0"/>
              <w:rPr>
                <w:sz w:val="19"/>
                <w:szCs w:val="19"/>
                <w:color w:val="auto"/>
              </w:rPr>
            </w:pPr>
          </w:p>
        </w:tc>
        <w:tc>
          <w:tcPr>
            <w:tcW w:w="168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Avg. Price</w:t>
            </w:r>
          </w:p>
        </w:tc>
        <w:tc>
          <w:tcPr>
            <w:tcW w:w="100" w:type="dxa"/>
            <w:vAlign w:val="bottom"/>
            <w:gridSpan w:val="2"/>
          </w:tcPr>
          <w:p>
            <w:pPr>
              <w:spacing w:after="0"/>
              <w:rPr>
                <w:sz w:val="19"/>
                <w:szCs w:val="19"/>
                <w:color w:val="auto"/>
              </w:rPr>
            </w:pPr>
          </w:p>
        </w:tc>
      </w:tr>
      <w:tr>
        <w:trPr>
          <w:trHeight w:val="210"/>
        </w:trPr>
        <w:tc>
          <w:tcPr>
            <w:tcW w:w="4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714,898</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36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1,102,410</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Shares redeemed upon net exercise of stock options</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33,599</w:t>
            </w:r>
          </w:p>
        </w:tc>
        <w:tc>
          <w:tcPr>
            <w:tcW w:w="3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4.37</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30,149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90,000</w:t>
            </w:r>
          </w:p>
        </w:tc>
        <w:tc>
          <w:tcPr>
            <w:tcW w:w="36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4.13</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 stock purchases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838,497</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1,132,559</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2018,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at each measurement date, most recently as of June 30, 2018, our best estimate of probable incurred losses for legal contingencies. The amount of losses that may ultimately be incurred cannot be estimated with 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 2018, the Company adopted Accounting Standards Codification (“ASC”) Topic 606, “Revenue from Contracts with Customers”, which (i) creates a single framework for recognizing revenue from contracts with customers that fall within its scope and (ii) revises when it is appropriate to recognize a gain (loss) from the transfer of nonfinancial assets. The majority of the Company’s revenues come from interest income which is outside the scope of ASC</w:t>
      </w:r>
    </w:p>
    <w:p>
      <w:pPr>
        <w:jc w:val="both"/>
        <w:ind w:firstLine="8"/>
        <w:spacing w:after="0" w:line="277" w:lineRule="auto"/>
        <w:tabs>
          <w:tab w:leader="none" w:pos="38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 The Company adopted ASC 606 in the first quarter of 2018 with no material effect on our financial statements.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ASC Topic 825 "Financial Instruments." Authoritative accounting guidance under ASC Topic 825, "Financial Instruments" amended prior guidance to require equity investments (except those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similar investment of the same issuer. The guidance simplifies the impairment assessment of equity investments without readily determinable fair values, requires public entities to use the exit price notion when measuring the fair value of financial instruments for disclosure purposes, requires an entity to present separately in other comprehensive income the portion of the total change in the fair value of a liability resulting from changes in the instrument-specific credit risk when the entity has selected the fair value option for financial instruments and requires separate presentation of financial assets and liabilities by measurement category and form of financial asset. The Company adopted ASC 825 on January 1, 2018 with no material effect on our financial statements, however, the disclosures were added.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664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ind w:left="40"/>
              <w:spacing w:after="0"/>
              <w:rPr>
                <w:sz w:val="20"/>
                <w:szCs w:val="20"/>
                <w:color w:val="auto"/>
              </w:rPr>
            </w:pPr>
            <w:r>
              <w:rPr>
                <w:rFonts w:ascii="Arial" w:cs="Arial" w:eastAsia="Arial" w:hAnsi="Arial"/>
                <w:sz w:val="18"/>
                <w:szCs w:val="18"/>
                <w:color w:val="auto"/>
              </w:rPr>
              <w:t>Automobile finance receivables, net of unearned interest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1,882,599</w:t>
            </w:r>
          </w:p>
        </w:tc>
        <w:tc>
          <w:tcPr>
            <w:tcW w:w="5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2,298,608</w:t>
            </w:r>
          </w:p>
        </w:tc>
        <w:tc>
          <w:tcPr>
            <w:tcW w:w="0" w:type="dxa"/>
            <w:vAlign w:val="bottom"/>
          </w:tcPr>
          <w:p>
            <w:pPr>
              <w:spacing w:after="0"/>
              <w:rPr>
                <w:sz w:val="1"/>
                <w:szCs w:val="1"/>
                <w:color w:val="auto"/>
              </w:rPr>
            </w:pPr>
          </w:p>
        </w:tc>
      </w:tr>
      <w:tr>
        <w:trPr>
          <w:trHeight w:val="230"/>
        </w:trPr>
        <w:tc>
          <w:tcPr>
            <w:tcW w:w="6640" w:type="dxa"/>
            <w:vAlign w:val="bottom"/>
          </w:tcPr>
          <w:p>
            <w:pPr>
              <w:ind w:left="60"/>
              <w:spacing w:after="0"/>
              <w:rPr>
                <w:sz w:val="20"/>
                <w:szCs w:val="20"/>
                <w:color w:val="auto"/>
              </w:rPr>
            </w:pPr>
            <w:r>
              <w:rPr>
                <w:rFonts w:ascii="Arial" w:cs="Arial" w:eastAsia="Arial" w:hAnsi="Arial"/>
                <w:sz w:val="18"/>
                <w:szCs w:val="18"/>
                <w:color w:val="auto"/>
              </w:rPr>
              <w:t>Unearned acquisition fees and originations costs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23"/>
        </w:trPr>
        <w:tc>
          <w:tcPr>
            <w:tcW w:w="6640" w:type="dxa"/>
            <w:vAlign w:val="bottom"/>
            <w:tcBorders>
              <w:top w:val="single" w:sz="8" w:color="EEEEEE"/>
              <w:bottom w:val="single" w:sz="8" w:color="EEEEEE"/>
            </w:tcBorders>
            <w:shd w:val="clear" w:color="auto" w:fill="EEEEEE"/>
          </w:tcPr>
          <w:p>
            <w:pPr>
              <w:ind w:left="60"/>
              <w:spacing w:after="0"/>
              <w:rPr>
                <w:sz w:val="20"/>
                <w:szCs w:val="20"/>
                <w:color w:val="auto"/>
              </w:rPr>
            </w:pPr>
            <w:r>
              <w:rPr>
                <w:rFonts w:ascii="Arial" w:cs="Arial" w:eastAsia="Arial" w:hAnsi="Arial"/>
                <w:sz w:val="18"/>
                <w:szCs w:val="18"/>
                <w:color w:val="auto"/>
              </w:rPr>
              <w:t>Finance receivables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1,887,530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2,304,984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2018 and December 31,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280" w:type="dxa"/>
            <w:vAlign w:val="bottom"/>
          </w:tcPr>
          <w:p>
            <w:pPr>
              <w:spacing w:after="0"/>
              <w:rPr>
                <w:sz w:val="19"/>
                <w:szCs w:val="19"/>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1,689,353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2,069,617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5280" w:type="dxa"/>
            <w:vAlign w:val="bottom"/>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120,042</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138,395</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50,866</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63,081</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5280" w:type="dxa"/>
            <w:vAlign w:val="bottom"/>
          </w:tcPr>
          <w:p>
            <w:pPr>
              <w:ind w:left="20"/>
              <w:spacing w:after="0"/>
              <w:rPr>
                <w:sz w:val="20"/>
                <w:szCs w:val="20"/>
                <w:color w:val="auto"/>
              </w:rPr>
            </w:pPr>
            <w:r>
              <w:rPr>
                <w:rFonts w:ascii="Arial" w:cs="Arial" w:eastAsia="Arial" w:hAnsi="Arial"/>
                <w:sz w:val="18"/>
                <w:szCs w:val="18"/>
                <w:color w:val="auto"/>
              </w:rPr>
              <w:t>+ days</w:t>
            </w: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22,338</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1,882,599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2,298,608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Finance receivables totaling $22.3 million and $27.5 million at June 30, 2018 and December 31, 2017,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and six-month periods ended June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100,844</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99,255</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109,187</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95,578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35,531</w:t>
            </w:r>
          </w:p>
        </w:tc>
        <w:tc>
          <w:tcPr>
            <w:tcW w:w="4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48,550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76,038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95,717</w:t>
            </w: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(53,493)</w:t>
            </w:r>
          </w:p>
        </w:tc>
        <w:tc>
          <w:tcPr>
            <w:tcW w:w="4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(48,474)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(109,595)</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(98,773)</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11,494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7,984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18,746</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14,793</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94,376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107,315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94,376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107,315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80" w:type="dxa"/>
            <w:vAlign w:val="bottom"/>
          </w:tcPr>
          <w:p>
            <w:pPr>
              <w:spacing w:after="0"/>
              <w:rPr>
                <w:sz w:val="16"/>
                <w:szCs w:val="16"/>
                <w:color w:val="auto"/>
              </w:rPr>
            </w:pPr>
          </w:p>
        </w:tc>
        <w:tc>
          <w:tcPr>
            <w:tcW w:w="326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33,673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33,679</w:t>
            </w:r>
          </w:p>
        </w:tc>
        <w:tc>
          <w:tcPr>
            <w:tcW w:w="40" w:type="dxa"/>
            <w:vAlign w:val="bottom"/>
          </w:tcPr>
          <w:p>
            <w:pPr>
              <w:spacing w:after="0"/>
              <w:rPr>
                <w:sz w:val="18"/>
                <w:szCs w:val="18"/>
                <w:color w:val="auto"/>
              </w:rPr>
            </w:pPr>
          </w:p>
        </w:tc>
      </w:tr>
      <w:tr>
        <w:trPr>
          <w:trHeight w:val="244"/>
        </w:trPr>
        <w:tc>
          <w:tcPr>
            <w:tcW w:w="28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(24,063)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(24,024)</w:t>
            </w:r>
          </w:p>
        </w:tc>
      </w:tr>
      <w:tr>
        <w:trPr>
          <w:trHeight w:val="223"/>
        </w:trPr>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9,655</w:t>
            </w:r>
          </w:p>
        </w:tc>
        <w:tc>
          <w:tcPr>
            <w:tcW w:w="4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5"/>
              </w:rPr>
              <w:t>Final</w:t>
            </w: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Receivables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7"/>
              </w:rPr>
              <w:t>Scheduled</w:t>
            </w: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Pledged at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r>
      <w:tr>
        <w:trPr>
          <w:trHeight w:val="230"/>
        </w:trPr>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0"/>
              </w:rPr>
              <w:t>Payment</w:t>
            </w: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Initial</w:t>
            </w:r>
          </w:p>
        </w:tc>
        <w:tc>
          <w:tcPr>
            <w:tcW w:w="10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at June 30,</w:t>
            </w:r>
          </w:p>
        </w:tc>
      </w:tr>
      <w:tr>
        <w:trPr>
          <w:trHeight w:val="234"/>
        </w:trPr>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Series</w:t>
            </w:r>
          </w:p>
        </w:tc>
        <w:tc>
          <w:tcPr>
            <w:tcW w:w="28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3"/>
              </w:rPr>
              <w:t>Date (1)</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2018 (2)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Principal</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2013-B</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September 2020</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18,407</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2013-C</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2020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25,559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2013-D</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March 2021</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19,366</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17,737</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24,917</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2014-A</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June 2021</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24,224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30,521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2014-B</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September 2021</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35,335</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202,500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33,419</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44,516</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2014-C</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2021</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56,842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55,081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71,174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2014-D</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March 2022</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63,322</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267,500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61,433</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79,099</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2015-A</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June 2022</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70,365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68,531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87,194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2015-B</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September 2022</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83,535</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82,450</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102,873</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2015-C</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2022</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115,839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114,701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141,362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2016-A</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March 2023</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150,370</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329,460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148,789</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180,761</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2016-B</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June 2023</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170,132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166,163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201,199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2016-C</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September 2023</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172,255</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318,500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168,262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203,504</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2016-D</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April 2024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128,194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206,325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125,394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149,671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2017-A</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April 2024</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139,256</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206,320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135,994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161,892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2017-B</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2023</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167,524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155,525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186,594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2017-C</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September 2024</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172,642</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224,825</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163,372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197,155</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2017-D</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June 2024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169,697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196,300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160,527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189,277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2018-A</w:t>
            </w:r>
          </w:p>
        </w:tc>
        <w:tc>
          <w:tcPr>
            <w:tcW w:w="28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March 2025</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176,804</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168,757</w:t>
            </w:r>
          </w:p>
        </w:tc>
        <w:tc>
          <w:tcPr>
            <w:tcW w:w="10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2.98%</w:t>
            </w:r>
          </w:p>
        </w:tc>
      </w:tr>
      <w:tr>
        <w:trPr>
          <w:trHeight w:val="230"/>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2018-B</w:t>
            </w:r>
          </w:p>
        </w:tc>
        <w:tc>
          <w:tcPr>
            <w:tcW w:w="286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2024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198,546</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194,653</w:t>
            </w:r>
          </w:p>
        </w:tc>
        <w:tc>
          <w:tcPr>
            <w:tcW w:w="10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23"/>
        </w:trPr>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7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2,114,248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4,742,413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2,042,682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2,095,675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13" w:lineRule="exact"/>
        <w:rPr>
          <w:sz w:val="20"/>
          <w:szCs w:val="20"/>
          <w:color w:val="auto"/>
        </w:rPr>
      </w:pPr>
    </w:p>
    <w:p>
      <w:pPr>
        <w:jc w:val="both"/>
        <w:ind w:left="340" w:hanging="332"/>
        <w:spacing w:after="0" w:line="253"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$468.4 million in 2018, $760.0 million in 2019, $458.5 million in 2020, $234.5 million in 2021, $90.4 million in 2022, $18.9 million in 2023.</w:t>
      </w:r>
    </w:p>
    <w:p>
      <w:pPr>
        <w:spacing w:after="0" w:line="218"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$12.0 million and $12.5 million as of June 30, 2018 and December 31, 2017,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2018, we were in compliance with all such covenants.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2018, restricted cash under the various agreements totaled approximately $119.9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17, 2018 we completed our third securitization transaction of 2018. In the transaction, qualified institutional buyers purchased $230.3 million of asset-backed notes secured by $239.9 million in automobile receivables purchased by us. The sold notes, issued by CPS Auto Receivables Trust 2018-C, consist of five classes. Ratings of the notes were provided by Standard &amp; Poor’s and DBRS and were based on the structure of the transaction, the historical performance of similar receivables and our experience as a servicer. The weighted average yield on the notes is approximately 4.18%.</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amounts of our other debt outstanding at June 30, 2018 and December 31, 2017 are summarized below:</w:t>
      </w:r>
    </w:p>
    <w:p>
      <w:pPr>
        <w:spacing w:after="0" w:line="235"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Amount Outstanding at</w:t>
      </w:r>
    </w:p>
    <w:p>
      <w:pPr>
        <w:spacing w:after="0" w:line="27" w:lineRule="exact"/>
        <w:rPr>
          <w:sz w:val="20"/>
          <w:szCs w:val="20"/>
          <w:color w:val="auto"/>
        </w:rPr>
      </w:pPr>
    </w:p>
    <w:tbl>
      <w:tblPr>
        <w:tblLayout w:type="fixed"/>
        <w:tblInd w:w="7120" w:type="dxa"/>
        <w:tblCellMar>
          <w:top w:w="0" w:type="dxa"/>
          <w:left w:w="0" w:type="dxa"/>
          <w:bottom w:w="0" w:type="dxa"/>
          <w:right w:w="0" w:type="dxa"/>
        </w:tblCellMar>
      </w:tblPr>
      <w:tr>
        <w:trPr>
          <w:trHeight w:val="205"/>
        </w:trPr>
        <w:tc>
          <w:tcPr>
            <w:tcW w:w="1420" w:type="dxa"/>
            <w:vAlign w:val="bottom"/>
            <w:tcBorders>
              <w:top w:val="single" w:sz="8" w:color="auto"/>
            </w:tcBorders>
          </w:tcPr>
          <w:p>
            <w:pPr>
              <w:jc w:val="center"/>
              <w:ind w:left="450"/>
              <w:spacing w:after="0" w:line="205" w:lineRule="exact"/>
              <w:rPr>
                <w:sz w:val="20"/>
                <w:szCs w:val="20"/>
                <w:color w:val="auto"/>
              </w:rPr>
            </w:pPr>
            <w:r>
              <w:rPr>
                <w:rFonts w:ascii="Arial" w:cs="Arial" w:eastAsia="Arial" w:hAnsi="Arial"/>
                <w:sz w:val="18"/>
                <w:szCs w:val="18"/>
                <w:b w:val="1"/>
                <w:bCs w:val="1"/>
                <w:color w:val="auto"/>
                <w:w w:val="88"/>
              </w:rPr>
              <w:t>June 30,</w:t>
            </w:r>
          </w:p>
        </w:tc>
        <w:tc>
          <w:tcPr>
            <w:tcW w:w="2780" w:type="dxa"/>
            <w:vAlign w:val="bottom"/>
            <w:tcBorders>
              <w:top w:val="single" w:sz="8" w:color="auto"/>
            </w:tcBorders>
          </w:tcPr>
          <w:p>
            <w:pPr>
              <w:jc w:val="center"/>
              <w:ind w:left="750"/>
              <w:spacing w:after="0" w:line="205"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25"/>
        </w:trPr>
        <w:tc>
          <w:tcPr>
            <w:tcW w:w="1420" w:type="dxa"/>
            <w:vAlign w:val="bottom"/>
          </w:tcPr>
          <w:p>
            <w:pPr>
              <w:spacing w:after="0"/>
              <w:rPr>
                <w:sz w:val="19"/>
                <w:szCs w:val="19"/>
                <w:color w:val="auto"/>
              </w:rPr>
            </w:pPr>
          </w:p>
        </w:tc>
        <w:tc>
          <w:tcPr>
            <w:tcW w:w="2780" w:type="dxa"/>
            <w:vAlign w:val="bottom"/>
          </w:tcPr>
          <w:p>
            <w:pPr>
              <w:ind w:left="120"/>
              <w:spacing w:after="0"/>
              <w:rPr>
                <w:sz w:val="20"/>
                <w:szCs w:val="20"/>
                <w:color w:val="auto"/>
              </w:rPr>
            </w:pPr>
            <w:r>
              <w:rPr>
                <w:rFonts w:ascii="Arial" w:cs="Arial" w:eastAsia="Arial" w:hAnsi="Arial"/>
                <w:sz w:val="18"/>
                <w:szCs w:val="18"/>
                <w:b w:val="1"/>
                <w:bCs w:val="1"/>
                <w:color w:val="auto"/>
              </w:rPr>
              <w:t>(In thousands)</w:t>
            </w:r>
          </w:p>
        </w:tc>
      </w:tr>
    </w:tbl>
    <w:p>
      <w:pPr>
        <w:spacing w:after="0" w:line="1" w:lineRule="exact"/>
        <w:rPr>
          <w:sz w:val="20"/>
          <w:szCs w:val="20"/>
          <w:color w:val="auto"/>
        </w:rPr>
      </w:pPr>
    </w:p>
    <w:p>
      <w:pPr>
        <w:sectPr>
          <w:pgSz w:w="11900" w:h="16838" w:orient="portrait"/>
          <w:cols w:equalWidth="0" w:num="1">
            <w:col w:w="11420"/>
          </w:cols>
          <w:pgMar w:left="240" w:top="1013" w:right="239" w:bottom="1440" w:gutter="0" w:footer="0" w:header="0"/>
        </w:sectPr>
      </w:pPr>
    </w:p>
    <w:tbl>
      <w:tblPr>
        <w:tblLayout w:type="fixed"/>
        <w:tblInd w:w="0" w:type="dxa"/>
        <w:tblCellMar>
          <w:top w:w="0" w:type="dxa"/>
          <w:left w:w="0" w:type="dxa"/>
          <w:bottom w:w="0" w:type="dxa"/>
          <w:right w:w="0" w:type="dxa"/>
        </w:tblCellMar>
      </w:tblPr>
      <w:tr>
        <w:trPr>
          <w:trHeight w:val="214"/>
        </w:trPr>
        <w:tc>
          <w:tcPr>
            <w:tcW w:w="21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Description</w:t>
            </w:r>
          </w:p>
        </w:tc>
        <w:tc>
          <w:tcPr>
            <w:tcW w:w="24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Interest Rate</w:t>
            </w:r>
          </w:p>
        </w:tc>
        <w:tc>
          <w:tcPr>
            <w:tcW w:w="0" w:type="dxa"/>
            <w:vAlign w:val="bottom"/>
          </w:tcPr>
          <w:p>
            <w:pPr>
              <w:spacing w:after="0"/>
              <w:rPr>
                <w:sz w:val="1"/>
                <w:szCs w:val="1"/>
                <w:color w:val="auto"/>
              </w:rPr>
            </w:pPr>
          </w:p>
        </w:tc>
      </w:tr>
      <w:tr>
        <w:trPr>
          <w:trHeight w:val="411"/>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Warehouse lines of credit</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5.50% over one month Libor</w:t>
            </w:r>
          </w:p>
        </w:tc>
        <w:tc>
          <w:tcPr>
            <w:tcW w:w="0" w:type="dxa"/>
            <w:vAlign w:val="bottom"/>
          </w:tcPr>
          <w:p>
            <w:pPr>
              <w:spacing w:after="0"/>
              <w:rPr>
                <w:sz w:val="1"/>
                <w:szCs w:val="1"/>
                <w:color w:val="auto"/>
              </w:rPr>
            </w:pPr>
          </w:p>
        </w:tc>
      </w:tr>
      <w:tr>
        <w:trPr>
          <w:trHeight w:val="122"/>
        </w:trPr>
        <w:tc>
          <w:tcPr>
            <w:tcW w:w="2420" w:type="dxa"/>
            <w:vAlign w:val="bottom"/>
            <w:gridSpan w:val="2"/>
            <w:vMerge w:val="continue"/>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6"/>
              </w:rPr>
              <w:t>(Minimum 6.50%)</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5.50% over one month Libor</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(Minimum 6.25%)</w:t>
            </w:r>
          </w:p>
        </w:tc>
        <w:tc>
          <w:tcPr>
            <w:tcW w:w="0" w:type="dxa"/>
            <w:vAlign w:val="bottom"/>
          </w:tcPr>
          <w:p>
            <w:pPr>
              <w:spacing w:after="0"/>
              <w:rPr>
                <w:sz w:val="1"/>
                <w:szCs w:val="1"/>
                <w:color w:val="auto"/>
              </w:rPr>
            </w:pPr>
          </w:p>
        </w:tc>
      </w:tr>
      <w:tr>
        <w:trPr>
          <w:trHeight w:val="418"/>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6.75% over a commercial</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paper rate (Minimum 7.75%)</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8.60%</w:t>
            </w:r>
          </w:p>
        </w:tc>
        <w:tc>
          <w:tcPr>
            <w:tcW w:w="0" w:type="dxa"/>
            <w:vAlign w:val="bottom"/>
          </w:tcPr>
          <w:p>
            <w:pPr>
              <w:spacing w:after="0"/>
              <w:rPr>
                <w:sz w:val="1"/>
                <w:szCs w:val="1"/>
                <w:color w:val="auto"/>
              </w:rPr>
            </w:pPr>
          </w:p>
        </w:tc>
      </w:tr>
      <w:tr>
        <w:trPr>
          <w:trHeight w:val="526"/>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Weighted average rate of</w:t>
            </w:r>
          </w:p>
        </w:tc>
        <w:tc>
          <w:tcPr>
            <w:tcW w:w="0" w:type="dxa"/>
            <w:vAlign w:val="bottom"/>
          </w:tcPr>
          <w:p>
            <w:pPr>
              <w:spacing w:after="0"/>
              <w:rPr>
                <w:sz w:val="1"/>
                <w:szCs w:val="1"/>
                <w:color w:val="auto"/>
              </w:rPr>
            </w:pPr>
          </w:p>
        </w:tc>
      </w:tr>
      <w:tr>
        <w:trPr>
          <w:trHeight w:val="216"/>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w w:val="98"/>
              </w:rPr>
              <w:t>Subordinated renewable notes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8.19% and 7.99% at June 30,</w:t>
            </w:r>
          </w:p>
        </w:tc>
        <w:tc>
          <w:tcPr>
            <w:tcW w:w="0" w:type="dxa"/>
            <w:vAlign w:val="bottom"/>
          </w:tcPr>
          <w:p>
            <w:pPr>
              <w:spacing w:after="0"/>
              <w:rPr>
                <w:sz w:val="1"/>
                <w:szCs w:val="1"/>
                <w:color w:val="auto"/>
              </w:rPr>
            </w:pPr>
          </w:p>
        </w:tc>
      </w:tr>
      <w:tr>
        <w:trPr>
          <w:trHeight w:val="122"/>
        </w:trPr>
        <w:tc>
          <w:tcPr>
            <w:tcW w:w="2420" w:type="dxa"/>
            <w:vAlign w:val="bottom"/>
            <w:gridSpan w:val="2"/>
            <w:vMerge w:val="continue"/>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8"/>
              </w:rPr>
              <w:t>2018 and December 31, 2017,</w:t>
            </w: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respectively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Maturity</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34"/>
        </w:trPr>
        <w:tc>
          <w:tcPr>
            <w:tcW w:w="1960" w:type="dxa"/>
            <w:vAlign w:val="bottom"/>
          </w:tcPr>
          <w:p>
            <w:pPr>
              <w:jc w:val="center"/>
              <w:ind w:left="10"/>
              <w:spacing w:after="0"/>
              <w:rPr>
                <w:sz w:val="20"/>
                <w:szCs w:val="20"/>
                <w:color w:val="auto"/>
              </w:rPr>
            </w:pPr>
            <w:r>
              <w:rPr>
                <w:rFonts w:ascii="Arial" w:cs="Arial" w:eastAsia="Arial" w:hAnsi="Arial"/>
                <w:sz w:val="18"/>
                <w:szCs w:val="18"/>
                <w:color w:val="auto"/>
                <w:w w:val="96"/>
              </w:rPr>
              <w:t>April 2019</w:t>
            </w:r>
          </w:p>
        </w:tc>
        <w:tc>
          <w:tcPr>
            <w:tcW w:w="10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71,823</w:t>
            </w:r>
          </w:p>
        </w:tc>
        <w:tc>
          <w:tcPr>
            <w:tcW w:w="720" w:type="dxa"/>
            <w:vAlign w:val="bottom"/>
            <w:gridSpan w:val="2"/>
          </w:tcPr>
          <w:p>
            <w:pPr>
              <w:jc w:val="right"/>
              <w:ind w:right="545"/>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25,629</w:t>
            </w:r>
          </w:p>
        </w:tc>
      </w:tr>
      <w:tr>
        <w:trPr>
          <w:trHeight w:val="648"/>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90"/>
              </w:rPr>
              <w:t>August 2018</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54,913</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77,546</w:t>
            </w:r>
          </w:p>
        </w:tc>
      </w:tr>
      <w:tr>
        <w:trPr>
          <w:trHeight w:val="648"/>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90"/>
              </w:rPr>
              <w:t>November 2019</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12,304</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11,100</w:t>
            </w:r>
          </w:p>
        </w:tc>
      </w:tr>
      <w:tr>
        <w:trPr>
          <w:trHeight w:val="540"/>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87"/>
              </w:rPr>
              <w:t>January 2026</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87"/>
              </w:rPr>
              <w:t>Weighted average</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960" w:type="dxa"/>
            <w:vAlign w:val="bottom"/>
          </w:tcPr>
          <w:p>
            <w:pPr>
              <w:jc w:val="center"/>
              <w:ind w:left="10"/>
              <w:spacing w:after="0"/>
              <w:rPr>
                <w:sz w:val="20"/>
                <w:szCs w:val="20"/>
                <w:color w:val="auto"/>
              </w:rPr>
            </w:pPr>
            <w:r>
              <w:rPr>
                <w:rFonts w:ascii="Arial" w:cs="Arial" w:eastAsia="Arial" w:hAnsi="Arial"/>
                <w:sz w:val="18"/>
                <w:szCs w:val="18"/>
                <w:color w:val="auto"/>
                <w:w w:val="91"/>
              </w:rPr>
              <w:t>maturity of June 2020</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88"/>
              </w:rPr>
              <w:t>and March 2020 at June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15,831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16,566</w:t>
            </w:r>
          </w:p>
        </w:tc>
      </w:tr>
      <w:tr>
        <w:trPr>
          <w:trHeight w:val="216"/>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89"/>
              </w:rPr>
              <w:t>30, 2018 and December</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960" w:type="dxa"/>
            <w:vAlign w:val="bottom"/>
          </w:tcPr>
          <w:p>
            <w:pPr>
              <w:jc w:val="center"/>
              <w:ind w:left="30"/>
              <w:spacing w:after="0"/>
              <w:rPr>
                <w:sz w:val="20"/>
                <w:szCs w:val="20"/>
                <w:color w:val="auto"/>
              </w:rPr>
            </w:pPr>
            <w:r>
              <w:rPr>
                <w:rFonts w:ascii="Arial" w:cs="Arial" w:eastAsia="Arial" w:hAnsi="Arial"/>
                <w:sz w:val="18"/>
                <w:szCs w:val="18"/>
                <w:color w:val="auto"/>
                <w:w w:val="91"/>
              </w:rPr>
              <w:t>31, 2017, respectively</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9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520" w:type="dxa"/>
            <w:vAlign w:val="bottom"/>
            <w:gridSpan w:val="2"/>
          </w:tcPr>
          <w:p>
            <w:pPr>
              <w:spacing w:after="0"/>
              <w:rPr>
                <w:sz w:val="19"/>
                <w:szCs w:val="19"/>
                <w:color w:val="auto"/>
              </w:rPr>
            </w:pPr>
          </w:p>
        </w:tc>
        <w:tc>
          <w:tcPr>
            <w:tcW w:w="72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r>
      <w:tr>
        <w:trPr>
          <w:trHeight w:val="223"/>
        </w:trPr>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194,871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130,841</w:t>
            </w:r>
          </w:p>
        </w:tc>
        <w:tc>
          <w:tcPr>
            <w:tcW w:w="20" w:type="dxa"/>
            <w:vAlign w:val="bottom"/>
            <w:tcBorders>
              <w:bottom w:val="single" w:sz="8" w:color="auto"/>
            </w:tcBorders>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-2520950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-2108835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-1697355</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-1285875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-1011555</wp:posOffset>
            </wp:positionV>
            <wp:extent cx="7246620" cy="68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-179705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240"/>
            <w:col w:w="6600"/>
          </w:cols>
          <w:pgMar w:left="240" w:top="1013" w:right="2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16, 2018, we completed a $40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issued from September 2013 through December 2016, and an 80% interest in a CPS affiliate that owns the residual interests in four CPS securitizations issued in 2017. The sold notes, issued by CPS Auto Securitization Trust 2018-1, consist of a single class with a coupon of 8.595%.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Collateral for the notes includes amounts on deposit in the underlying spread accounts for each related securitization and the over-collateralization of each related securitization, which is the difference between the outstanding principal balance of the related receivables less the outstanding principal balance of the notes associated with the securitization. With respect to the securitizations issued by CPS in 2017, only 80% of such amounts are included in the collateral. On each monthly payment date, the notes will be paid interest at the coupon rate and, if necessary, a principal payment necessary to maintain a specified minimum collateral ratio.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issuance costs of $731,000 have been excluded from the amount reported above for residual interest financing. Similarly, debt issuance costs of $1.1 million and $1.9 million as of June 30, 2018 and December 31, 2017,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Interest Income and Interest Expense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components of interest income: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87,784</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107,344</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184,972</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8,832</w:t>
            </w: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12,340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396</w:t>
            </w:r>
          </w:p>
        </w:tc>
        <w:tc>
          <w:tcPr>
            <w:tcW w:w="4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97,012</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197,918</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table presents the components of interest expense: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(In thousands)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22,255</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20,537</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44,084</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2,135</w:t>
            </w: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2,379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4,023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452</w:t>
            </w:r>
          </w:p>
        </w:tc>
        <w:tc>
          <w:tcPr>
            <w:tcW w:w="4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452</w:t>
            </w:r>
          </w:p>
        </w:tc>
        <w:tc>
          <w:tcPr>
            <w:tcW w:w="4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345</w:t>
            </w: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690</w:t>
            </w:r>
          </w:p>
        </w:tc>
        <w:tc>
          <w:tcPr>
            <w:tcW w:w="4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25,187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45,324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2018 and 2017 were calculated using the weighted average number of shares outstanding for the related period. The following table reconciles the number of shares used in the computations of basic and diluted earnings per share for the three-month and six-month periods ended June 30, 2018 and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during the period used to compute basic earnings per share</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21,178</w:t>
            </w:r>
          </w:p>
        </w:tc>
        <w:tc>
          <w:tcPr>
            <w:tcW w:w="88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23,076</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21,375</w:t>
            </w:r>
          </w:p>
        </w:tc>
        <w:tc>
          <w:tcPr>
            <w:tcW w:w="4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Incremental common shares attributable to exercise of</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outstanding options and warrants</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3,945</w:t>
            </w:r>
          </w:p>
        </w:tc>
        <w:tc>
          <w:tcPr>
            <w:tcW w:w="88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4,526</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4,018</w:t>
            </w:r>
          </w:p>
        </w:tc>
        <w:tc>
          <w:tcPr>
            <w:tcW w:w="4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Weighted average number of common shares used to compute</w:t>
            </w:r>
          </w:p>
        </w:tc>
        <w:tc>
          <w:tcPr>
            <w:tcW w:w="840" w:type="dxa"/>
            <w:vAlign w:val="bottom"/>
            <w:gridSpan w:val="2"/>
            <w:vMerge w:val="restart"/>
            <w:shd w:val="clear" w:color="auto" w:fill="EEEEEE"/>
          </w:tcPr>
          <w:p>
            <w:pPr>
              <w:jc w:val="right"/>
              <w:ind w:right="340"/>
              <w:spacing w:after="0"/>
              <w:rPr>
                <w:sz w:val="20"/>
                <w:szCs w:val="20"/>
                <w:color w:val="auto"/>
              </w:rPr>
            </w:pPr>
            <w:r>
              <w:rPr>
                <w:rFonts w:ascii="Arial" w:cs="Arial" w:eastAsia="Arial" w:hAnsi="Arial"/>
                <w:sz w:val="18"/>
                <w:szCs w:val="18"/>
                <w:color w:val="auto"/>
                <w:w w:val="87"/>
              </w:rPr>
              <w:t>25,123</w:t>
            </w:r>
          </w:p>
        </w:tc>
        <w:tc>
          <w:tcPr>
            <w:tcW w:w="880" w:type="dxa"/>
            <w:vAlign w:val="bottom"/>
            <w:shd w:val="clear" w:color="auto" w:fill="EEEEEE"/>
          </w:tcPr>
          <w:p>
            <w:pPr>
              <w:spacing w:after="0"/>
              <w:rPr>
                <w:sz w:val="17"/>
                <w:szCs w:val="17"/>
                <w:color w:val="auto"/>
              </w:rPr>
            </w:pPr>
          </w:p>
        </w:tc>
        <w:tc>
          <w:tcPr>
            <w:tcW w:w="860" w:type="dxa"/>
            <w:vAlign w:val="bottom"/>
            <w:gridSpan w:val="2"/>
            <w:vMerge w:val="restart"/>
            <w:shd w:val="clear" w:color="auto" w:fill="EEEEEE"/>
          </w:tcPr>
          <w:p>
            <w:pPr>
              <w:jc w:val="right"/>
              <w:ind w:right="360"/>
              <w:spacing w:after="0"/>
              <w:rPr>
                <w:sz w:val="20"/>
                <w:szCs w:val="20"/>
                <w:color w:val="auto"/>
              </w:rPr>
            </w:pPr>
            <w:r>
              <w:rPr>
                <w:rFonts w:ascii="Arial" w:cs="Arial" w:eastAsia="Arial" w:hAnsi="Arial"/>
                <w:sz w:val="18"/>
                <w:szCs w:val="18"/>
                <w:color w:val="auto"/>
                <w:w w:val="87"/>
              </w:rPr>
              <w:t>27,602</w:t>
            </w:r>
          </w:p>
        </w:tc>
        <w:tc>
          <w:tcPr>
            <w:tcW w:w="16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25,393</w:t>
            </w:r>
          </w:p>
        </w:tc>
        <w:tc>
          <w:tcPr>
            <w:tcW w:w="440" w:type="dxa"/>
            <w:vAlign w:val="bottom"/>
            <w:shd w:val="clear" w:color="auto" w:fill="EEEEEE"/>
          </w:tcPr>
          <w:p>
            <w:pPr>
              <w:spacing w:after="0"/>
              <w:rPr>
                <w:sz w:val="17"/>
                <w:szCs w:val="17"/>
                <w:color w:val="auto"/>
              </w:rPr>
            </w:pPr>
          </w:p>
        </w:tc>
        <w:tc>
          <w:tcPr>
            <w:tcW w:w="10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diluted earnings per share</w:t>
            </w:r>
          </w:p>
        </w:tc>
        <w:tc>
          <w:tcPr>
            <w:tcW w:w="840" w:type="dxa"/>
            <w:vAlign w:val="bottom"/>
            <w:gridSpan w:val="2"/>
            <w:vMerge w:val="continue"/>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60" w:type="dxa"/>
            <w:vAlign w:val="bottom"/>
            <w:gridSpan w:val="2"/>
            <w:vMerge w:val="continue"/>
            <w:shd w:val="clear" w:color="auto" w:fill="EEEEEE"/>
          </w:tcPr>
          <w:p>
            <w:pPr>
              <w:spacing w:after="0"/>
              <w:rPr>
                <w:sz w:val="18"/>
                <w:szCs w:val="18"/>
                <w:color w:val="auto"/>
              </w:rPr>
            </w:pPr>
          </w:p>
        </w:tc>
        <w:tc>
          <w:tcPr>
            <w:tcW w:w="1680" w:type="dxa"/>
            <w:vAlign w:val="bottom"/>
            <w:gridSpan w:val="2"/>
            <w:vMerge w:val="continue"/>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2018 would have included an additional 10.2 million and 9.7 million shares, respectively, attributable to the exercise of outstanding options and warrants. For the three-month and six-month periods ended June 30, 2017, an additional 8.7 million and 7.0 million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2018 and December 31, 2017,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$31.4 million as of June 30, 2018 is more likely than not based on forecasted future net earnings. Our net deferred tax asset of $31.4 million consists of approximately $22.0 million of net U.S. federal deferred tax assets and $9.4 million of net state deferred tax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$1.5 million and $2.9 million for the three months and six months ended June 30, 2018 and represents an effective income tax rate of 32%, compared to income tax expense of $3.4 million and $6.7 million for the three and six months ended June 30, 2017, and represents an effective income tax rate of and 43%.</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There can be no assurance as to the outcomes of the matters described or referenced above. We record at each measurement date, most recently as</w:t>
      </w:r>
      <w:r>
        <w:rPr>
          <w:rFonts w:ascii="Arial" w:cs="Arial" w:eastAsia="Arial" w:hAnsi="Arial"/>
          <w:sz w:val="16"/>
          <w:szCs w:val="16"/>
          <w:i w:val="1"/>
          <w:iCs w:val="1"/>
          <w:color w:val="auto"/>
        </w:rPr>
        <w:t xml:space="preserve"> </w:t>
      </w:r>
      <w:r>
        <w:rPr>
          <w:rFonts w:ascii="Arial" w:cs="Arial" w:eastAsia="Arial" w:hAnsi="Arial"/>
          <w:sz w:val="16"/>
          <w:szCs w:val="16"/>
          <w:color w:val="auto"/>
        </w:rPr>
        <w:t>of June 30, 2018,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June 30, 2018 is immaterial, and that the range of reasonably possible losses for the legal proceedings and contingencies we face, including those described or referenced above, as of June 30, 2018 does not exceed $1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six-month periods ended June 30, 2018 and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center"/>
              <w:ind w:left="337"/>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920" w:type="dxa"/>
            <w:vAlign w:val="bottom"/>
          </w:tcPr>
          <w:p>
            <w:pPr>
              <w:spacing w:after="0"/>
              <w:rPr>
                <w:sz w:val="19"/>
                <w:szCs w:val="19"/>
                <w:color w:val="auto"/>
              </w:rPr>
            </w:pPr>
          </w:p>
        </w:tc>
        <w:tc>
          <w:tcPr>
            <w:tcW w:w="17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388</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(291)</w:t>
            </w:r>
          </w:p>
        </w:tc>
        <w:tc>
          <w:tcPr>
            <w:tcW w:w="9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(582)</w:t>
            </w:r>
          </w:p>
        </w:tc>
        <w:tc>
          <w:tcPr>
            <w:tcW w:w="4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9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Net periodic cost (benefit)</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make any contributions to the Plan during the three-month periods ended June 30, 2018 and 2017. We do not anticipate making any contributions for the remainder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 Our level 3, unobservable inputs reflect our own assumptions about the factors that market participants use in pricing similar receivables, and are based on the best information available in the circumstances. They include such inputs as estimated net charge-offs and timing of the amortization of the portfolio of finance receivables. The table below presents a reconciliation of the finance receivables measured at fair value on a recurring basis using significant unobservable inputs: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209,847</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218,001</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430,611</w:t>
            </w:r>
          </w:p>
        </w:tc>
        <w:tc>
          <w:tcPr>
            <w:tcW w:w="420" w:type="dxa"/>
            <w:vAlign w:val="bottom"/>
          </w:tcPr>
          <w:p>
            <w:pPr>
              <w:spacing w:after="0"/>
              <w:rPr>
                <w:sz w:val="18"/>
                <w:szCs w:val="18"/>
                <w:color w:val="auto"/>
              </w:rPr>
            </w:pP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(10,331)</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(12,973)</w:t>
            </w: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1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(4,622)</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(4,743)</w:t>
            </w:r>
          </w:p>
        </w:tc>
        <w:tc>
          <w:tcPr>
            <w:tcW w:w="420" w:type="dxa"/>
            <w:vAlign w:val="bottom"/>
          </w:tcPr>
          <w:p>
            <w:pPr>
              <w:spacing w:after="0"/>
              <w:rPr>
                <w:sz w:val="18"/>
                <w:szCs w:val="18"/>
                <w:color w:val="auto"/>
              </w:rPr>
            </w:pP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412,895</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412,895</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12"/>
          </w:tcPr>
          <w:p>
            <w:pPr>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June 30, 2018</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52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50"/>
              <w:spacing w:after="0" w:line="205"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6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3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Balance</w:t>
            </w:r>
          </w:p>
        </w:tc>
        <w:tc>
          <w:tcPr>
            <w:tcW w:w="440" w:type="dxa"/>
            <w:vAlign w:val="bottom"/>
          </w:tcPr>
          <w:p>
            <w:pPr>
              <w:spacing w:after="0"/>
              <w:rPr>
                <w:sz w:val="20"/>
                <w:szCs w:val="20"/>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6"/>
          </w:tcPr>
          <w:p>
            <w:pPr>
              <w:jc w:val="right"/>
              <w:ind w:right="134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5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412,001</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412,895</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Fair Values as of</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3140" w:type="dxa"/>
            <w:vAlign w:val="bottom"/>
            <w:gridSpan w:val="4"/>
          </w:tcPr>
          <w:p>
            <w:pPr>
              <w:ind w:left="106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3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88"/>
              </w:rPr>
              <w:t>June 30,</w:t>
            </w:r>
          </w:p>
        </w:tc>
        <w:tc>
          <w:tcPr>
            <w:tcW w:w="1340" w:type="dxa"/>
            <w:vAlign w:val="bottom"/>
            <w:tcBorders>
              <w:top w:val="single" w:sz="8" w:color="auto"/>
            </w:tcBorders>
            <w:gridSpan w:val="2"/>
          </w:tcPr>
          <w:p>
            <w:pPr>
              <w:jc w:val="center"/>
              <w:ind w:left="9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36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900" w:type="dxa"/>
            <w:vAlign w:val="bottom"/>
            <w:tcBorders>
              <w:top w:val="single" w:sz="8" w:color="auto"/>
            </w:tcBorders>
            <w:gridSpan w:val="2"/>
          </w:tcPr>
          <w:p>
            <w:pPr>
              <w:ind w:left="460"/>
              <w:spacing w:after="0" w:line="205" w:lineRule="exact"/>
              <w:rPr>
                <w:sz w:val="20"/>
                <w:szCs w:val="20"/>
                <w:color w:val="auto"/>
              </w:rPr>
            </w:pPr>
            <w:r>
              <w:rPr>
                <w:rFonts w:ascii="Arial" w:cs="Arial" w:eastAsia="Arial" w:hAnsi="Arial"/>
                <w:sz w:val="18"/>
                <w:szCs w:val="18"/>
                <w:b w:val="1"/>
                <w:bCs w:val="1"/>
                <w:color w:val="auto"/>
              </w:rPr>
              <w:t>June 30,</w:t>
            </w:r>
          </w:p>
        </w:tc>
        <w:tc>
          <w:tcPr>
            <w:tcW w:w="11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20"/>
                <w:szCs w:val="20"/>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0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gridSpan w:val="3"/>
            <w:vMerge w:val="restart"/>
            <w:shd w:val="clear" w:color="auto" w:fill="EEEEEE"/>
          </w:tcPr>
          <w:p>
            <w:pPr>
              <w:spacing w:after="0"/>
              <w:rPr>
                <w:sz w:val="20"/>
                <w:szCs w:val="20"/>
                <w:color w:val="auto"/>
              </w:rPr>
            </w:pPr>
            <w:r>
              <w:rPr>
                <w:rFonts w:ascii="Arial" w:cs="Arial" w:eastAsia="Arial" w:hAnsi="Arial"/>
                <w:sz w:val="18"/>
                <w:szCs w:val="18"/>
                <w:color w:val="auto"/>
                <w:w w:val="94"/>
              </w:rPr>
              <w:t>Finance receivables measured at fair value   $</w:t>
            </w:r>
          </w:p>
        </w:tc>
        <w:tc>
          <w:tcPr>
            <w:tcW w:w="1160" w:type="dxa"/>
            <w:vAlign w:val="bottom"/>
            <w:vMerge w:val="restart"/>
            <w:shd w:val="clear" w:color="auto" w:fill="EEEEEE"/>
          </w:tcPr>
          <w:p>
            <w:pPr>
              <w:jc w:val="right"/>
              <w:ind w:right="70"/>
              <w:spacing w:after="0"/>
              <w:rPr>
                <w:sz w:val="20"/>
                <w:szCs w:val="20"/>
                <w:color w:val="auto"/>
              </w:rPr>
            </w:pPr>
            <w:r>
              <w:rPr>
                <w:rFonts w:ascii="Arial" w:cs="Arial" w:eastAsia="Arial" w:hAnsi="Arial"/>
                <w:sz w:val="18"/>
                <w:szCs w:val="18"/>
                <w:color w:val="auto"/>
              </w:rPr>
              <w:t>412,895</w:t>
            </w:r>
          </w:p>
        </w:tc>
        <w:tc>
          <w:tcPr>
            <w:tcW w:w="1100" w:type="dxa"/>
            <w:vAlign w:val="bottom"/>
            <w:vMerge w:val="restart"/>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Discount rate</w:t>
            </w:r>
          </w:p>
        </w:tc>
        <w:tc>
          <w:tcPr>
            <w:tcW w:w="1580" w:type="dxa"/>
            <w:vAlign w:val="bottom"/>
            <w:shd w:val="clear" w:color="auto" w:fill="EEEEEE"/>
          </w:tcPr>
          <w:p>
            <w:pPr>
              <w:ind w:left="340"/>
              <w:spacing w:after="0" w:line="201" w:lineRule="exact"/>
              <w:rPr>
                <w:sz w:val="20"/>
                <w:szCs w:val="20"/>
                <w:color w:val="auto"/>
              </w:rPr>
            </w:pPr>
            <w:r>
              <w:rPr>
                <w:rFonts w:ascii="Arial" w:cs="Arial" w:eastAsia="Arial" w:hAnsi="Arial"/>
                <w:sz w:val="18"/>
                <w:szCs w:val="18"/>
                <w:color w:val="auto"/>
              </w:rPr>
              <w:t>9.2% - 10.7%</w:t>
            </w:r>
          </w:p>
        </w:tc>
        <w:tc>
          <w:tcPr>
            <w:tcW w:w="3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ind w:left="5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500" w:type="dxa"/>
            <w:vAlign w:val="bottom"/>
            <w:gridSpan w:val="3"/>
            <w:vMerge w:val="continue"/>
            <w:shd w:val="clear" w:color="auto" w:fill="EEEEEE"/>
          </w:tcPr>
          <w:p>
            <w:pPr>
              <w:spacing w:after="0"/>
              <w:rPr>
                <w:sz w:val="10"/>
                <w:szCs w:val="10"/>
                <w:color w:val="auto"/>
              </w:rPr>
            </w:pPr>
          </w:p>
        </w:tc>
        <w:tc>
          <w:tcPr>
            <w:tcW w:w="1160" w:type="dxa"/>
            <w:vAlign w:val="bottom"/>
            <w:vMerge w:val="continue"/>
            <w:shd w:val="clear" w:color="auto" w:fill="EEEEEE"/>
          </w:tcPr>
          <w:p>
            <w:pPr>
              <w:spacing w:after="0"/>
              <w:rPr>
                <w:sz w:val="10"/>
                <w:szCs w:val="10"/>
                <w:color w:val="auto"/>
              </w:rPr>
            </w:pPr>
          </w:p>
        </w:tc>
        <w:tc>
          <w:tcPr>
            <w:tcW w:w="1100" w:type="dxa"/>
            <w:vAlign w:val="bottom"/>
            <w:vMerge w:val="continue"/>
            <w:shd w:val="clear" w:color="auto" w:fill="EEEEEE"/>
          </w:tcPr>
          <w:p>
            <w:pPr>
              <w:spacing w:after="0"/>
              <w:rPr>
                <w:sz w:val="10"/>
                <w:szCs w:val="10"/>
                <w:color w:val="auto"/>
              </w:rPr>
            </w:pPr>
          </w:p>
        </w:tc>
        <w:tc>
          <w:tcPr>
            <w:tcW w:w="600" w:type="dxa"/>
            <w:vAlign w:val="bottom"/>
            <w:gridSpan w:val="2"/>
            <w:vMerge w:val="continue"/>
            <w:shd w:val="clear" w:color="auto" w:fill="EEEEEE"/>
          </w:tcPr>
          <w:p>
            <w:pPr>
              <w:spacing w:after="0"/>
              <w:rPr>
                <w:sz w:val="10"/>
                <w:szCs w:val="10"/>
                <w:color w:val="auto"/>
              </w:rPr>
            </w:pPr>
          </w:p>
        </w:tc>
        <w:tc>
          <w:tcPr>
            <w:tcW w:w="192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89"/>
              </w:rPr>
              <w:t>Cumulative net losses</w:t>
            </w:r>
          </w:p>
        </w:tc>
        <w:tc>
          <w:tcPr>
            <w:tcW w:w="1580" w:type="dxa"/>
            <w:vAlign w:val="bottom"/>
            <w:vMerge w:val="restart"/>
            <w:shd w:val="clear" w:color="auto" w:fill="EEEEEE"/>
          </w:tcPr>
          <w:p>
            <w:pPr>
              <w:ind w:left="60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EEEEEE"/>
          </w:tcPr>
          <w:p>
            <w:pPr>
              <w:spacing w:after="0"/>
              <w:rPr>
                <w:sz w:val="10"/>
                <w:szCs w:val="10"/>
                <w:color w:val="auto"/>
              </w:rPr>
            </w:pPr>
          </w:p>
        </w:tc>
        <w:tc>
          <w:tcPr>
            <w:tcW w:w="1240" w:type="dxa"/>
            <w:vAlign w:val="bottom"/>
            <w:gridSpan w:val="2"/>
            <w:vMerge w:val="restart"/>
            <w:shd w:val="clear" w:color="auto" w:fill="EEEEEE"/>
          </w:tcPr>
          <w:p>
            <w:pPr>
              <w:ind w:left="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3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1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920" w:type="dxa"/>
            <w:vAlign w:val="bottom"/>
            <w:gridSpan w:val="2"/>
            <w:vMerge w:val="continue"/>
            <w:shd w:val="clear" w:color="auto" w:fill="EEEEEE"/>
          </w:tcPr>
          <w:p>
            <w:pPr>
              <w:spacing w:after="0"/>
              <w:rPr>
                <w:sz w:val="9"/>
                <w:szCs w:val="9"/>
                <w:color w:val="auto"/>
              </w:rPr>
            </w:pPr>
          </w:p>
        </w:tc>
        <w:tc>
          <w:tcPr>
            <w:tcW w:w="1580" w:type="dxa"/>
            <w:vAlign w:val="bottom"/>
            <w:vMerge w:val="continue"/>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40" w:type="dxa"/>
            <w:vAlign w:val="bottom"/>
            <w:gridSpan w:val="2"/>
            <w:vMerge w:val="continue"/>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June 30, 2018 and December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280" w:type="dxa"/>
            <w:vAlign w:val="bottom"/>
          </w:tcPr>
          <w:p>
            <w:pPr>
              <w:spacing w:after="0"/>
              <w:rPr>
                <w:sz w:val="19"/>
                <w:szCs w:val="19"/>
                <w:color w:val="auto"/>
              </w:rPr>
            </w:pPr>
          </w:p>
        </w:tc>
        <w:tc>
          <w:tcPr>
            <w:tcW w:w="3240" w:type="dxa"/>
            <w:vAlign w:val="bottom"/>
            <w:gridSpan w:val="4"/>
          </w:tcPr>
          <w:p>
            <w:pPr>
              <w:ind w:lef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404,908</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5280" w:type="dxa"/>
            <w:vAlign w:val="bottom"/>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4,621</w:t>
            </w:r>
          </w:p>
        </w:tc>
        <w:tc>
          <w:tcPr>
            <w:tcW w:w="180" w:type="dxa"/>
            <w:vAlign w:val="bottom"/>
          </w:tcPr>
          <w:p>
            <w:pPr>
              <w:spacing w:after="0"/>
              <w:rPr>
                <w:sz w:val="18"/>
                <w:szCs w:val="18"/>
                <w:color w:val="auto"/>
              </w:rPr>
            </w:pPr>
          </w:p>
        </w:tc>
        <w:tc>
          <w:tcPr>
            <w:tcW w:w="15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5280" w:type="dxa"/>
            <w:vAlign w:val="bottom"/>
          </w:tcPr>
          <w:p>
            <w:pPr>
              <w:ind w:left="20"/>
              <w:spacing w:after="0"/>
              <w:rPr>
                <w:sz w:val="20"/>
                <w:szCs w:val="20"/>
                <w:color w:val="auto"/>
              </w:rPr>
            </w:pPr>
            <w:r>
              <w:rPr>
                <w:rFonts w:ascii="Arial" w:cs="Arial" w:eastAsia="Arial" w:hAnsi="Arial"/>
                <w:sz w:val="18"/>
                <w:szCs w:val="18"/>
                <w:color w:val="auto"/>
              </w:rPr>
              <w:t>+ days</w:t>
            </w: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15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412,001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ind w:left="136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2018 the finance receivables related to the repossessed vehicles in inventory totaled $33.7 million. We have applied a valuation adjustment, or loss allowance, of $24.1 million, which is based on a recovery rate of approximately 29%, resulting in an estimated fair value and carrying amount of $9.6 million. The fair value and carrying amount of the repossessed inventory at December 31, 2017 was $9.7 million after applying a valuation adjustment of $24.0 million.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June 30, 2018 and 2017. We have no material level 3 assets that are measured at fair value on a non-recurring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financial assets and liabilities at June 30, 2018 and December 31,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As of June 30, 2018</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17,435</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17,435</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17,435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119,940</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119,940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119,940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1,793,154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1,800,111</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1,800,111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412,895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412,895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412,895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37,517</w:t>
            </w: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37,517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37,517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137,930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137,930</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137,930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2,030,705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2,031,704</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2,031,704</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15,831</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15,831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15,831</w:t>
            </w:r>
          </w:p>
        </w:tc>
        <w:tc>
          <w:tcPr>
            <w:tcW w:w="0" w:type="dxa"/>
            <w:vAlign w:val="bottom"/>
          </w:tcPr>
          <w:p>
            <w:pPr>
              <w:spacing w:after="0"/>
              <w:rPr>
                <w:sz w:val="1"/>
                <w:szCs w:val="1"/>
                <w:color w:val="auto"/>
              </w:rPr>
            </w:pPr>
          </w:p>
        </w:tc>
      </w:tr>
      <w:tr>
        <w:trPr>
          <w:trHeight w:val="431"/>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12,731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12,731</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111,965</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111,965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2,171,846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2,171,846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46,753</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46,753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112,408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112,408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4,212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2,083,215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2,089,678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2,089,678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16,566</w:t>
            </w: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16,566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June 30, 2018 and December 31, 2017,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discount rates at which similar receivables could be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and Subordinated Renewable Notes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June 30, 2018, we have originated a total of approximately $14.8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5"/>
          </w:tcPr>
          <w:p>
            <w:pPr>
              <w:ind w:left="9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88"/>
              </w:rPr>
              <w:t>Contracts Purchased</w:t>
            </w:r>
          </w:p>
        </w:tc>
        <w:tc>
          <w:tcPr>
            <w:tcW w:w="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00" w:type="dxa"/>
            <w:vAlign w:val="bottom"/>
          </w:tcPr>
          <w:p>
            <w:pPr>
              <w:spacing w:after="0"/>
              <w:rPr>
                <w:sz w:val="16"/>
                <w:szCs w:val="16"/>
                <w:color w:val="auto"/>
              </w:rPr>
            </w:pPr>
          </w:p>
        </w:tc>
      </w:tr>
      <w:tr>
        <w:trPr>
          <w:trHeight w:val="234"/>
        </w:trPr>
        <w:tc>
          <w:tcPr>
            <w:tcW w:w="374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w:t>
            </w:r>
          </w:p>
        </w:tc>
        <w:tc>
          <w:tcPr>
            <w:tcW w:w="280" w:type="dxa"/>
            <w:vAlign w:val="bottom"/>
          </w:tcPr>
          <w:p>
            <w:pPr>
              <w:spacing w:after="0"/>
              <w:rPr>
                <w:sz w:val="20"/>
                <w:szCs w:val="20"/>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in Period</w:t>
            </w:r>
          </w:p>
        </w:tc>
        <w:tc>
          <w:tcPr>
            <w:tcW w:w="8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342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333333"/>
                <w:w w:val="89"/>
              </w:rPr>
              <w:t>2012</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420" w:type="dxa"/>
            <w:vAlign w:val="bottom"/>
          </w:tcPr>
          <w:p>
            <w:pPr>
              <w:jc w:val="center"/>
              <w:ind w:left="10"/>
              <w:spacing w:after="0"/>
              <w:rPr>
                <w:sz w:val="20"/>
                <w:szCs w:val="20"/>
                <w:color w:val="auto"/>
              </w:rPr>
            </w:pPr>
            <w:r>
              <w:rPr>
                <w:rFonts w:ascii="Arial" w:cs="Arial" w:eastAsia="Arial" w:hAnsi="Arial"/>
                <w:sz w:val="18"/>
                <w:szCs w:val="18"/>
                <w:color w:val="333333"/>
                <w:w w:val="89"/>
              </w:rPr>
              <w:t>2013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764,087</w:t>
            </w: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34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2014</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944,944</w:t>
            </w: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1,643,920</w:t>
            </w:r>
          </w:p>
        </w:tc>
      </w:tr>
      <w:tr>
        <w:trPr>
          <w:trHeight w:val="216"/>
        </w:trPr>
        <w:tc>
          <w:tcPr>
            <w:tcW w:w="3420" w:type="dxa"/>
            <w:vAlign w:val="bottom"/>
          </w:tcPr>
          <w:p>
            <w:pPr>
              <w:jc w:val="center"/>
              <w:ind w:left="10"/>
              <w:spacing w:after="0"/>
              <w:rPr>
                <w:sz w:val="20"/>
                <w:szCs w:val="20"/>
                <w:color w:val="auto"/>
              </w:rPr>
            </w:pPr>
            <w:r>
              <w:rPr>
                <w:rFonts w:ascii="Arial" w:cs="Arial" w:eastAsia="Arial" w:hAnsi="Arial"/>
                <w:sz w:val="18"/>
                <w:szCs w:val="18"/>
                <w:color w:val="333333"/>
                <w:w w:val="89"/>
              </w:rPr>
              <w:t>2015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1,060,538</w:t>
            </w: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2,031,136</w:t>
            </w:r>
          </w:p>
        </w:tc>
      </w:tr>
      <w:tr>
        <w:trPr>
          <w:trHeight w:val="216"/>
        </w:trPr>
        <w:tc>
          <w:tcPr>
            <w:tcW w:w="34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2016</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1,088,785</w:t>
            </w: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2,308,070</w:t>
            </w:r>
          </w:p>
        </w:tc>
      </w:tr>
      <w:tr>
        <w:trPr>
          <w:trHeight w:val="216"/>
        </w:trPr>
        <w:tc>
          <w:tcPr>
            <w:tcW w:w="3420" w:type="dxa"/>
            <w:vAlign w:val="bottom"/>
          </w:tcPr>
          <w:p>
            <w:pPr>
              <w:jc w:val="center"/>
              <w:ind w:left="10"/>
              <w:spacing w:after="0"/>
              <w:rPr>
                <w:sz w:val="20"/>
                <w:szCs w:val="20"/>
                <w:color w:val="auto"/>
              </w:rPr>
            </w:pPr>
            <w:r>
              <w:rPr>
                <w:rFonts w:ascii="Arial" w:cs="Arial" w:eastAsia="Arial" w:hAnsi="Arial"/>
                <w:sz w:val="18"/>
                <w:szCs w:val="18"/>
                <w:color w:val="333333"/>
                <w:w w:val="89"/>
              </w:rPr>
              <w:t>2017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859,069</w:t>
            </w: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2,333,530</w:t>
            </w:r>
          </w:p>
        </w:tc>
      </w:tr>
      <w:tr>
        <w:trPr>
          <w:trHeight w:val="216"/>
        </w:trPr>
        <w:tc>
          <w:tcPr>
            <w:tcW w:w="37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8"/>
              </w:rPr>
              <w:t>Six months ended June 30, 2018</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425,339</w:t>
            </w: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2,329,181</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1994 we have conducted 78 term securitizations of automobile contracts that we originated. As of June 30, 2018, 18 of those securitizations are active and all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5020" w:type="dxa"/>
            <w:vAlign w:val="bottom"/>
            <w:gridSpan w:val="4"/>
          </w:tcPr>
          <w:p>
            <w:pPr>
              <w:ind w:left="1740"/>
              <w:spacing w:after="0"/>
              <w:rPr>
                <w:sz w:val="20"/>
                <w:szCs w:val="20"/>
                <w:color w:val="auto"/>
              </w:rPr>
            </w:pPr>
            <w:r>
              <w:rPr>
                <w:rFonts w:ascii="Arial" w:cs="Arial" w:eastAsia="Arial" w:hAnsi="Arial"/>
                <w:sz w:val="18"/>
                <w:szCs w:val="18"/>
                <w:b w:val="1"/>
                <w:bCs w:val="1"/>
                <w:color w:val="auto"/>
                <w:w w:val="89"/>
              </w:rPr>
              <w:t>Recent Asset-Backed Term Securitizations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60" w:type="dxa"/>
            <w:vAlign w:val="bottom"/>
            <w:gridSpan w:val="5"/>
          </w:tcPr>
          <w:p>
            <w:pPr>
              <w:jc w:val="right"/>
              <w:ind w:right="14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5"/>
              </w:rPr>
              <w:t>Receivables Pledged</w:t>
            </w:r>
          </w:p>
        </w:tc>
        <w:tc>
          <w:tcPr>
            <w:tcW w:w="120" w:type="dxa"/>
            <w:vAlign w:val="bottom"/>
          </w:tcPr>
          <w:p>
            <w:pPr>
              <w:spacing w:after="0"/>
              <w:rPr>
                <w:sz w:val="16"/>
                <w:szCs w:val="16"/>
                <w:color w:val="auto"/>
              </w:rPr>
            </w:pPr>
          </w:p>
        </w:tc>
      </w:tr>
      <w:tr>
        <w:trPr>
          <w:trHeight w:val="216"/>
        </w:trPr>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Number of Term</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in Term</w:t>
            </w:r>
          </w:p>
        </w:tc>
      </w:tr>
      <w:tr>
        <w:trPr>
          <w:trHeight w:val="234"/>
        </w:trPr>
        <w:tc>
          <w:tcPr>
            <w:tcW w:w="2980" w:type="dxa"/>
            <w:vAlign w:val="bottom"/>
            <w:gridSpan w:val="2"/>
          </w:tcPr>
          <w:p>
            <w:pPr>
              <w:ind w:left="1080"/>
              <w:spacing w:after="0"/>
              <w:rPr>
                <w:sz w:val="20"/>
                <w:szCs w:val="20"/>
                <w:color w:val="auto"/>
              </w:rPr>
            </w:pPr>
            <w:r>
              <w:rPr>
                <w:rFonts w:ascii="Arial" w:cs="Arial" w:eastAsia="Arial" w:hAnsi="Arial"/>
                <w:sz w:val="18"/>
                <w:szCs w:val="18"/>
                <w:b w:val="1"/>
                <w:bCs w:val="1"/>
                <w:color w:val="auto"/>
              </w:rPr>
              <w:t>Period</w:t>
            </w: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Securitizations</w:t>
            </w:r>
          </w:p>
        </w:tc>
        <w:tc>
          <w:tcPr>
            <w:tcW w:w="1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300" w:type="dxa"/>
            <w:vAlign w:val="bottom"/>
            <w:tcBorders>
              <w:top w:val="single" w:sz="8" w:color="EEEEEE"/>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30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778,000</w:t>
            </w:r>
          </w:p>
        </w:tc>
      </w:tr>
      <w:tr>
        <w:trPr>
          <w:trHeight w:val="216"/>
        </w:trPr>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30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923,000</w:t>
            </w: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30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795,000</w:t>
            </w:r>
          </w:p>
        </w:tc>
      </w:tr>
      <w:tr>
        <w:trPr>
          <w:trHeight w:val="216"/>
        </w:trPr>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2016</w:t>
            </w:r>
          </w:p>
        </w:tc>
        <w:tc>
          <w:tcPr>
            <w:tcW w:w="30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1,214,997</w:t>
            </w: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333333"/>
                <w:w w:val="89"/>
              </w:rPr>
              <w:t>2017</w:t>
            </w:r>
          </w:p>
        </w:tc>
        <w:tc>
          <w:tcPr>
            <w:tcW w:w="30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870,000</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8"/>
              </w:rPr>
              <w:t>Six months ended June 30, 2018</w:t>
            </w:r>
          </w:p>
        </w:tc>
        <w:tc>
          <w:tcPr>
            <w:tcW w:w="172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2</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398,581</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second $100 million facility. This facility was renewed in April 2017, extending the revolving period to April 2019, followed by an amortization period to April 2021. In November 2015, we entered into a third $100 million facility. This facility was renewed in November 2017, extending the revolving period to November 2019, followed by an amortization period to November 2021.</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2018,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2018 with the three months ended June 30, 2017</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June 30, 2018, our revenues were $99.4 million, a decrease of $10.7 million, or 9.7%, from the prior year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of $110.1 million. The primary reason for the decrease in revenues is a decrease in interest income. Interest income for the three months ended June 30, 2018 decreased $10.5 million, or 9.7%, to $97.0 million from $107.5 million in the prior year. The primary reason for the decrease in interest income is the lower interest yield on the receivables measured at fair value. The interest yield on receivables measured at fair value is reduced for the impact of expected losses and is therefore less than the yield on other finance receivables. The table below shows the average balances and interest yields of our loan portfolio for the three months ended June 30, 2018 and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Yield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1,985,404</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88,180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2,340,226</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107,485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w w:val="96"/>
              </w:rPr>
              <w:t>Finance receivables measured at fair value</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344,891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2,330,295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97,012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2,340,226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107,485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three months ended June 30, 2018, other income of $2.4 million decreased by $237,000, or 9.2% compared to the prior year. The three-month period ended June 30, 2018 includes a decrease of $120,000 in payments from third-party providers of convenience fees paid by our customers for web based and other electronic payments, and a decrease of $102,000 on payments to us for our interest in certain sold charge offs and acquired third-party portfolios.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marketing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excluding finance receivables measured at fair value.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operating expenses were $94.7 million for the three months ended June 30, 2018, compared to $102.1 million for the prior period, a decrease of $7.4 million, or 7.3%. The decrease is primarily due to a decrease in provision for credit losses, offsetting increases in employee costs, interest expense and general and administrative expenses.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costs increased by $2.3 million or 12.9%, to $19.8 million during the three months ended June 30, 2018, representing 21.0% of total operating expenses, from $17.6 million for the prior year, or 17.2% of total operating expenses. Employee costs for the prior year period were net of $1.4 million of direct employee costs associated with the originations of contracts during that period. Such deferred costs are then recognized over the life of the related receivables using the interest method. In the current period, new originations of our finance receivables contracts are measured at fair value and the related direct originations costs are no longer deferred. All direct origination or acquisition costs are now expensed in the acquisition period. The table below summarizes our employees by category as well as contract purchases and units in our managed portfolio as of, and for the three-month periods ended, June 30, 2018 and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214.7</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12,829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2,329.2</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2,343.3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174,564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173,598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$7.5 million, an increase of $631,000, or 9.3% compared to the previous year and represented 7.9% of total operating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June 30, 2018 increased by $2.0 million to $25.2 million, or 8.4% and represented 26.6% of total operating expenses, compared to $23.2 million in the previous year, when it was 22.8%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Interest on securitization trust debt increased by $1.7 million, or 8.4%, for the three months ended June 30, 2018 compared to the prior period. The average balance of securitization trust debt decreased 1.9% to $2,126.3 million for the three months ended June 30, 2018 compared to $2,168.0 million for the three months ended June 30, 2017. However, the blended interest rates on new term securitizations have generally increased since June 2014. As a result, the cost of securitization debt during the three-month period ended June 30, 2018 was 4.2%, compared to 3.8%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p>
      <w:pPr>
        <w:spacing w:after="0" w:line="234" w:lineRule="exact"/>
        <w:rPr>
          <w:sz w:val="20"/>
          <w:szCs w:val="20"/>
          <w:color w:val="auto"/>
        </w:rPr>
      </w:pPr>
    </w:p>
    <w:tbl>
      <w:tblPr>
        <w:tblLayout w:type="fixed"/>
        <w:tblInd w:w="372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2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Period</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Funds</w:t>
            </w:r>
          </w:p>
        </w:tc>
      </w:tr>
      <w:tr>
        <w:trPr>
          <w:trHeight w:val="210"/>
        </w:trPr>
        <w:tc>
          <w:tcPr>
            <w:tcW w:w="20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5"/>
              </w:rPr>
              <w:t>June 2014</w:t>
            </w:r>
          </w:p>
        </w:tc>
        <w:tc>
          <w:tcPr>
            <w:tcW w:w="32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87"/>
              </w:rPr>
              <w:t>September 2014</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2.71%</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333333"/>
                <w:w w:val="90"/>
              </w:rPr>
              <w:t>December 2014</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92"/>
              </w:rPr>
              <w:t>March 2015</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3.04%</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333333"/>
                <w:w w:val="85"/>
              </w:rPr>
              <w:t>June 2015</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87"/>
              </w:rPr>
              <w:t>September 2015</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3.78%</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333333"/>
                <w:w w:val="87"/>
              </w:rPr>
              <w:t>January 2016</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98"/>
              </w:rPr>
              <w:t>April 2016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4.65%</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93"/>
              </w:rPr>
              <w:t>July 2016</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October 2016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3.62%</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87"/>
              </w:rPr>
              <w:t>January 2017</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3.91%</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April 2017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3.45%</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93"/>
              </w:rPr>
              <w:t>July 2017</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October 2017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3.39%</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87"/>
              </w:rPr>
              <w:t>January 2018</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c>
          <w:tcPr>
            <w:tcW w:w="120" w:type="dxa"/>
            <w:vAlign w:val="bottom"/>
            <w:shd w:val="clear" w:color="auto" w:fill="EEEEEE"/>
          </w:tcPr>
          <w:p>
            <w:pPr>
              <w:spacing w:after="0"/>
              <w:rPr>
                <w:sz w:val="18"/>
                <w:szCs w:val="18"/>
                <w:color w:val="auto"/>
              </w:rPr>
            </w:pPr>
          </w:p>
        </w:tc>
      </w:tr>
      <w:tr>
        <w:trPr>
          <w:trHeight w:val="230"/>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April 2018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3.98%</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on subordinated renewable notes increased by $25,000, or 7.8%. The average yield of subordinated notes increased to 8.7% in the three-month period ended June 30, 2018 compared to 7.9% in the prior period.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Interest expense on warehouse debt decreased by $244,000, or 10.2%, for the three months ended June 30, 2018 compared to the prior period. The average rate on the debt decreased to 11.8% in the three-month period ended June 30, 2018 compared to 13.2% in the prior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interest is due to the higher outstanding debt balance in the current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June 30,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89"/>
              </w:rPr>
              <w:t>Interest Earning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1,950,196</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88,180</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2,306,632</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107,485</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w w:val="97"/>
              </w:rPr>
              <w:t>Finance receivables at fair 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344,891</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8,832</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2,295,087</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97,012</w:t>
            </w:r>
          </w:p>
        </w:tc>
        <w:tc>
          <w:tcPr>
            <w:tcW w:w="36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2,306,632</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107,485</w:t>
            </w:r>
          </w:p>
        </w:tc>
        <w:tc>
          <w:tcPr>
            <w:tcW w:w="4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5"/>
            <w:shd w:val="clear" w:color="auto" w:fill="EEEEEE"/>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72,638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2,135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72,404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2,379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20,220</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2,126,282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22,255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2,167,971</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20,537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15,866</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16,180</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320</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2,235,006</w:t>
            </w:r>
          </w:p>
        </w:tc>
        <w:tc>
          <w:tcPr>
            <w:tcW w:w="34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8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25,187</w:t>
            </w:r>
          </w:p>
        </w:tc>
        <w:tc>
          <w:tcPr>
            <w:tcW w:w="3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2,256,555</w:t>
            </w:r>
          </w:p>
        </w:tc>
        <w:tc>
          <w:tcPr>
            <w:tcW w:w="32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23,236</w:t>
            </w:r>
          </w:p>
        </w:tc>
        <w:tc>
          <w:tcPr>
            <w:tcW w:w="4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80" w:type="dxa"/>
            <w:vAlign w:val="bottom"/>
            <w:tcBorders>
              <w:bottom w:val="single" w:sz="8" w:color="auto"/>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60" w:type="dxa"/>
            <w:vAlign w:val="bottom"/>
            <w:tcBorders>
              <w:bottom w:val="single" w:sz="8" w:color="auto"/>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6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71,825</w:t>
            </w:r>
          </w:p>
        </w:tc>
        <w:tc>
          <w:tcPr>
            <w:tcW w:w="360" w:type="dxa"/>
            <w:vAlign w:val="bottom"/>
            <w:tcBorders>
              <w:bottom w:val="single" w:sz="8" w:color="EEEEEE"/>
            </w:tcBorders>
          </w:tcPr>
          <w:p>
            <w:pPr>
              <w:spacing w:after="0"/>
              <w:rPr>
                <w:sz w:val="22"/>
                <w:szCs w:val="22"/>
                <w:color w:val="auto"/>
              </w:rPr>
            </w:pPr>
          </w:p>
        </w:tc>
        <w:tc>
          <w:tcPr>
            <w:tcW w:w="11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84,249</w:t>
            </w:r>
          </w:p>
        </w:tc>
        <w:tc>
          <w:tcPr>
            <w:tcW w:w="42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4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12.5%</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10"/>
          </w:tcPr>
          <w:p>
            <w:pPr>
              <w:jc w:val="right"/>
              <w:ind w:right="780"/>
              <w:spacing w:after="0"/>
              <w:rPr>
                <w:sz w:val="20"/>
                <w:szCs w:val="20"/>
                <w:color w:val="auto"/>
              </w:rPr>
            </w:pPr>
            <w:r>
              <w:rPr>
                <w:rFonts w:ascii="Arial" w:cs="Arial" w:eastAsia="Arial" w:hAnsi="Arial"/>
                <w:sz w:val="18"/>
                <w:szCs w:val="18"/>
                <w:b w:val="1"/>
                <w:bCs w:val="1"/>
                <w:color w:val="auto"/>
              </w:rPr>
              <w:t>Three Months Ended June 30, 2018</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8"/>
                <w:szCs w:val="18"/>
                <w:b w:val="1"/>
                <w:bCs w:val="1"/>
                <w:color w:val="auto"/>
                <w:w w:val="90"/>
              </w:rPr>
              <w:t>Compared to June 30, 2017</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00"/>
              <w:spacing w:after="0" w:line="205" w:lineRule="exact"/>
              <w:rPr>
                <w:sz w:val="20"/>
                <w:szCs w:val="20"/>
                <w:color w:val="auto"/>
              </w:rPr>
            </w:pPr>
            <w:r>
              <w:rPr>
                <w:rFonts w:ascii="Arial" w:cs="Arial" w:eastAsia="Arial" w:hAnsi="Arial"/>
                <w:sz w:val="18"/>
                <w:szCs w:val="18"/>
                <w:b w:val="1"/>
                <w:bCs w:val="1"/>
                <w:color w:val="auto"/>
                <w:w w:val="91"/>
              </w:rPr>
              <w:t>Change Due</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to Volume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to Rate</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80" w:type="dxa"/>
            <w:vAlign w:val="bottom"/>
            <w:gridSpan w:val="4"/>
            <w:vMerge w:val="restart"/>
          </w:tcPr>
          <w:p>
            <w:pPr>
              <w:jc w:val="center"/>
              <w:ind w:right="640"/>
              <w:spacing w:after="0"/>
              <w:rPr>
                <w:sz w:val="20"/>
                <w:szCs w:val="20"/>
                <w:color w:val="auto"/>
              </w:rPr>
            </w:pPr>
            <w:r>
              <w:rPr>
                <w:rFonts w:ascii="Arial" w:cs="Arial" w:eastAsia="Arial" w:hAnsi="Arial"/>
                <w:sz w:val="18"/>
                <w:szCs w:val="18"/>
                <w:b w:val="1"/>
                <w:bCs w:val="1"/>
                <w:color w:val="auto"/>
                <w:w w:val="89"/>
              </w:rPr>
              <w:t>Interest Earning 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8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84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(19,305)</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(16,867)</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(2,438)</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(8,035)</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top w:val="single" w:sz="8" w:color="EEEEEE"/>
            </w:tcBorders>
            <w:shd w:val="clear" w:color="auto" w:fill="EEEEEE"/>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5"/>
          </w:tcPr>
          <w:p>
            <w:pPr>
              <w:jc w:val="center"/>
              <w:ind w:left="31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(254)</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1,718</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2,126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Borders>
              <w:top w:val="single" w:sz="8" w:color="EEEEEE"/>
            </w:tcBorders>
            <w:shd w:val="clear" w:color="auto" w:fill="EEEEEE"/>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6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(12,424</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(8,082</w:t>
            </w:r>
          </w:p>
        </w:tc>
        <w:tc>
          <w:tcPr>
            <w:tcW w:w="240" w:type="dxa"/>
            <w:vAlign w:val="bottom"/>
            <w:tcBorders>
              <w:bottom w:val="single" w:sz="8" w:color="EEEEEE"/>
            </w:tcBorders>
            <w:shd w:val="clear" w:color="auto" w:fill="EEEEEE"/>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2018 compared to the prior year period is the result of our decision over the last twelve months to offer dealers slightly lower acquisition fees and to require slightly lower contract interest rates on a portion of the contracts we purchase. Another reason for the decrease in the annualized yield is the lower interest yield on the receivables measured at fair value. The interest yield on receivables measured at fair value is reduced for the impact of expected losses and is therefore less than the yield on other finance receivables.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Provision for credit losses was $35.5 million for the three months ended June 30, 2018, a decrease of $13.0 million, or 26.8% compared to the prior year and represented 37.5%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$598,000, or 15.0%, to $4.6 million during the three months ended June 30, 2018, compared to $4.0 million in the prior year period, and represented 4.8% of total operating expenses. Our marketing staff increased to 131 as of June 30, 2018 compared to 117 at June 30, 2017. In addition, in recent months, we have gradually shifted to more field marketing representatives as compared to in-house marketing representatives. Field marketing representatives are somewhat more costly than in-house marketing representatives, but we feel will ultimately be more effective. For the three months ended June 30, 2018, we purchased 12,829 contracts representing $214.7 million in receivables compared to 14,244 contracts representing $233.9 million in receivables in the prior period.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expenses increased by $127,000 or 7.3%, to $1.9 million compared to $1.7 million in the previous year and represented 2.1% of total operating expenses. In May 2017, we entered into a lease for additional office space in Las Vegas, Nevada.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increased by $30,000 or 13.6%, to $250,000 compared to $220,000 in the previous year and represented 0.3% of total operating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2018 we recorded income tax expense of $1.5 million, representing a 32.0% effective income tax rate. In the prior year period, we recorded $3.4 million in income tax expense, representing a 42.5% effective income tax rate. In December 2017, the U.S. government enacted comprehensive tax legislation commonly referred to as the Tax Cuts and Jobs Act (the “Tax Act”). The Tax Act lowered the federal corporate income tax rate from 35% to 21% beginning in 2018.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Comparison of Operating Results for the six months ended June 30, 2018 with the six months ended June 30, 2017</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six months ended June 30, 2018, our revenues were $202.9 million, a decrease of $14.7 million, or 6.8%, from the prior year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of $217.7 million. The primary reason for the decrease in revenues is a decrease in interest income. Interest income for the six months ended June 30, 2018 decreased $14.1 million, or 6.7%, to $197.9 million from $212.1 million in the prior year. The primary reason for the decrease in interest income is the lower interest yield on the receivables measured at fair value. The interest yield on receivables measured at fair value is reduced for the impact of expected losses and is therefore less than the yield on other finance receivables. The table below shows the outstanding and average balances of our portfolio held by consolidated subsidiaries for the six months ended June 30, 2018 and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Yield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2,091,724</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185,578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17.7%</w:t>
            </w:r>
          </w:p>
        </w:tc>
        <w:tc>
          <w:tcPr>
            <w:tcW w:w="28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2,326,016</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212,060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w w:val="96"/>
              </w:rPr>
              <w:t>Finance receivables measured at fair value</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239,217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2,330,941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197,918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2,326,016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212,060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six months ended June 30, 2018, other income of $5.0 million decreased by $602,000, or 10.7% compared to the prior year. The six-month period ended June 30, 2018 includes a decrease of $129,000 in revenue associated with direct mail and other related products and services that we offer to our dealers. We also incurred a decrease of $240,000 in payments from third-party providers of convenience fees paid by our customers for web based and other electronic payments, a decrease of $170,000 on payments to us for our interest in certain sold charge offs and acquired third-party portfolios and an increase of $26,000 on sales tax refunds.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not measured at fair value.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Other operating expenses consist largely of facilities expenses, telephone and other communication services, credit services, computer services, marketing and advertising expenses, and depreciation and amortization.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Total operating expenses were $193.7 million for the six months ended June 30, 2018, compared to $201.9 million for the prior period, a decrease of $8.2 million, or 4.1%. The decrease is primarily due to a decrease in provision for credit losses, offsetting increases in employee costs, interest expense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jc w:val="both"/>
        <w:spacing w:after="0" w:line="235" w:lineRule="auto"/>
        <w:rPr>
          <w:sz w:val="20"/>
          <w:szCs w:val="20"/>
          <w:color w:val="auto"/>
        </w:rPr>
      </w:pPr>
      <w:r>
        <w:rPr>
          <w:rFonts w:ascii="Arial" w:cs="Arial" w:eastAsia="Arial" w:hAnsi="Arial"/>
          <w:sz w:val="22"/>
          <w:szCs w:val="22"/>
          <w:color w:val="auto"/>
        </w:rPr>
        <w:t>Employee costs increased by $5.1 million or 14.5%, to $40.5 million during the six months ended June 30, 2018, representing 20.9% of total operating expenses, from $35.4 million for the prior year, or 17.0% of total operating expenses. Employee costs for the prior year period were net of $2.8 million of direct employee costs associated with the originations of contracts during that period. Such deferred costs are then recognized over the life of the related receivables using the interest method. The table below summarizes our employees by category as well as contract purchases and units in our managed portfolio as of, and for the six-month periods ended, June 30, 2018 and 2017:</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425.3</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2,329.2</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2,343.3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174,564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General and administrative expenses include costs associated with purchasing and servicing our portfolio of finance receivables, including expenses for facilities, credit services, and telecommunications. General and administrative expenses were $14.9 million, an increase of $1.2 million, or 8.8% compared to the previous year and represented 7.7% of total operating expenses.</w:t>
      </w:r>
    </w:p>
    <w:p>
      <w:pPr>
        <w:spacing w:after="0" w:line="134"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Interest expense for the six months ended June 30, 2018 increased by $3.9 million to $49.2 million, or 8.7% and represented 25.4% of total operating expenses, compared to $45.3 million in the previous year, when it was 22.4%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9"/>
          <w:szCs w:val="19"/>
          <w:color w:val="auto"/>
        </w:rPr>
        <w:t>Interest on securitization trust debt increased by $3.5 million, or 8.5%, for the six months ended June 30, 2018 compared to the prior period. The average balance of securitization trust debt increased to $2,172.1 million for the six months ended June 30, 2018 compared to $2,168.0 million for the six months ended June 30, 2017. The blended interest rates on new term securitizations have generally increased since June 2014. As a result, the cost of securitization debt during the six-month period ended June 30, 2018 was 4.1%, compared to 3.7%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p>
      <w:pPr>
        <w:spacing w:after="0" w:line="234" w:lineRule="exact"/>
        <w:rPr>
          <w:sz w:val="20"/>
          <w:szCs w:val="20"/>
          <w:color w:val="auto"/>
        </w:rPr>
      </w:pPr>
    </w:p>
    <w:tbl>
      <w:tblPr>
        <w:tblLayout w:type="fixed"/>
        <w:tblInd w:w="372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2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Period</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Funds</w:t>
            </w:r>
          </w:p>
        </w:tc>
      </w:tr>
      <w:tr>
        <w:trPr>
          <w:trHeight w:val="210"/>
        </w:trPr>
        <w:tc>
          <w:tcPr>
            <w:tcW w:w="20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5"/>
              </w:rPr>
              <w:t>June 2014</w:t>
            </w:r>
          </w:p>
        </w:tc>
        <w:tc>
          <w:tcPr>
            <w:tcW w:w="32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87"/>
              </w:rPr>
              <w:t>September 2014</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2.71%</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333333"/>
                <w:w w:val="90"/>
              </w:rPr>
              <w:t>December 2014</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92"/>
              </w:rPr>
              <w:t>March 2015</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3.04%</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333333"/>
                <w:w w:val="85"/>
              </w:rPr>
              <w:t>June 2015</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87"/>
              </w:rPr>
              <w:t>September 2015</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3.78%</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333333"/>
                <w:w w:val="87"/>
              </w:rPr>
              <w:t>January 2016</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333333"/>
                <w:w w:val="98"/>
              </w:rPr>
              <w:t>April 2016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4.65%</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93"/>
              </w:rPr>
              <w:t>July 2016</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October 2016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3.62%</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87"/>
              </w:rPr>
              <w:t>January 2017</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3.91%</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April 2017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3.45%</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93"/>
              </w:rPr>
              <w:t>July 2017</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c>
          <w:tcPr>
            <w:tcW w:w="120" w:type="dxa"/>
            <w:vAlign w:val="bottom"/>
            <w:shd w:val="clear" w:color="auto" w:fill="EEEEEE"/>
          </w:tcPr>
          <w:p>
            <w:pPr>
              <w:spacing w:after="0"/>
              <w:rPr>
                <w:sz w:val="18"/>
                <w:szCs w:val="18"/>
                <w:color w:val="auto"/>
              </w:rPr>
            </w:pPr>
          </w:p>
        </w:tc>
      </w:tr>
      <w:tr>
        <w:trPr>
          <w:trHeight w:val="216"/>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October 2017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3.39%</w:t>
            </w:r>
          </w:p>
        </w:tc>
        <w:tc>
          <w:tcPr>
            <w:tcW w:w="120" w:type="dxa"/>
            <w:vAlign w:val="bottom"/>
          </w:tcPr>
          <w:p>
            <w:pPr>
              <w:spacing w:after="0"/>
              <w:rPr>
                <w:sz w:val="18"/>
                <w:szCs w:val="18"/>
                <w:color w:val="auto"/>
              </w:rPr>
            </w:pPr>
          </w:p>
        </w:tc>
      </w:tr>
      <w:tr>
        <w:trPr>
          <w:trHeight w:val="216"/>
        </w:trPr>
        <w:tc>
          <w:tcPr>
            <w:tcW w:w="23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87"/>
              </w:rPr>
              <w:t>January 2018</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c>
          <w:tcPr>
            <w:tcW w:w="120" w:type="dxa"/>
            <w:vAlign w:val="bottom"/>
            <w:shd w:val="clear" w:color="auto" w:fill="EEEEEE"/>
          </w:tcPr>
          <w:p>
            <w:pPr>
              <w:spacing w:after="0"/>
              <w:rPr>
                <w:sz w:val="18"/>
                <w:szCs w:val="18"/>
                <w:color w:val="auto"/>
              </w:rPr>
            </w:pPr>
          </w:p>
        </w:tc>
      </w:tr>
      <w:tr>
        <w:trPr>
          <w:trHeight w:val="230"/>
        </w:trPr>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April 2018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3.98%</w:t>
            </w:r>
          </w:p>
        </w:tc>
        <w:tc>
          <w:tcPr>
            <w:tcW w:w="120" w:type="dxa"/>
            <w:vAlign w:val="bottom"/>
          </w:tcPr>
          <w:p>
            <w:pPr>
              <w:spacing w:after="0"/>
              <w:rPr>
                <w:sz w:val="20"/>
                <w:szCs w:val="20"/>
                <w:color w:val="auto"/>
              </w:rPr>
            </w:pPr>
          </w:p>
        </w:tc>
      </w:tr>
    </w:tbl>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Interest expense on subordinated renewable notes increased by $70,000, or 11.3%. The increase is due to an increase in the average yield on our subordinated renewable notes to 8.5% for the six-month period ended June 30, 2018 compared to the prior year when the average yield on our subordinated renewable notes was 7.9%.</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Interest expense on warehouse debt decreased by $64,000, or 1.6%, for the six months ended June 30, 2018 compared to the prior period. When possible, we hold contracts with our own cash rather than pledging them to one of our warehouse facilities to minimize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1" w:name="page32"/>
    <w:bookmarkEnd w:id="31"/>
    <w:p>
      <w:pPr>
        <w:spacing w:after="0" w:line="251" w:lineRule="auto"/>
        <w:rPr>
          <w:sz w:val="20"/>
          <w:szCs w:val="20"/>
          <w:color w:val="auto"/>
        </w:rPr>
      </w:pPr>
      <w:r>
        <w:rPr>
          <w:rFonts w:ascii="Arial" w:cs="Arial" w:eastAsia="Arial" w:hAnsi="Arial"/>
          <w:sz w:val="22"/>
          <w:szCs w:val="22"/>
          <w:color w:val="auto"/>
        </w:rPr>
        <w:t>The following table presents the components of interest income and interest expense and a net interest yield analysis for the six-month periods ended June 30,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ind w:left="3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Annualized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3"/>
            <w:vMerge w:val="restart"/>
          </w:tcPr>
          <w:p>
            <w:pPr>
              <w:jc w:val="right"/>
              <w:ind w:right="840"/>
              <w:spacing w:after="0"/>
              <w:rPr>
                <w:sz w:val="20"/>
                <w:szCs w:val="20"/>
                <w:color w:val="auto"/>
              </w:rPr>
            </w:pPr>
            <w:r>
              <w:rPr>
                <w:rFonts w:ascii="Arial" w:cs="Arial" w:eastAsia="Arial" w:hAnsi="Arial"/>
                <w:sz w:val="18"/>
                <w:szCs w:val="18"/>
                <w:b w:val="1"/>
                <w:bCs w:val="1"/>
                <w:color w:val="auto"/>
                <w:w w:val="87"/>
              </w:rPr>
              <w:t>Interest Earning Assets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Yield/Rate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Interest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2,055,585</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185,578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2,289,285</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212,060</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7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2,294,802</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197,918</w:t>
            </w: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2,289,285</w:t>
            </w:r>
          </w:p>
        </w:tc>
        <w:tc>
          <w:tcPr>
            <w:tcW w:w="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212,060</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5"/>
            <w:shd w:val="clear" w:color="auto" w:fill="EEEEEE"/>
          </w:tcPr>
          <w:p>
            <w:pPr>
              <w:jc w:val="right"/>
              <w:ind w:right="700"/>
              <w:spacing w:after="0" w:line="176" w:lineRule="exact"/>
              <w:rPr>
                <w:sz w:val="20"/>
                <w:szCs w:val="20"/>
                <w:color w:val="auto"/>
              </w:rPr>
            </w:pPr>
            <w:r>
              <w:rPr>
                <w:rFonts w:ascii="Arial" w:cs="Arial" w:eastAsia="Arial" w:hAnsi="Arial"/>
                <w:sz w:val="18"/>
                <w:szCs w:val="18"/>
                <w:b w:val="1"/>
                <w:bCs w:val="1"/>
                <w:color w:val="auto"/>
              </w:rPr>
              <w:t>Interest Bearing Liabilities</w:t>
            </w:r>
          </w:p>
        </w:tc>
        <w:tc>
          <w:tcPr>
            <w:tcW w:w="1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62,462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4,087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2,172,145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44,084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2,167,966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40,617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16,205</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15,746</w:t>
            </w: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620</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2,265,993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49,249</w:t>
            </w:r>
          </w:p>
        </w:tc>
        <w:tc>
          <w:tcPr>
            <w:tcW w:w="22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2,246,174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45,324</w:t>
            </w:r>
          </w:p>
        </w:tc>
        <w:tc>
          <w:tcPr>
            <w:tcW w:w="320" w:type="dxa"/>
            <w:vAlign w:val="bottom"/>
            <w:vMerge w:val="continue"/>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7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8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tcPr>
          <w:p>
            <w:pPr>
              <w:spacing w:after="0"/>
              <w:rPr>
                <w:sz w:val="22"/>
                <w:szCs w:val="22"/>
                <w:color w:val="auto"/>
              </w:rPr>
            </w:pPr>
          </w:p>
        </w:tc>
        <w:tc>
          <w:tcPr>
            <w:tcW w:w="106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148,669</w:t>
            </w:r>
          </w:p>
        </w:tc>
        <w:tc>
          <w:tcPr>
            <w:tcW w:w="22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166,736</w:t>
            </w:r>
          </w:p>
        </w:tc>
        <w:tc>
          <w:tcPr>
            <w:tcW w:w="32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13.0%</w:t>
            </w: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5"/>
          </w:tcPr>
          <w:p>
            <w:pPr>
              <w:spacing w:after="0" w:line="201" w:lineRule="exact"/>
              <w:rPr>
                <w:sz w:val="20"/>
                <w:szCs w:val="20"/>
                <w:color w:val="auto"/>
              </w:rPr>
            </w:pPr>
            <w:r>
              <w:rPr>
                <w:rFonts w:ascii="Arial" w:cs="Arial" w:eastAsia="Arial" w:hAnsi="Arial"/>
                <w:sz w:val="18"/>
                <w:szCs w:val="18"/>
                <w:color w:val="auto"/>
                <w:w w:val="97"/>
              </w:rPr>
              <w:t>Ratio of average interest earning assets to</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tcPr>
          <w:p>
            <w:pPr>
              <w:jc w:val="right"/>
              <w:ind w:right="700"/>
              <w:spacing w:after="0"/>
              <w:rPr>
                <w:sz w:val="20"/>
                <w:szCs w:val="20"/>
                <w:color w:val="auto"/>
              </w:rPr>
            </w:pPr>
            <w:r>
              <w:rPr>
                <w:rFonts w:ascii="Arial" w:cs="Arial" w:eastAsia="Arial" w:hAnsi="Arial"/>
                <w:sz w:val="18"/>
                <w:szCs w:val="18"/>
                <w:color w:val="auto"/>
                <w:w w:val="97"/>
              </w:rPr>
              <w:t>average interest bearing liabilities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1"/>
          </w:tcPr>
          <w:p>
            <w:pPr>
              <w:jc w:val="right"/>
              <w:ind w:right="1020"/>
              <w:spacing w:after="0"/>
              <w:rPr>
                <w:sz w:val="20"/>
                <w:szCs w:val="20"/>
                <w:color w:val="auto"/>
              </w:rPr>
            </w:pPr>
            <w:r>
              <w:rPr>
                <w:rFonts w:ascii="Arial" w:cs="Arial" w:eastAsia="Arial" w:hAnsi="Arial"/>
                <w:sz w:val="18"/>
                <w:szCs w:val="18"/>
                <w:b w:val="1"/>
                <w:bCs w:val="1"/>
                <w:color w:val="auto"/>
              </w:rPr>
              <w:t>Six Months Ended June 30,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center"/>
              <w:ind w:left="730"/>
              <w:spacing w:after="0"/>
              <w:rPr>
                <w:sz w:val="20"/>
                <w:szCs w:val="20"/>
                <w:color w:val="auto"/>
              </w:rPr>
            </w:pPr>
            <w:r>
              <w:rPr>
                <w:rFonts w:ascii="Arial" w:cs="Arial" w:eastAsia="Arial" w:hAnsi="Arial"/>
                <w:sz w:val="18"/>
                <w:szCs w:val="18"/>
                <w:b w:val="1"/>
                <w:bCs w:val="1"/>
                <w:color w:val="auto"/>
                <w:w w:val="90"/>
              </w:rPr>
              <w:t>Compared to June 30, 2017</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620"/>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38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9"/>
              </w:rPr>
              <w:t>Change Due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87"/>
              </w:rPr>
              <w:t>Change Due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 Volume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80" w:type="dxa"/>
            <w:vAlign w:val="bottom"/>
            <w:gridSpan w:val="4"/>
            <w:vMerge w:val="restart"/>
          </w:tcPr>
          <w:p>
            <w:pPr>
              <w:jc w:val="center"/>
              <w:ind w:right="640"/>
              <w:spacing w:after="0"/>
              <w:rPr>
                <w:sz w:val="20"/>
                <w:szCs w:val="20"/>
                <w:color w:val="auto"/>
              </w:rPr>
            </w:pPr>
            <w:r>
              <w:rPr>
                <w:rFonts w:ascii="Arial" w:cs="Arial" w:eastAsia="Arial" w:hAnsi="Arial"/>
                <w:sz w:val="18"/>
                <w:szCs w:val="18"/>
                <w:b w:val="1"/>
                <w:bCs w:val="1"/>
                <w:color w:val="auto"/>
                <w:w w:val="89"/>
              </w:rPr>
              <w:t>Interest Earning Assets</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8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(26,482)</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(21,648)</w:t>
            </w:r>
          </w:p>
        </w:tc>
        <w:tc>
          <w:tcPr>
            <w:tcW w:w="1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(14,142)</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(9,308)</w:t>
            </w: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(4,834)</w:t>
            </w:r>
          </w:p>
        </w:tc>
        <w:tc>
          <w:tcPr>
            <w:tcW w:w="120" w:type="dxa"/>
            <w:vAlign w:val="bottom"/>
            <w:tcBorders>
              <w:top w:val="single" w:sz="8" w:color="EEEEEE"/>
            </w:tcBorders>
            <w:gridSpan w:val="2"/>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5"/>
            <w:shd w:val="clear" w:color="auto" w:fill="EEEEEE"/>
          </w:tcPr>
          <w:p>
            <w:pPr>
              <w:jc w:val="center"/>
              <w:ind w:left="31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6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6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452</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6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40" w:type="dxa"/>
            <w:vAlign w:val="bottom"/>
            <w:tcBorders>
              <w:bottom w:val="single" w:sz="8" w:color="auto"/>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(18,067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(10,184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9"/>
          <w:szCs w:val="19"/>
          <w:color w:val="auto"/>
        </w:rPr>
        <w:t>The reduction in the annualized yield on our finance receivables for the six months ended June 30, 2018 compared to the prior year period is the result of our decision over the last twelve months to offer dealers slightly lower acquisition fees and to require slightly lower contract interest rates on a portion of the contracts we purchase. Another reason for the decrease in the annualized yield is the lower interest yield on the receivables measured at fair value. The interest yield on receivables measured at fair value is reduced for the impact of expected losses and is therefore less than the yield on other finance receivables.</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Provision for credit losses was $76.0 million for the six months ended June 30, 2018, a decrease of $19.7 million, or 20.6% compared to the prior year and represented 39.3%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$848,000, or 10.7%, to $8.8 million during the six months ended June 30, 2018, compared to $8.0 million in the prior year period, and represented 4.5% of total operating expenses. Our marketing staff increased to 131 as of June 30, 2018 compared to 117 at June 30, 2017. In addition, in recent months, we have gradually shifted to more field marketing representatives as compared to in-house marketing representatives. Field marketing representatives are somewhat more costly than in-house marketing representatives, but we feel will ultimately be more effective. For the six months ended June 30, 2018, we purchased 25,896 contracts representing $425.3 million in receivables compared to 28,548 contracts representing $463.5 million in receivables in the prior period.</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Occupancy expenses increased by $315,000 or 9.3%, to $3.7 million compared to $3.4 million in the previous year and represented 1.9% of total operating expenses. In July 2015, we entered into a lease for additional office space in Irvine, California. We then occupied that space, and incurred incremental occupancy expense, in phases. In May 2017, we acquired additional office space in Las Vegas, Nevada.</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Depreciation and amortization expenses increased by $42,000 or 9.4%, to $490,000 compared to $448,000 in the previous year and represented 0.2% of total operating expenses.</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the six months ended June 30, 2018, we recorded income tax expense of $2.9 million, representing a 31.5% effective income tax rate. In the prior year period, we recorded $6.7 million in income tax expense, representing a 42.5% effective income tax rate. In December 2017, the U.S. government enacted comprehensive tax legislation commonly referred to as the Tax Cuts and Jobs Act (the “Tax Act”). The Tax Act lowered the federal corporate income tax rate from 35% to 21% beginning in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04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June 30, 2018</w:t>
            </w: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2017</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2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174,563</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2,329,179</w:t>
            </w: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173,597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2,343,297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173,998</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2,333,524</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31-60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9,175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124,663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8,877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121,354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10,163</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138,395</w:t>
            </w: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61-90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4,031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52,811</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49,094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63,081</w:t>
            </w: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91+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1,934</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22,865</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1,907</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23,947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2,295</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15,140</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200,339</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14,506</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194,395</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2,679</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34,148</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2,465</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31,383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2,630</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33,679</w:t>
            </w:r>
          </w:p>
        </w:tc>
        <w:tc>
          <w:tcPr>
            <w:tcW w:w="0" w:type="dxa"/>
            <w:vAlign w:val="bottom"/>
          </w:tcPr>
          <w:p>
            <w:pPr>
              <w:spacing w:after="0"/>
              <w:rPr>
                <w:sz w:val="1"/>
                <w:szCs w:val="1"/>
                <w:color w:val="auto"/>
              </w:rPr>
            </w:pPr>
          </w:p>
        </w:tc>
      </w:tr>
      <w:tr>
        <w:trPr>
          <w:trHeight w:val="182"/>
        </w:trPr>
        <w:tc>
          <w:tcPr>
            <w:tcW w:w="2740" w:type="dxa"/>
            <w:vAlign w:val="bottom"/>
          </w:tcPr>
          <w:p>
            <w:pPr>
              <w:spacing w:after="0" w:line="182" w:lineRule="exact"/>
              <w:rPr>
                <w:sz w:val="20"/>
                <w:szCs w:val="20"/>
                <w:color w:val="auto"/>
              </w:rPr>
            </w:pPr>
            <w:r>
              <w:rPr>
                <w:rFonts w:ascii="Arial" w:cs="Arial" w:eastAsia="Arial" w:hAnsi="Arial"/>
                <w:sz w:val="18"/>
                <w:szCs w:val="18"/>
                <w:color w:val="auto"/>
                <w:w w:val="99"/>
              </w:rPr>
              <w:t>Total delinquencies and amount in</w:t>
            </w:r>
          </w:p>
        </w:tc>
        <w:tc>
          <w:tcPr>
            <w:tcW w:w="11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00"/>
              <w:spacing w:after="0"/>
              <w:rPr>
                <w:sz w:val="20"/>
                <w:szCs w:val="20"/>
                <w:color w:val="auto"/>
              </w:rPr>
            </w:pPr>
            <w:r>
              <w:rPr>
                <w:rFonts w:ascii="Arial" w:cs="Arial" w:eastAsia="Arial" w:hAnsi="Arial"/>
                <w:sz w:val="18"/>
                <w:szCs w:val="18"/>
                <w:color w:val="auto"/>
              </w:rPr>
              <w:t>repossession (2)</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17,819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234,487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16,971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225,778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19,829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262,670</w:t>
            </w:r>
          </w:p>
        </w:tc>
        <w:tc>
          <w:tcPr>
            <w:tcW w:w="0" w:type="dxa"/>
            <w:vAlign w:val="bottom"/>
          </w:tcPr>
          <w:p>
            <w:pPr>
              <w:spacing w:after="0"/>
              <w:rPr>
                <w:sz w:val="1"/>
                <w:szCs w:val="1"/>
                <w:color w:val="auto"/>
              </w:rPr>
            </w:pPr>
          </w:p>
        </w:tc>
      </w:tr>
      <w:tr>
        <w:trPr>
          <w:trHeight w:val="197"/>
        </w:trPr>
        <w:tc>
          <w:tcPr>
            <w:tcW w:w="2740" w:type="dxa"/>
            <w:vAlign w:val="bottom"/>
            <w:tcBorders>
              <w:top w:val="single" w:sz="8" w:color="EEEEEE"/>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ind w:left="200" w:right="100" w:hanging="197"/>
        <w:spacing w:after="0" w:line="290" w:lineRule="auto"/>
        <w:rPr>
          <w:sz w:val="20"/>
          <w:szCs w:val="20"/>
          <w:color w:val="auto"/>
        </w:rPr>
      </w:pPr>
      <w:r>
        <w:rPr>
          <w:rFonts w:ascii="Arial" w:cs="Arial" w:eastAsia="Arial" w:hAnsi="Arial"/>
          <w:sz w:val="17"/>
          <w:szCs w:val="17"/>
          <w:color w:val="auto"/>
        </w:rPr>
        <w:t>Delinquencies as a percentage of gross servicing portfolio</w:t>
      </w:r>
    </w:p>
    <w:p>
      <w:pPr>
        <w:spacing w:after="0" w:line="202" w:lineRule="exact"/>
        <w:rPr>
          <w:sz w:val="20"/>
          <w:szCs w:val="20"/>
          <w:color w:val="auto"/>
        </w:rPr>
      </w:pPr>
    </w:p>
    <w:p>
      <w:pPr>
        <w:jc w:val="both"/>
        <w:ind w:left="200" w:hanging="197"/>
        <w:spacing w:after="0" w:line="312" w:lineRule="auto"/>
        <w:rPr>
          <w:sz w:val="20"/>
          <w:szCs w:val="20"/>
          <w:color w:val="auto"/>
        </w:rPr>
      </w:pPr>
      <w:r>
        <w:rPr>
          <w:rFonts w:ascii="Arial" w:cs="Arial" w:eastAsia="Arial" w:hAnsi="Arial"/>
          <w:sz w:val="16"/>
          <w:szCs w:val="16"/>
          <w:color w:val="auto"/>
        </w:rPr>
        <w:t>Total delinquencies and amount in repossession as a percentage of gross servicing portfolio</w:t>
      </w:r>
    </w:p>
    <w:p>
      <w:pPr>
        <w:spacing w:after="0" w:line="18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i w:val="1"/>
          <w:iCs w:val="1"/>
          <w:color w:val="auto"/>
        </w:rPr>
        <w:t xml:space="preserve">Extension Experience </w:t>
      </w:r>
      <w:r>
        <w:rPr>
          <w:rFonts w:ascii="Arial" w:cs="Arial" w:eastAsia="Arial" w:hAnsi="Arial"/>
          <w:sz w:val="16"/>
          <w:szCs w:val="16"/>
          <w:color w:val="auto"/>
        </w:rPr>
        <w:t>Contracts with one extension,</w:t>
      </w:r>
    </w:p>
    <w:p>
      <w:pPr>
        <w:ind w:left="200"/>
        <w:spacing w:after="0"/>
        <w:rPr>
          <w:sz w:val="20"/>
          <w:szCs w:val="20"/>
          <w:color w:val="auto"/>
        </w:rPr>
      </w:pPr>
      <w:r>
        <w:rPr>
          <w:rFonts w:ascii="Arial" w:cs="Arial" w:eastAsia="Arial" w:hAnsi="Arial"/>
          <w:sz w:val="18"/>
          <w:szCs w:val="18"/>
          <w:color w:val="auto"/>
        </w:rPr>
        <w:t>accruing</w:t>
      </w:r>
    </w:p>
    <w:p>
      <w:pPr>
        <w:spacing w:after="0" w:line="251" w:lineRule="exact"/>
        <w:rPr>
          <w:sz w:val="20"/>
          <w:szCs w:val="20"/>
          <w:color w:val="auto"/>
        </w:rPr>
      </w:pPr>
    </w:p>
    <w:p>
      <w:pPr>
        <w:ind w:left="200" w:right="500" w:hanging="197"/>
        <w:spacing w:after="0" w:line="342" w:lineRule="auto"/>
        <w:rPr>
          <w:sz w:val="20"/>
          <w:szCs w:val="20"/>
          <w:color w:val="auto"/>
        </w:rPr>
      </w:pPr>
      <w:r>
        <w:rPr>
          <w:rFonts w:ascii="Arial" w:cs="Arial" w:eastAsia="Arial" w:hAnsi="Arial"/>
          <w:sz w:val="16"/>
          <w:szCs w:val="16"/>
          <w:color w:val="auto"/>
        </w:rPr>
        <w:t>Contracts with two or more extensions, accruing</w:t>
      </w:r>
    </w:p>
    <w:p>
      <w:pPr>
        <w:spacing w:after="0" w:line="394" w:lineRule="exact"/>
        <w:rPr>
          <w:sz w:val="20"/>
          <w:szCs w:val="20"/>
          <w:color w:val="auto"/>
        </w:rPr>
      </w:pPr>
    </w:p>
    <w:p>
      <w:pPr>
        <w:ind w:left="200" w:right="340" w:hanging="197"/>
        <w:spacing w:after="0" w:line="342" w:lineRule="auto"/>
        <w:rPr>
          <w:sz w:val="20"/>
          <w:szCs w:val="20"/>
          <w:color w:val="auto"/>
        </w:rPr>
      </w:pPr>
      <w:r>
        <w:rPr>
          <w:rFonts w:ascii="Arial" w:cs="Arial" w:eastAsia="Arial" w:hAnsi="Arial"/>
          <w:sz w:val="16"/>
          <w:szCs w:val="16"/>
          <w:color w:val="auto"/>
        </w:rPr>
        <w:t>Contracts with one extension, non-accrual (4)</w:t>
      </w:r>
    </w:p>
    <w:p>
      <w:pPr>
        <w:spacing w:after="0" w:line="164" w:lineRule="exact"/>
        <w:rPr>
          <w:sz w:val="20"/>
          <w:szCs w:val="20"/>
          <w:color w:val="auto"/>
        </w:rPr>
      </w:pPr>
    </w:p>
    <w:p>
      <w:pPr>
        <w:ind w:left="200" w:right="320" w:hanging="197"/>
        <w:spacing w:after="0" w:line="329" w:lineRule="auto"/>
        <w:rPr>
          <w:sz w:val="20"/>
          <w:szCs w:val="20"/>
          <w:color w:val="auto"/>
        </w:rPr>
      </w:pPr>
      <w:r>
        <w:rPr>
          <w:rFonts w:ascii="Arial" w:cs="Arial" w:eastAsia="Arial" w:hAnsi="Arial"/>
          <w:sz w:val="16"/>
          <w:szCs w:val="16"/>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27,927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371,549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32,871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449,931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31,708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430,801</w:t>
            </w:r>
          </w:p>
        </w:tc>
      </w:tr>
      <w:tr>
        <w:trPr>
          <w:trHeight w:val="689"/>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60,365</w:t>
            </w:r>
          </w:p>
        </w:tc>
        <w:tc>
          <w:tcPr>
            <w:tcW w:w="26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819,447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42,732</w:t>
            </w:r>
          </w:p>
        </w:tc>
        <w:tc>
          <w:tcPr>
            <w:tcW w:w="26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583,364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55,203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756,561</w:t>
            </w: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88,292</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1,190,996</w:t>
            </w:r>
          </w:p>
        </w:tc>
        <w:tc>
          <w:tcPr>
            <w:tcW w:w="3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75,603</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1,033,295</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1,187,362</w:t>
            </w:r>
          </w:p>
        </w:tc>
      </w:tr>
      <w:tr>
        <w:trPr>
          <w:trHeight w:val="674"/>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8,126</w:t>
            </w: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14,863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12,241</w:t>
            </w:r>
          </w:p>
        </w:tc>
      </w:tr>
      <w:tr>
        <w:trPr>
          <w:trHeight w:val="687"/>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2,921</w:t>
            </w:r>
          </w:p>
        </w:tc>
        <w:tc>
          <w:tcPr>
            <w:tcW w:w="26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37,369</w:t>
            </w:r>
          </w:p>
        </w:tc>
        <w:tc>
          <w:tcPr>
            <w:tcW w:w="1160" w:type="dxa"/>
            <w:vAlign w:val="bottom"/>
          </w:tcPr>
          <w:p>
            <w:pPr>
              <w:jc w:val="right"/>
              <w:spacing w:after="0"/>
              <w:rPr>
                <w:sz w:val="20"/>
                <w:szCs w:val="20"/>
                <w:color w:val="auto"/>
              </w:rPr>
            </w:pPr>
            <w:r>
              <w:rPr>
                <w:rFonts w:ascii="Arial" w:cs="Arial" w:eastAsia="Arial" w:hAnsi="Arial"/>
                <w:sz w:val="18"/>
                <w:szCs w:val="18"/>
                <w:color w:val="auto"/>
              </w:rPr>
              <w:t>1,671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21,896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2,701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-2605405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-2030730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-1756410</wp:posOffset>
            </wp:positionV>
            <wp:extent cx="7246620"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-1318895</wp:posOffset>
            </wp:positionV>
            <wp:extent cx="724662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-873125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-435610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80" w:space="260"/>
            <w:col w:w="868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720" w:type="dxa"/>
            <w:vAlign w:val="bottom"/>
            <w:shd w:val="clear" w:color="auto" w:fill="EEEEEE"/>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shd w:val="clear" w:color="auto" w:fill="EEEEEE"/>
          </w:tcPr>
          <w:p>
            <w:pPr>
              <w:spacing w:after="0"/>
              <w:rPr>
                <w:sz w:val="16"/>
                <w:szCs w:val="16"/>
                <w:color w:val="auto"/>
              </w:rPr>
            </w:pPr>
          </w:p>
        </w:tc>
        <w:tc>
          <w:tcPr>
            <w:tcW w:w="118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3,621</w:t>
            </w:r>
          </w:p>
        </w:tc>
        <w:tc>
          <w:tcPr>
            <w:tcW w:w="3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260" w:type="dxa"/>
            <w:vAlign w:val="bottom"/>
            <w:gridSpan w:val="2"/>
            <w:shd w:val="clear" w:color="auto" w:fill="EEEEEE"/>
          </w:tcPr>
          <w:p>
            <w:pPr>
              <w:jc w:val="right"/>
              <w:ind w:right="360"/>
              <w:spacing w:after="0" w:line="192" w:lineRule="exact"/>
              <w:rPr>
                <w:sz w:val="20"/>
                <w:szCs w:val="20"/>
                <w:color w:val="auto"/>
              </w:rPr>
            </w:pPr>
            <w:r>
              <w:rPr>
                <w:rFonts w:ascii="Arial" w:cs="Arial" w:eastAsia="Arial" w:hAnsi="Arial"/>
                <w:sz w:val="18"/>
                <w:szCs w:val="18"/>
                <w:color w:val="auto"/>
              </w:rPr>
              <w:t>45,495</w:t>
            </w:r>
          </w:p>
        </w:tc>
        <w:tc>
          <w:tcPr>
            <w:tcW w:w="116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2,855</w:t>
            </w: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36,759</w:t>
            </w:r>
          </w:p>
        </w:tc>
        <w:tc>
          <w:tcPr>
            <w:tcW w:w="146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3,733</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47,867</w:t>
            </w:r>
          </w:p>
        </w:tc>
      </w:tr>
      <w:tr>
        <w:trPr>
          <w:trHeight w:val="230"/>
        </w:trPr>
        <w:tc>
          <w:tcPr>
            <w:tcW w:w="20" w:type="dxa"/>
            <w:vAlign w:val="bottom"/>
          </w:tcPr>
          <w:p>
            <w:pPr>
              <w:spacing w:after="0"/>
              <w:rPr>
                <w:sz w:val="19"/>
                <w:szCs w:val="19"/>
                <w:color w:val="auto"/>
              </w:rPr>
            </w:pPr>
          </w:p>
        </w:tc>
        <w:tc>
          <w:tcPr>
            <w:tcW w:w="2720" w:type="dxa"/>
            <w:vAlign w:val="bottom"/>
            <w:tcBorders>
              <w:bottom w:val="single" w:sz="8" w:color="EEEEEE"/>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91,913</w:t>
            </w:r>
          </w:p>
        </w:tc>
        <w:tc>
          <w:tcPr>
            <w:tcW w:w="34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1,236,491</w:t>
            </w:r>
          </w:p>
        </w:tc>
        <w:tc>
          <w:tcPr>
            <w:tcW w:w="3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78,458</w:t>
            </w:r>
          </w:p>
        </w:tc>
        <w:tc>
          <w:tcPr>
            <w:tcW w:w="3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1,070,054</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90,644</w:t>
            </w:r>
          </w:p>
        </w:tc>
        <w:tc>
          <w:tcPr>
            <w:tcW w:w="3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1,235,229</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13" w:lineRule="exact"/>
        <w:rPr>
          <w:sz w:val="20"/>
          <w:szCs w:val="20"/>
          <w:color w:val="auto"/>
        </w:rPr>
      </w:pPr>
    </w:p>
    <w:p>
      <w:pPr>
        <w:jc w:val="both"/>
        <w:ind w:firstLine="8"/>
        <w:spacing w:after="0" w:line="250" w:lineRule="auto"/>
        <w:tabs>
          <w:tab w:leader="none" w:pos="27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w w:val="91"/>
              </w:rPr>
              <w:t>June 30,</w:t>
            </w:r>
          </w:p>
        </w:tc>
        <w:tc>
          <w:tcPr>
            <w:tcW w:w="400" w:type="dxa"/>
            <w:vAlign w:val="bottom"/>
          </w:tcPr>
          <w:p>
            <w:pPr>
              <w:spacing w:after="0"/>
              <w:rPr>
                <w:sz w:val="19"/>
                <w:szCs w:val="19"/>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(Dollars in thousands)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2,330,937</w:t>
            </w:r>
          </w:p>
        </w:tc>
        <w:tc>
          <w:tcPr>
            <w:tcW w:w="4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2,326,008</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$2,334,008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Annualized net charge-offs as a percentage of average servicing portfolio (2)</w:t>
            </w:r>
          </w:p>
        </w:tc>
        <w:tc>
          <w:tcPr>
            <w:tcW w:w="50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7.9%</w:t>
            </w:r>
          </w:p>
        </w:tc>
        <w:tc>
          <w:tcPr>
            <w:tcW w:w="40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7.8%</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tcPr>
          <w:p>
            <w:pPr>
              <w:jc w:val="right"/>
              <w:ind w:right="3790"/>
              <w:spacing w:after="0"/>
              <w:rPr>
                <w:sz w:val="20"/>
                <w:szCs w:val="20"/>
                <w:color w:val="auto"/>
              </w:rPr>
            </w:pPr>
            <w:r>
              <w:rPr>
                <w:rFonts w:ascii="Arial" w:cs="Arial" w:eastAsia="Arial" w:hAnsi="Arial"/>
                <w:sz w:val="18"/>
                <w:szCs w:val="18"/>
                <w:i w:val="1"/>
                <w:iCs w:val="1"/>
                <w:color w:val="auto"/>
                <w:w w:val="90"/>
              </w:rPr>
              <w:t>_________________________</w:t>
            </w: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firstLine="8"/>
        <w:spacing w:after="0" w:line="249"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2018 and June 30, 2017 percentages represent six months ended June 30, 2018 and June 30, 2017 annualized. December 31, 2017 represents 12 months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jc w:val="both"/>
        <w:spacing w:after="0" w:line="238" w:lineRule="auto"/>
        <w:rPr>
          <w:sz w:val="20"/>
          <w:szCs w:val="20"/>
          <w:color w:val="auto"/>
        </w:rPr>
      </w:pPr>
      <w:r>
        <w:rPr>
          <w:rFonts w:ascii="Arial" w:cs="Arial" w:eastAsia="Arial" w:hAnsi="Arial"/>
          <w:sz w:val="22"/>
          <w:szCs w:val="22"/>
          <w:color w:val="auto"/>
        </w:rPr>
        <w:t>We believe that a prudent extension program is an integral component to mitigating losses in our portfolio of sub-prime automobile receivables. The table below summarizes the status, as of June 30, 2018, for accounts that received extensions from 2008 through 2016 (2017 and 2018 extension data are not included at this time due to insufficient passage of time for meaningful evaluation of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 Charged</w:t>
            </w: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Charged Off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 Charged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 Active or</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Charged Off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Off &gt; 6</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&lt;= 6</w:t>
            </w: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Off &lt;= 6</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Avg Months</w:t>
            </w: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Active or Paid</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Paid Off at</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&gt; 6 Months</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Months</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Months</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Months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 Charge</w:t>
            </w:r>
          </w:p>
        </w:tc>
      </w:tr>
      <w:tr>
        <w:trPr>
          <w:trHeight w:val="216"/>
        </w:trPr>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Period of</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 Extensions</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Off at June</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June 30,</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After</w:t>
            </w: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After</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Off Post</w:t>
            </w:r>
          </w:p>
        </w:tc>
      </w:tr>
      <w:tr>
        <w:trPr>
          <w:trHeight w:val="230"/>
        </w:trPr>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Granted</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30, 2018</w:t>
            </w:r>
          </w:p>
        </w:tc>
        <w:tc>
          <w:tcPr>
            <w:tcW w:w="3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4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Extension</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Extension</w:t>
            </w:r>
          </w:p>
        </w:tc>
      </w:tr>
      <w:tr>
        <w:trPr>
          <w:trHeight w:val="210"/>
        </w:trPr>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35,588</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10,710</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20,059</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56.4%</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4,819</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13.5%</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32,226</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10,275</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16,168</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50.2%</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5,783</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17.9%</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26,167</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12,167</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12,001</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1,999</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7.6%</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2011</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18,786</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10,978</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6,876</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932</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5.0%</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18,783</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11,377</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60.6%</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6,610</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796</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4.2%</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2013</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23,398</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11,829</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50.6%</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10,593</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45.3%</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976</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4.2%</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25,773</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12,425</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12,522</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826</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3.2%</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2015</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53,319</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30,708</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57.6%</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21,529</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1,082</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2.0%</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80,897</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58,280</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72.0%</w:t>
            </w: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0"/>
              </w:rPr>
              <w:t>20,684</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1,933</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2.4%</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EEEEE"/>
          </w:tcPr>
          <w:p>
            <w:pPr>
              <w:spacing w:after="0"/>
              <w:rPr>
                <w:sz w:val="18"/>
                <w:szCs w:val="18"/>
                <w:color w:val="auto"/>
              </w:rPr>
            </w:pPr>
          </w:p>
        </w:tc>
      </w:tr>
    </w:tbl>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view these results as a confirmation of the effectiveness of our extension program. For example, of the accounts granted extensions in 2012, 60.6% were either paid in full or active and performing at June 30, 2018.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gridSpan w:val="9"/>
          </w:tcPr>
          <w:p>
            <w:pPr>
              <w:ind w:left="120"/>
              <w:spacing w:after="0"/>
              <w:rPr>
                <w:sz w:val="20"/>
                <w:szCs w:val="20"/>
                <w:color w:val="auto"/>
              </w:rPr>
            </w:pPr>
            <w:r>
              <w:rPr>
                <w:rFonts w:ascii="Arial" w:cs="Arial" w:eastAsia="Arial" w:hAnsi="Arial"/>
                <w:sz w:val="18"/>
                <w:szCs w:val="18"/>
                <w:color w:val="auto"/>
              </w:rPr>
              <w:t>Six Months Ended June 30,</w:t>
            </w: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2018</w:t>
            </w:r>
          </w:p>
        </w:tc>
        <w:tc>
          <w:tcPr>
            <w:tcW w:w="5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Average number of extensions granted per month</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10,298</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Average number of outstanding accounts</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174,415</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172,121</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EEEEEE"/>
          </w:tcPr>
          <w:p>
            <w:pPr>
              <w:ind w:left="100"/>
              <w:spacing w:after="0"/>
              <w:rPr>
                <w:sz w:val="20"/>
                <w:szCs w:val="20"/>
                <w:color w:val="auto"/>
              </w:rPr>
            </w:pPr>
            <w:r>
              <w:rPr>
                <w:rFonts w:ascii="Arial" w:cs="Arial" w:eastAsia="Arial" w:hAnsi="Arial"/>
                <w:sz w:val="18"/>
                <w:szCs w:val="18"/>
                <w:color w:val="auto"/>
                <w:w w:val="92"/>
              </w:rPr>
              <w:t>Average monthly extensions as % of average outstandings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8"/>
        </w:trPr>
        <w:tc>
          <w:tcPr>
            <w:tcW w:w="2740" w:type="dxa"/>
            <w:vAlign w:val="bottom"/>
            <w:gridSpan w:val="2"/>
          </w:tcPr>
          <w:p>
            <w:pPr>
              <w:spacing w:after="0"/>
              <w:rPr>
                <w:sz w:val="20"/>
                <w:szCs w:val="20"/>
                <w:color w:val="auto"/>
              </w:rPr>
            </w:pPr>
            <w:r>
              <w:rPr>
                <w:rFonts w:ascii="Arial" w:cs="Arial" w:eastAsia="Arial" w:hAnsi="Arial"/>
                <w:sz w:val="18"/>
                <w:szCs w:val="18"/>
                <w:color w:val="auto"/>
              </w:rPr>
              <w:t>______________________</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gridSpan w:val="7"/>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40" w:type="dxa"/>
            <w:vAlign w:val="bottom"/>
            <w:gridSpan w:val="5"/>
          </w:tcPr>
          <w:p>
            <w:pPr>
              <w:jc w:val="right"/>
              <w:ind w:right="1200"/>
              <w:spacing w:after="0"/>
              <w:rPr>
                <w:sz w:val="20"/>
                <w:szCs w:val="20"/>
                <w:color w:val="auto"/>
              </w:rPr>
            </w:pPr>
            <w:r>
              <w:rPr>
                <w:rFonts w:ascii="Arial" w:cs="Arial" w:eastAsia="Arial" w:hAnsi="Arial"/>
                <w:sz w:val="18"/>
                <w:szCs w:val="18"/>
                <w:color w:val="auto"/>
              </w:rPr>
              <w:t>June 30, 2018</w:t>
            </w:r>
          </w:p>
        </w:tc>
        <w:tc>
          <w:tcPr>
            <w:tcW w:w="760" w:type="dxa"/>
            <w:vAlign w:val="bottom"/>
          </w:tcPr>
          <w:p>
            <w:pPr>
              <w:spacing w:after="0"/>
              <w:rPr>
                <w:sz w:val="24"/>
                <w:szCs w:val="24"/>
                <w:color w:val="auto"/>
              </w:rPr>
            </w:pPr>
          </w:p>
        </w:tc>
        <w:tc>
          <w:tcPr>
            <w:tcW w:w="2180" w:type="dxa"/>
            <w:vAlign w:val="bottom"/>
            <w:gridSpan w:val="8"/>
          </w:tcPr>
          <w:p>
            <w:pPr>
              <w:jc w:val="center"/>
              <w:ind w:right="1100"/>
              <w:spacing w:after="0"/>
              <w:rPr>
                <w:sz w:val="20"/>
                <w:szCs w:val="20"/>
                <w:color w:val="auto"/>
              </w:rPr>
            </w:pPr>
            <w:r>
              <w:rPr>
                <w:rFonts w:ascii="Arial" w:cs="Arial" w:eastAsia="Arial" w:hAnsi="Arial"/>
                <w:sz w:val="18"/>
                <w:szCs w:val="18"/>
                <w:color w:val="auto"/>
                <w:w w:val="87"/>
              </w:rPr>
              <w:t>June 30, 2017</w:t>
            </w:r>
          </w:p>
        </w:tc>
        <w:tc>
          <w:tcPr>
            <w:tcW w:w="2700" w:type="dxa"/>
            <w:vAlign w:val="bottom"/>
            <w:gridSpan w:val="7"/>
          </w:tcPr>
          <w:p>
            <w:pPr>
              <w:ind w:left="580"/>
              <w:spacing w:after="0"/>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Borders>
              <w:top w:val="single" w:sz="8" w:color="auto"/>
            </w:tcBorders>
            <w:gridSpan w:val="3"/>
          </w:tcPr>
          <w:p>
            <w:pPr>
              <w:jc w:val="center"/>
              <w:ind w:right="60"/>
              <w:spacing w:after="0" w:line="195" w:lineRule="exact"/>
              <w:rPr>
                <w:sz w:val="20"/>
                <w:szCs w:val="20"/>
                <w:color w:val="auto"/>
              </w:rPr>
            </w:pPr>
            <w:r>
              <w:rPr>
                <w:rFonts w:ascii="Arial" w:cs="Arial" w:eastAsia="Arial" w:hAnsi="Arial"/>
                <w:sz w:val="18"/>
                <w:szCs w:val="18"/>
                <w:color w:val="auto"/>
                <w:w w:val="92"/>
              </w:rPr>
              <w:t>Number of</w:t>
            </w: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2"/>
              </w:rPr>
              <w:t>Number of</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Contracts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ind w:left="140"/>
              <w:spacing w:after="0"/>
              <w:rPr>
                <w:sz w:val="20"/>
                <w:szCs w:val="20"/>
                <w:color w:val="auto"/>
              </w:rPr>
            </w:pPr>
            <w:r>
              <w:rPr>
                <w:rFonts w:ascii="Arial" w:cs="Arial" w:eastAsia="Arial" w:hAnsi="Arial"/>
                <w:sz w:val="18"/>
                <w:szCs w:val="18"/>
                <w:color w:val="auto"/>
              </w:rPr>
              <w:t>Amount</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Contracts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Borders>
              <w:top w:val="single" w:sz="8" w:color="auto"/>
            </w:tcBorders>
            <w:gridSpan w:val="8"/>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28,627</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379,675</w:t>
            </w: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34,055</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464,795</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32,740</w:t>
            </w:r>
          </w:p>
        </w:tc>
        <w:tc>
          <w:tcPr>
            <w:tcW w:w="400" w:type="dxa"/>
            <w:vAlign w:val="bottom"/>
            <w:gridSpan w:val="2"/>
            <w:shd w:val="clear" w:color="auto" w:fill="EEEEEE"/>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21,977</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297,413</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22,108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307,357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24,375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17,736</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243,588</w:t>
            </w: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12,130</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165,846</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16,378</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12,255</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168,623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6,247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83,349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9,506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7,395</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98,319</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2,846</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36,404</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5,096</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3,923</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48,873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12,303</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2,549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91,913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1,236,491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78,458</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1,070,054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90,644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1,235,230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174,563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2,329,179</w:t>
            </w:r>
          </w:p>
        </w:tc>
        <w:tc>
          <w:tcPr>
            <w:tcW w:w="3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173,597</w:t>
            </w:r>
          </w:p>
        </w:tc>
        <w:tc>
          <w:tcPr>
            <w:tcW w:w="4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2,343,297</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173,998</w:t>
            </w:r>
          </w:p>
        </w:tc>
        <w:tc>
          <w:tcPr>
            <w:tcW w:w="400" w:type="dxa"/>
            <w:vAlign w:val="bottom"/>
            <w:gridSpan w:val="2"/>
            <w:shd w:val="clear" w:color="auto" w:fill="EEEEEE"/>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2,333,524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jc w:val="right"/>
              <w:ind w:right="209"/>
              <w:spacing w:after="0" w:line="245" w:lineRule="exact"/>
              <w:rPr>
                <w:sz w:val="20"/>
                <w:szCs w:val="20"/>
                <w:color w:val="auto"/>
              </w:rPr>
            </w:pPr>
            <w:r>
              <w:rPr>
                <w:rFonts w:ascii="Arial" w:cs="Arial" w:eastAsia="Arial" w:hAnsi="Arial"/>
                <w:sz w:val="22"/>
                <w:szCs w:val="22"/>
                <w:color w:val="auto"/>
                <w:w w:val="89"/>
              </w:rPr>
              <w:t>______________________</w:t>
            </w: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Non-Accrual Receivables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cash provided by operating activities for the six-month period ended June 30, 2018 was $101.3 million, a decrease of $13.4 million, compared to net cash provided by operating activities for the six-month period ended June 30, 2017 of $114.7 million. Cash provided by operating activities is significantly affected by our net income before provisions for credit losses. For the six months ended June 30, 2018, our net income excluding provisions for credit losses was $82.4 million, or $22.4 million less than our net income excluding provisions for credit losses for the six months ended June 30, 2017.</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cash used in investing activities for the six-month period ended June 30, 2018 was $101.0 million compared to net cash used in investing activities of $133.9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were $425.3 million and $463.5 million during the first six months of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 w:name="page39"/>
    <w:bookmarkEnd w:id="38"/>
    <w:p>
      <w:pPr>
        <w:jc w:val="both"/>
        <w:spacing w:after="0" w:line="246" w:lineRule="auto"/>
        <w:rPr>
          <w:sz w:val="20"/>
          <w:szCs w:val="20"/>
          <w:color w:val="auto"/>
        </w:rPr>
      </w:pPr>
      <w:r>
        <w:rPr>
          <w:rFonts w:ascii="Arial" w:cs="Arial" w:eastAsia="Arial" w:hAnsi="Arial"/>
          <w:sz w:val="21"/>
          <w:szCs w:val="21"/>
          <w:color w:val="auto"/>
        </w:rPr>
        <w:t>Net cash provided by financing activities for the six months ended June 30, 2018 was $4.5 million compared to net cash provided by financing activities of $21.1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2018, we issued $391.8 million in new securitization trust debt compared to $431.5 million in the same period of 2017. In addition, we repaid $444.8 million in securitization trust debt in the six months ended June 30, 2018 compared to repayments of securitization trust debt of $430.8 million in the prior year period. In the six months ended June 30, 2018, we had net advances on warehouse lines of credit of $24.8 million, compared to net advances of $28.0 million in the prior year’s period.</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and may in the future be limited in our ability to purchase automobile contracts due to limits on our capital. As of June 30, 2018, we had unrestricted cash of $17.4 million and $162.1 million aggregate available borrowings under our three warehouse credit facilities (assuming the availability of sufficient eligible collateral). As of June 30, 2018, we had approximately $18.8 million of such eligible collateral. During the six-month period ended June 30, 2018, we completed two securitization aggregating $391.8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2018, we were in compliance with all such financial covenants.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have and will continue to have a substantial amount of indebtedness. At June 30, 2018, we had approximately $2,223.7 million of debt outstanding. Such debt consisted primarily of $2,030.7 million of securitization trust debt and $137.9 million of warehouse lines of credit. Our securitization trust debt has decreased by $51.3 million while our warehouse lines of credit have increased by $6.6 million since June 30, 2017 (each net of deferred financing costs). Since 2005, we have offered renewable subordinated notes to the public on a continuous basis, and such notes have maturities that range from six months to 10 years. We had $15.8 million and $16.1 million in subordinated renewable notes outstanding at June 30, 2018 and 2017, respectively. On May 16, 2018, we completed a $40.0 million securitization of residual interests from previously issued securitizations. At June 30, 2018, $40.0 million of this residual interest financing debt remains outstanding ($39.3 million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9" w:name="page40"/>
    <w:bookmarkEnd w:id="39"/>
    <w:p>
      <w:pPr>
        <w:jc w:val="both"/>
        <w:spacing w:after="0" w:line="238" w:lineRule="auto"/>
        <w:rPr>
          <w:sz w:val="20"/>
          <w:szCs w:val="20"/>
          <w:color w:val="auto"/>
        </w:rPr>
      </w:pPr>
      <w:r>
        <w:rPr>
          <w:rFonts w:ascii="Arial" w:cs="Arial" w:eastAsia="Arial" w:hAnsi="Arial"/>
          <w:sz w:val="22"/>
          <w:szCs w:val="22"/>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June 7, 2018.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and will continue to have a substantial amount of indebtedness. At June 30, 2018, we had approximately $2,223.7 million of debt outstanding. Such debt consisted primarily of $2,030.7 million of securitization trust debt and $137.9 million of warehouse lines of credit. Our securitization trust debt has decreased by $51.3 million while our warehouse lines of credit have increased by $6.6 million since June 30, 2017 (each net of deferred financing costs). Since 2005, we have offered renewable subordinated notes to the public on a continuous basis, and such notes have maturities that range from six months to 10 years. We had $15.8 million and $16.1 million in subordinated renewable notes outstanding at June 30, 2018 and 2017, respectively. On May 16, 2018, we completed a $40.0 million securitization of residual interests from previously issued securitizations. At June 30, 2018, $40.0 million of this residual interest financing debt remains outstanding ($39.3 million net of deferred financing costs). Our substantial indebtedness could adversely affect our financial condition by, among other things:</w:t>
      </w:r>
    </w:p>
    <w:p>
      <w:pPr>
        <w:spacing w:after="0" w:line="192" w:lineRule="exact"/>
        <w:rPr>
          <w:sz w:val="20"/>
          <w:szCs w:val="20"/>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97"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we repurchased 491,117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w w:val="90"/>
              </w:rPr>
              <w:t>Issuer Purchases of Equity Securities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Total Number of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Purchased as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Average</w:t>
            </w: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Part of Publicly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r>
      <w:tr>
        <w:trPr>
          <w:trHeight w:val="230"/>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Price Paid</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2940" w:type="dxa"/>
            <w:vAlign w:val="bottom"/>
            <w:gridSpan w:val="3"/>
          </w:tcPr>
          <w:p>
            <w:pPr>
              <w:ind w:left="680"/>
              <w:spacing w:after="0"/>
              <w:rPr>
                <w:sz w:val="20"/>
                <w:szCs w:val="20"/>
                <w:color w:val="auto"/>
              </w:rPr>
            </w:pPr>
            <w:r>
              <w:rPr>
                <w:rFonts w:ascii="Arial" w:cs="Arial" w:eastAsia="Arial" w:hAnsi="Arial"/>
                <w:sz w:val="18"/>
                <w:szCs w:val="18"/>
                <w:b w:val="1"/>
                <w:bCs w:val="1"/>
                <w:color w:val="auto"/>
              </w:rPr>
              <w:t>Period(1)</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per Share</w:t>
            </w: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Programs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r>
      <w:tr>
        <w:trPr>
          <w:trHeight w:val="210"/>
        </w:trPr>
        <w:tc>
          <w:tcPr>
            <w:tcW w:w="2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April 2018</w:t>
            </w:r>
          </w:p>
        </w:tc>
        <w:tc>
          <w:tcPr>
            <w:tcW w:w="9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187,518</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3.67</w:t>
            </w:r>
          </w:p>
        </w:tc>
        <w:tc>
          <w:tcPr>
            <w:tcW w:w="1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187,518</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10,669,741</w:t>
            </w:r>
          </w:p>
        </w:tc>
      </w:tr>
      <w:tr>
        <w:trPr>
          <w:trHeight w:val="216"/>
        </w:trPr>
        <w:tc>
          <w:tcPr>
            <w:tcW w:w="2940" w:type="dxa"/>
            <w:vAlign w:val="bottom"/>
            <w:gridSpan w:val="3"/>
          </w:tcPr>
          <w:p>
            <w:pPr>
              <w:ind w:left="120"/>
              <w:spacing w:after="0"/>
              <w:rPr>
                <w:sz w:val="20"/>
                <w:szCs w:val="20"/>
                <w:color w:val="auto"/>
              </w:rPr>
            </w:pPr>
            <w:r>
              <w:rPr>
                <w:rFonts w:ascii="Arial" w:cs="Arial" w:eastAsia="Arial" w:hAnsi="Arial"/>
                <w:sz w:val="18"/>
                <w:szCs w:val="18"/>
                <w:color w:val="auto"/>
              </w:rPr>
              <w:t>May 2018</w:t>
            </w:r>
          </w:p>
        </w:tc>
        <w:tc>
          <w:tcPr>
            <w:tcW w:w="9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171,404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3.60</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171,404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10,052,713</w:t>
            </w:r>
          </w:p>
        </w:tc>
      </w:tr>
      <w:tr>
        <w:trPr>
          <w:trHeight w:val="230"/>
        </w:trPr>
        <w:tc>
          <w:tcPr>
            <w:tcW w:w="294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June 2018</w:t>
            </w:r>
          </w:p>
        </w:tc>
        <w:tc>
          <w:tcPr>
            <w:tcW w:w="9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132,195</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4.18</w:t>
            </w:r>
          </w:p>
        </w:tc>
        <w:tc>
          <w:tcPr>
            <w:tcW w:w="1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132,195</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9,499,726</w:t>
            </w:r>
          </w:p>
        </w:tc>
      </w:tr>
      <w:tr>
        <w:trPr>
          <w:trHeight w:val="223"/>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491,117</w:t>
            </w: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491,117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2018,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4.14</w:t>
            </w: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5"/>
              </w:rPr>
              <w:t>exclusion set forth in subdivisions (b)(iv)(iii)(A) and (b)(v) of Item 601 of Regulation S-K (17 CFR 229.601).  The registrant agrees to</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1380" w:type="dxa"/>
            <w:vAlign w:val="bottom"/>
          </w:tcPr>
          <w:p>
            <w:pPr>
              <w:jc w:val="right"/>
              <w:ind w:right="970"/>
              <w:spacing w:after="0" w:line="190" w:lineRule="exact"/>
              <w:rPr>
                <w:sz w:val="20"/>
                <w:szCs w:val="20"/>
                <w:color w:val="auto"/>
              </w:rPr>
            </w:pPr>
            <w:r>
              <w:rPr>
                <w:rFonts w:ascii="Arial" w:cs="Arial" w:eastAsia="Arial" w:hAnsi="Arial"/>
                <w:sz w:val="18"/>
                <w:szCs w:val="18"/>
                <w:color w:val="auto"/>
                <w:w w:val="85"/>
              </w:rPr>
              <w:t>31.1</w:t>
            </w:r>
          </w:p>
        </w:tc>
        <w:tc>
          <w:tcPr>
            <w:tcW w:w="10040" w:type="dxa"/>
            <w:vAlign w:val="bottom"/>
            <w:gridSpan w:val="3"/>
          </w:tcPr>
          <w:p>
            <w:pPr>
              <w:spacing w:after="0" w:line="190" w:lineRule="exact"/>
              <w:rPr>
                <w:rFonts w:ascii="Arial" w:cs="Arial" w:eastAsia="Arial" w:hAnsi="Arial"/>
                <w:sz w:val="18"/>
                <w:szCs w:val="18"/>
                <w:color w:val="0000EE"/>
              </w:rPr>
            </w:pPr>
            <w:hyperlink w:anchor="page44">
              <w:r>
                <w:rPr>
                  <w:rFonts w:ascii="Arial" w:cs="Arial" w:eastAsia="Arial" w:hAnsi="Arial"/>
                  <w:sz w:val="18"/>
                  <w:szCs w:val="18"/>
                  <w:color w:val="0000EE"/>
                </w:rPr>
                <w:t>Rule 13a-14(a) Certification of the Chief Executive Officer of the registrant.</w:t>
              </w:r>
            </w:hyperlink>
          </w:p>
        </w:tc>
      </w:tr>
      <w:tr>
        <w:trPr>
          <w:trHeight w:val="196"/>
        </w:trPr>
        <w:tc>
          <w:tcPr>
            <w:tcW w:w="1380" w:type="dxa"/>
            <w:vAlign w:val="bottom"/>
          </w:tcPr>
          <w:p>
            <w:pPr>
              <w:jc w:val="right"/>
              <w:ind w:right="970"/>
              <w:spacing w:after="0" w:line="196" w:lineRule="exact"/>
              <w:rPr>
                <w:sz w:val="20"/>
                <w:szCs w:val="20"/>
                <w:color w:val="auto"/>
              </w:rPr>
            </w:pPr>
            <w:r>
              <w:rPr>
                <w:rFonts w:ascii="Arial" w:cs="Arial" w:eastAsia="Arial" w:hAnsi="Arial"/>
                <w:sz w:val="18"/>
                <w:szCs w:val="18"/>
                <w:color w:val="auto"/>
                <w:w w:val="85"/>
              </w:rPr>
              <w:t>31.2</w:t>
            </w:r>
          </w:p>
        </w:tc>
        <w:tc>
          <w:tcPr>
            <w:tcW w:w="5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13" w:lineRule="exact"/>
        <w:rPr>
          <w:sz w:val="20"/>
          <w:szCs w:val="20"/>
          <w:color w:val="auto"/>
        </w:rPr>
      </w:pPr>
    </w:p>
    <w:p>
      <w:pPr>
        <w:ind w:left="1380" w:hanging="1372"/>
        <w:spacing w:after="0"/>
        <w:tabs>
          <w:tab w:leader="none" w:pos="1380" w:val="left"/>
        </w:tabs>
        <w:numPr>
          <w:ilvl w:val="0"/>
          <w:numId w:val="18"/>
        </w:numPr>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1350 Certifications.*</w:t>
        </w:r>
      </w:hyperlink>
    </w:p>
    <w:p>
      <w:pPr>
        <w:spacing w:after="0" w:line="225" w:lineRule="exact"/>
        <w:rPr>
          <w:sz w:val="20"/>
          <w:szCs w:val="20"/>
          <w:color w:val="auto"/>
        </w:rPr>
      </w:pPr>
    </w:p>
    <w:p>
      <w:pPr>
        <w:jc w:val="both"/>
        <w:ind w:right="40" w:firstLine="8"/>
        <w:spacing w:after="0" w:line="312" w:lineRule="auto"/>
        <w:tabs>
          <w:tab w:leader="none" w:pos="1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CONSUMER PORTFOLIO SERVICES,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By: /s/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-10160</wp:posOffset>
            </wp:positionV>
            <wp:extent cx="23729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2995" cy="889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 /s/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-19050</wp:posOffset>
            </wp:positionV>
            <wp:extent cx="2346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632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796" w:right="7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2018,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606"/>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2019-12-28T20:26:14Z</dcterms:created>
  <dcterms:modified xsi:type="dcterms:W3CDTF">2019-12-28T20:26:14Z</dcterms:modified>
</cp:coreProperties>
</file>