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ind w:left="3880" w:right="1520" w:hanging="3872"/>
        <w:spacing w:after="0" w:line="286" w:lineRule="auto"/>
        <w:tabs>
          <w:tab w:leader="none" w:pos="5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1-11416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spacing w:after="0"/>
              <w:rPr>
                <w:sz w:val="18"/>
                <w:szCs w:val="18"/>
                <w:color w:val="auto"/>
              </w:rPr>
            </w:pP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6"/>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21" w:lineRule="exact"/>
        <w:rPr>
          <w:sz w:val="24"/>
          <w:szCs w:val="24"/>
          <w:color w:val="auto"/>
        </w:rPr>
      </w:pPr>
    </w:p>
    <w:p>
      <w:pPr>
        <w:jc w:val="center"/>
        <w:spacing w:after="0" w:line="207" w:lineRule="exact"/>
        <w:tabs>
          <w:tab w:leader="none" w:pos="200" w:val="left"/>
          <w:tab w:leader="none" w:pos="160" w:val="left"/>
          <w:tab w:leader="none" w:pos="220" w:val="left"/>
          <w:tab w:leader="none" w:pos="2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24, 2024 the registrant had 21,327,143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2024 and December 31,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and six-month periods ended June 30, 2024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8400" w:type="dxa"/>
            <w:vAlign w:val="bottom"/>
            <w:tcBorders>
              <w:top w:val="single" w:sz="8" w:color="0000EE"/>
            </w:tcBorders>
            <w:gridSpan w:val="19"/>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60" w:type="dxa"/>
            <w:vAlign w:val="bottom"/>
            <w:tcBorders>
              <w:bottom w:val="single" w:sz="8" w:color="0000EE"/>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Comprehensive Income for the three-month and six-month periods ended</w:t>
            </w:r>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30, 2024 and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six-month periods ended June 30, 2024 and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three-month and six-month periods ended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tcBorders>
              <w:top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30, 2024 and 2023</w:t>
            </w:r>
          </w:p>
        </w:tc>
        <w:tc>
          <w:tcPr>
            <w:tcW w:w="6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020" w:type="dxa"/>
            <w:vAlign w:val="bottom"/>
            <w:gridSpan w:val="1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40" w:type="dxa"/>
            <w:vAlign w:val="bottom"/>
            <w:gridSpan w:val="1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20"/>
                <w:szCs w:val="20"/>
                <w:color w:val="auto"/>
              </w:rPr>
            </w:pPr>
          </w:p>
        </w:tc>
      </w:tr>
      <w:tr>
        <w:trPr>
          <w:trHeight w:val="20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256,859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2,960,375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r>
        <w:trPr>
          <w:trHeight w:val="216"/>
        </w:trPr>
        <w:tc>
          <w:tcPr>
            <w:tcW w:w="7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27,553</w:t>
            </w: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2,418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43,916</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25,861</w:t>
            </w:r>
          </w:p>
        </w:tc>
      </w:tr>
      <w:tr>
        <w:trPr>
          <w:trHeight w:val="223"/>
        </w:trPr>
        <w:tc>
          <w:tcPr>
            <w:tcW w:w="75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3,286,542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2,903,746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66,393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62,544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82,175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99,079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2,736,225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2,265,446</w:t>
            </w:r>
          </w:p>
        </w:tc>
      </w:tr>
      <w:tr>
        <w:trPr>
          <w:trHeight w:val="230"/>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22,356</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r>
      <w:tr>
        <w:trPr>
          <w:trHeight w:val="209"/>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3,006,228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2,629,078</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21,304,643 and 21,174,856 shares issued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June 30, 2024 and December 31, 2023, respectively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25,062</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257,119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247,857</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280,314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00" w:type="dxa"/>
            <w:vAlign w:val="bottom"/>
            <w:shd w:val="clear" w:color="auto" w:fill="EEEEEE"/>
          </w:tcPr>
          <w:p>
            <w:pPr>
              <w:spacing w:after="0"/>
              <w:rPr>
                <w:sz w:val="21"/>
                <w:szCs w:val="21"/>
                <w:color w:val="auto"/>
              </w:rPr>
            </w:pPr>
          </w:p>
        </w:tc>
        <w:tc>
          <w:tcPr>
            <w:tcW w:w="4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3,286,542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2,903,746</w:t>
            </w:r>
          </w:p>
        </w:tc>
      </w:tr>
      <w:tr>
        <w:trPr>
          <w:trHeight w:val="20"/>
        </w:trPr>
        <w:tc>
          <w:tcPr>
            <w:tcW w:w="75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88,367</w:t>
            </w:r>
          </w:p>
        </w:tc>
        <w:tc>
          <w:tcPr>
            <w:tcW w:w="48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82,637</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172,655</w:t>
            </w:r>
          </w:p>
        </w:tc>
        <w:tc>
          <w:tcPr>
            <w:tcW w:w="46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162,699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2,221</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4,469</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95,880</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187,624</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23,725</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21,147</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48,141</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43,180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11,783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46,710</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35,706</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88,678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68,465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(9,700)</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5,883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5,463</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10,753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89,208</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66,254</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174,395</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4,650</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9,258</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27,777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0.44</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46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21,263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20,866</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24,263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25,373</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24,433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25,384</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EEEEEE"/>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4,672</w:t>
            </w:r>
          </w:p>
        </w:tc>
        <w:tc>
          <w:tcPr>
            <w:tcW w:w="1040" w:type="dxa"/>
            <w:vAlign w:val="bottom"/>
            <w:gridSpan w:val="2"/>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13,954</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9,262</w:t>
            </w:r>
          </w:p>
        </w:tc>
        <w:tc>
          <w:tcPr>
            <w:tcW w:w="320" w:type="dxa"/>
            <w:vAlign w:val="bottom"/>
            <w:gridSpan w:val="2"/>
            <w:shd w:val="clear" w:color="auto" w:fill="EEEEEE"/>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27,777</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7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income/(loss);change in funded status</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of pension plan</w:t>
            </w:r>
          </w:p>
        </w:tc>
        <w:tc>
          <w:tcPr>
            <w:tcW w:w="90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13,954</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EEEEEE"/>
            </w:tcBorders>
          </w:tcPr>
          <w:p>
            <w:pPr>
              <w:spacing w:after="0"/>
              <w:rPr>
                <w:sz w:val="19"/>
                <w:szCs w:val="19"/>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9,262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27,777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106,648</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94,305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436</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5,043</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4,800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(10,500)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(3,585)</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1,641</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1,318</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2,810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(18,116)</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5,447</w:t>
            </w:r>
          </w:p>
        </w:tc>
      </w:tr>
      <w:tr>
        <w:trPr>
          <w:trHeight w:val="229"/>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3,849</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1,963</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95,996</w:t>
            </w:r>
          </w:p>
        </w:tc>
        <w:tc>
          <w:tcPr>
            <w:tcW w:w="32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120,661</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16,239</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42,892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(753,760)</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(658,048)</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419,899</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421,940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(256)</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68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(193,059</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1,037,105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657,653</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5,489</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(150,659)</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(41,031)</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(563,679)</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(540,958)</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(9,677)</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(11,172)</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(18,464)</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5,915</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15,678</w:t>
            </w:r>
          </w:p>
        </w:tc>
      </w:tr>
      <w:tr>
        <w:trPr>
          <w:trHeight w:val="210"/>
        </w:trPr>
        <w:tc>
          <w:tcPr>
            <w:tcW w:w="68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363,001</w:t>
            </w:r>
          </w:p>
        </w:tc>
        <w:tc>
          <w:tcPr>
            <w:tcW w:w="32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64,753</w:t>
            </w:r>
          </w:p>
        </w:tc>
        <w:tc>
          <w:tcPr>
            <w:tcW w:w="100" w:type="dxa"/>
            <w:vAlign w:val="bottom"/>
            <w:tcBorders>
              <w:bottom w:val="single" w:sz="8" w:color="EEEEEE"/>
            </w:tcBorders>
          </w:tcPr>
          <w:p>
            <w:pPr>
              <w:spacing w:after="0"/>
              <w:rPr>
                <w:sz w:val="18"/>
                <w:szCs w:val="18"/>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141,180</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125,431</w:t>
            </w:r>
          </w:p>
        </w:tc>
        <w:tc>
          <w:tcPr>
            <w:tcW w:w="5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162,789</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266,611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83,091</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62,612</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9,245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net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(22,256)</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23,565</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5,373</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office rent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(1,309)</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20,496</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21,175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20,131</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(1,062)</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(1,784)</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28,518</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28,678</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28,906</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8,718</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5,915</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15,678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(11,171)</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(11,172)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(18,464)</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shd w:val="clear" w:color="auto" w:fill="EEEEEE"/>
          </w:tcPr>
          <w:p>
            <w:pPr>
              <w:spacing w:after="0"/>
              <w:rPr>
                <w:sz w:val="19"/>
                <w:szCs w:val="19"/>
                <w:color w:val="auto"/>
              </w:rPr>
            </w:pPr>
          </w:p>
        </w:tc>
      </w:tr>
      <w:tr>
        <w:trPr>
          <w:trHeight w:val="209"/>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2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252,447</w:t>
            </w:r>
          </w:p>
        </w:tc>
        <w:tc>
          <w:tcPr>
            <w:tcW w:w="42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216,337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247,857</w:t>
            </w:r>
          </w:p>
        </w:tc>
        <w:tc>
          <w:tcPr>
            <w:tcW w:w="340" w:type="dxa"/>
            <w:vAlign w:val="bottom"/>
            <w:gridSpan w:val="2"/>
            <w:shd w:val="clear" w:color="auto" w:fill="EEEEEE"/>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202,514</w:t>
            </w:r>
          </w:p>
        </w:tc>
        <w:tc>
          <w:tcPr>
            <w:tcW w:w="80" w:type="dxa"/>
            <w:vAlign w:val="bottom"/>
            <w:shd w:val="clear" w:color="auto" w:fill="EEEEEE"/>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13,954</w:t>
            </w:r>
          </w:p>
        </w:tc>
        <w:tc>
          <w:tcPr>
            <w:tcW w:w="3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9,262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27,777</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257,119</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230,291</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257,119</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230,291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(1,867)</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(1,867)</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tcBorders>
              <w:bottom w:val="single" w:sz="8" w:color="EEEEEE"/>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280,314</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255,197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280,314</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255,197</w:t>
            </w:r>
          </w:p>
        </w:tc>
        <w:tc>
          <w:tcPr>
            <w:tcW w:w="8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3" w:lineRule="exact"/>
        <w:rPr>
          <w:sz w:val="20"/>
          <w:szCs w:val="20"/>
          <w:color w:val="auto"/>
        </w:rPr>
      </w:pPr>
    </w:p>
    <w:p>
      <w:pPr>
        <w:jc w:val="both"/>
        <w:ind w:firstLine="8"/>
        <w:spacing w:after="0" w:line="255"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2024 are not necessarily indicative of the operating results to be expected for the full year.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six-month periods ending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84"/>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4"/>
          </w:tcPr>
          <w:p>
            <w:pPr>
              <w:jc w:val="center"/>
              <w:ind w:right="364"/>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1,694</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1,924</w:t>
            </w:r>
          </w:p>
        </w:tc>
        <w:tc>
          <w:tcPr>
            <w:tcW w:w="880" w:type="dxa"/>
            <w:vAlign w:val="bottom"/>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3,838</w:t>
            </w:r>
          </w:p>
        </w:tc>
        <w:tc>
          <w:tcPr>
            <w:tcW w:w="880" w:type="dxa"/>
            <w:vAlign w:val="bottom"/>
            <w:gridSpan w:val="2"/>
            <w:shd w:val="clear" w:color="auto" w:fill="EEEEEE"/>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29,575</w:t>
            </w:r>
          </w:p>
        </w:tc>
      </w:tr>
      <w:tr>
        <w:trPr>
          <w:trHeight w:val="229"/>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(29,166)</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(26,651)</w:t>
            </w:r>
          </w:p>
        </w:tc>
      </w:tr>
      <w:tr>
        <w:trPr>
          <w:trHeight w:val="263"/>
        </w:trPr>
        <w:tc>
          <w:tcPr>
            <w:tcW w:w="74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EEEEEE"/>
            </w:tcBorders>
          </w:tcPr>
          <w:p>
            <w:pPr>
              <w:spacing w:after="0"/>
              <w:rPr>
                <w:sz w:val="22"/>
                <w:szCs w:val="22"/>
                <w:color w:val="auto"/>
              </w:rPr>
            </w:pPr>
          </w:p>
        </w:tc>
      </w:tr>
      <w:tr>
        <w:trPr>
          <w:trHeight w:val="197"/>
        </w:trPr>
        <w:tc>
          <w:tcPr>
            <w:tcW w:w="74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7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5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3,757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3,474</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(3,428)</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r>
      <w:tr>
        <w:trPr>
          <w:trHeight w:val="223"/>
        </w:trPr>
        <w:tc>
          <w:tcPr>
            <w:tcW w:w="74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300" w:type="dxa"/>
            <w:vAlign w:val="bottom"/>
          </w:tcPr>
          <w:p>
            <w:pPr>
              <w:spacing w:after="0"/>
              <w:rPr>
                <w:sz w:val="21"/>
                <w:szCs w:val="21"/>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0"/>
        </w:trPr>
        <w:tc>
          <w:tcPr>
            <w:tcW w:w="4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29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5,084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5,408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4,747</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9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(4,387)</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9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0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1,311</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1,411</w:t>
            </w:r>
          </w:p>
        </w:tc>
        <w:tc>
          <w:tcPr>
            <w:tcW w:w="980" w:type="dxa"/>
            <w:vAlign w:val="bottom"/>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2,685</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2,771</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9"/>
                <w:szCs w:val="19"/>
                <w:color w:val="auto"/>
              </w:rPr>
            </w:pPr>
          </w:p>
        </w:tc>
        <w:tc>
          <w:tcPr>
            <w:tcW w:w="25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1,311</w:t>
            </w:r>
          </w:p>
        </w:tc>
        <w:tc>
          <w:tcPr>
            <w:tcW w:w="5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2,685</w:t>
            </w:r>
          </w:p>
        </w:tc>
        <w:tc>
          <w:tcPr>
            <w:tcW w:w="4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we recorded stock-based compensation costs in the amount of $809,000 and $1.6 million, respectively. These stock-based compensation costs were $905,000 and $1.8 million for the three and six months ended June 30, 2023. As of June 30, 2024, unrecognized stock-based compensation costs to be recognized over future periods equaled $4.4 million. This amount will be recognized as expense over a weighted-average period of 1.5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stock option activity for the six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0" w:type="dxa"/>
            <w:vAlign w:val="bottom"/>
          </w:tcPr>
          <w:p>
            <w:pPr>
              <w:spacing w:after="0"/>
              <w:rPr>
                <w:sz w:val="1"/>
                <w:szCs w:val="1"/>
                <w:color w:val="auto"/>
              </w:rPr>
            </w:pPr>
          </w:p>
        </w:tc>
      </w:tr>
      <w:tr>
        <w:trPr>
          <w:trHeight w:val="210"/>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2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22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28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3.15 years</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322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5,127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4.66</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2.80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bottom w:val="single" w:sz="8" w:color="EEEEEE"/>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1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2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62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1,290</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6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2,203</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62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1,322</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2,539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6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1,672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w w:val="93"/>
              </w:rPr>
              <w:t>6,487</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June 30, 2024 the aggregate intrinsic value of options outstanding and exercisable was $29.7 million and $26.8 million, respectively. There were 1.4 million options exercised for the six months ended June 30, 2024 compared to 2.8 million for the comparable period in 2023. The total intrinsic value of options exercised was $6.2 million and $13.3 million for the six-month periods ended June 30, 2024 and 2023. There were 2,894,000 shares available for future stock option grants under existing plans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31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508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473,202</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8.67</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564,202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824,511</w:t>
            </w:r>
          </w:p>
        </w:tc>
        <w:tc>
          <w:tcPr>
            <w:tcW w:w="180" w:type="dxa"/>
            <w:vAlign w:val="bottom"/>
          </w:tcPr>
          <w:p>
            <w:pPr>
              <w:spacing w:after="0"/>
              <w:rPr>
                <w:sz w:val="19"/>
                <w:szCs w:val="19"/>
                <w:color w:val="auto"/>
              </w:rPr>
            </w:pP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8.57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1,220,044</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1,297,713</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8.61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1,784,246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2024,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is intended to enhance the disclosures on reportable segments. This new standard will be effective for annual reporting periods beginning after December 15, 2023, with early adoption permitted. The Company is currently evaluating the impact of ASU 2023-07; however, at the current time, the Company does not believe this ASU will have a material impact on its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17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June 30, 2024 and December 31, 2023:</w:t>
      </w:r>
    </w:p>
    <w:p>
      <w:pPr>
        <w:spacing w:after="0" w:line="198"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10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91 + days</w:t>
            </w:r>
          </w:p>
        </w:tc>
        <w:tc>
          <w:tcPr>
            <w:tcW w:w="190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EEEEEE"/>
            </w:tcBorders>
            <w:shd w:val="clear" w:color="auto" w:fill="EEEEEE"/>
          </w:tcPr>
          <w:p>
            <w:pPr>
              <w:spacing w:after="0"/>
              <w:rPr>
                <w:sz w:val="19"/>
                <w:szCs w:val="19"/>
                <w:color w:val="auto"/>
              </w:rPr>
            </w:pPr>
          </w:p>
        </w:tc>
        <w:tc>
          <w:tcPr>
            <w:tcW w:w="190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receivables totaling $442,000 and $1.1 million at June 30, 2024 and December 31, 2023, respectively,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June 30, 2024 and December 31, 2023.</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Annual Vintage Pool</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4"/>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76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3600" w:type="dxa"/>
            <w:vAlign w:val="bottom"/>
            <w:gridSpan w:val="3"/>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Borders>
              <w:bottom w:val="single" w:sz="8" w:color="EEEEEE"/>
            </w:tcBorders>
          </w:tcPr>
          <w:p>
            <w:pPr>
              <w:spacing w:after="0"/>
              <w:rPr>
                <w:sz w:val="19"/>
                <w:szCs w:val="19"/>
                <w:color w:val="auto"/>
              </w:rPr>
            </w:pPr>
          </w:p>
        </w:tc>
        <w:tc>
          <w:tcPr>
            <w:tcW w:w="190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2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EEEEEE"/>
            </w:tcBorders>
            <w:shd w:val="clear" w:color="auto" w:fill="EEEEEE"/>
          </w:tcPr>
          <w:p>
            <w:pPr>
              <w:spacing w:after="0"/>
              <w:rPr>
                <w:sz w:val="19"/>
                <w:szCs w:val="19"/>
                <w:color w:val="auto"/>
              </w:rPr>
            </w:pPr>
          </w:p>
        </w:tc>
        <w:tc>
          <w:tcPr>
            <w:tcW w:w="1500" w:type="dxa"/>
            <w:vAlign w:val="bottom"/>
            <w:tcBorders>
              <w:bottom w:val="single" w:sz="8" w:color="EEEEEE"/>
            </w:tcBorders>
            <w:shd w:val="clear" w:color="auto" w:fill="EEEEEE"/>
          </w:tcPr>
          <w:p>
            <w:pPr>
              <w:spacing w:after="0"/>
              <w:rPr>
                <w:sz w:val="19"/>
                <w:szCs w:val="19"/>
                <w:color w:val="auto"/>
              </w:rPr>
            </w:pPr>
          </w:p>
        </w:tc>
        <w:tc>
          <w:tcPr>
            <w:tcW w:w="190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68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r>
      <w:tr>
        <w:trPr>
          <w:trHeight w:val="223"/>
        </w:trPr>
        <w:tc>
          <w:tcPr>
            <w:tcW w:w="508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840" w:type="dxa"/>
            <w:vAlign w:val="bottom"/>
            <w:tcBorders>
              <w:bottom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EEEEEE"/>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1,890</w:t>
            </w:r>
          </w:p>
        </w:tc>
        <w:tc>
          <w:tcPr>
            <w:tcW w:w="600" w:type="dxa"/>
            <w:vAlign w:val="bottom"/>
            <w:gridSpan w:val="2"/>
            <w:shd w:val="clear" w:color="auto" w:fill="EEEEEE"/>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14,728</w:t>
            </w:r>
          </w:p>
        </w:tc>
        <w:tc>
          <w:tcPr>
            <w:tcW w:w="3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2,869</w:t>
            </w:r>
          </w:p>
        </w:tc>
        <w:tc>
          <w:tcPr>
            <w:tcW w:w="580" w:type="dxa"/>
            <w:vAlign w:val="bottom"/>
            <w:gridSpan w:val="2"/>
            <w:shd w:val="clear" w:color="auto" w:fill="EEEEEE"/>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21,753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(9,700)</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(18,700)</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3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(1,897)</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(4,914)</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w:t>
            </w:r>
          </w:p>
        </w:tc>
        <w:tc>
          <w:tcPr>
            <w:tcW w:w="3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7,582</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and six-month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84"/>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Annual Vintage Pool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gridSpan w:val="4"/>
          </w:tcPr>
          <w:p>
            <w:pPr>
              <w:jc w:val="center"/>
              <w:ind w:right="356"/>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gridSpan w:val="4"/>
          </w:tcPr>
          <w:p>
            <w:pPr>
              <w:jc w:val="center"/>
              <w:ind w:right="364"/>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40" w:type="dxa"/>
            <w:vAlign w:val="bottom"/>
            <w:tcBorders>
              <w:bottom w:val="single" w:sz="8" w:color="EEEEEE"/>
            </w:tcBorders>
          </w:tcPr>
          <w:p>
            <w:pPr>
              <w:spacing w:after="0"/>
              <w:rPr>
                <w:sz w:val="2"/>
                <w:szCs w:val="2"/>
                <w:color w:val="auto"/>
              </w:rPr>
            </w:pPr>
          </w:p>
        </w:tc>
        <w:tc>
          <w:tcPr>
            <w:tcW w:w="1500" w:type="dxa"/>
            <w:vAlign w:val="bottom"/>
            <w:tcBorders>
              <w:top w:val="single" w:sz="8" w:color="auto"/>
              <w:bottom w:val="single" w:sz="8" w:color="EEEEEE"/>
            </w:tcBorders>
          </w:tcPr>
          <w:p>
            <w:pPr>
              <w:spacing w:after="0"/>
              <w:rPr>
                <w:sz w:val="2"/>
                <w:szCs w:val="2"/>
                <w:color w:val="auto"/>
              </w:rPr>
            </w:pPr>
          </w:p>
        </w:tc>
        <w:tc>
          <w:tcPr>
            <w:tcW w:w="1840" w:type="dxa"/>
            <w:vAlign w:val="bottom"/>
            <w:tcBorders>
              <w:bottom w:val="single" w:sz="8" w:color="EEEEEE"/>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EEEEEE"/>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EEEEEE"/>
            </w:tcBorders>
          </w:tcPr>
          <w:p>
            <w:pPr>
              <w:spacing w:after="0"/>
              <w:rPr>
                <w:sz w:val="2"/>
                <w:szCs w:val="2"/>
                <w:color w:val="auto"/>
              </w:rPr>
            </w:pPr>
          </w:p>
        </w:tc>
        <w:tc>
          <w:tcPr>
            <w:tcW w:w="8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880" w:type="dxa"/>
            <w:vAlign w:val="bottom"/>
            <w:gridSpan w:val="2"/>
            <w:shd w:val="clear" w:color="auto" w:fill="EEEEEE"/>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gridSpan w:val="2"/>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1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8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9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c>
          <w:tcPr>
            <w:tcW w:w="8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5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40" w:type="dxa"/>
            <w:vAlign w:val="bottom"/>
          </w:tcPr>
          <w:p>
            <w:pPr>
              <w:spacing w:after="0"/>
              <w:rPr>
                <w:sz w:val="20"/>
                <w:szCs w:val="20"/>
                <w:color w:val="auto"/>
              </w:rPr>
            </w:pPr>
          </w:p>
        </w:tc>
        <w:tc>
          <w:tcPr>
            <w:tcW w:w="3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3160" w:type="dxa"/>
            <w:vAlign w:val="bottom"/>
            <w:gridSpan w:val="2"/>
            <w:shd w:val="clear" w:color="auto" w:fill="EEEEEE"/>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5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20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2024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2026</w:t>
            </w:r>
          </w:p>
        </w:tc>
        <w:tc>
          <w:tcPr>
            <w:tcW w:w="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228,275</w:t>
            </w:r>
          </w:p>
        </w:tc>
        <w:tc>
          <w:tcPr>
            <w:tcW w:w="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243,513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2019-D</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December 2026</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274,313</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27,445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2027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16,899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2020-B</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2027</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26,618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202,343</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17,457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24,197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2027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32,417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2021-A</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March 2028</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42,104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230,545</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29,790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39,039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2021-B</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41,493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55,684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2021-C</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September 2028</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82,376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291,000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64,048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85,563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2021-D</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349,202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94,448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126,059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2022-A</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April 2029</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126,979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316,800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104,891</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137,479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2022-B</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2029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395,600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169,159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213,779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2022-C</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April 2030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228,611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391,600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181,172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230,273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2030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166,710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205,583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2023-A</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August 2030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229,363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324,768</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185,085</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231,906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2023-B</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251,703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332,885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216,030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268,172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2023-C</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February 2031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238,505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291,732</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214,774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257,568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2031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286,149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232,080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271,939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2024-A</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August 2031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269,746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280,924</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246,948</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2024-B</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2031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319,871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303,735</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2024-C</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March 2032</w:t>
            </w: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315,591</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436,310</w:t>
            </w: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436,310</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3,006,726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6,255,048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2,753,447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$524.2 million in 2024, $879.3 million in 2025, $582.5 million in 2026, $385.6 million in 2027, $243.6 million in 2028, $102.8 million in 2029, and $18.2 million in 2030.</w:t>
      </w:r>
    </w:p>
    <w:p>
      <w:pPr>
        <w:spacing w:after="0" w:line="18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of $17.2 million and $14.6 million as of June 30, 2024 and December 31, 2023, respectively, have been excluded from the table above. These debt issuance costs are presented as a direct deduction to the carrying amount of the Securitization trust debt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2024, we were in compliance with all such covenants.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2024, restricted cash under the various agreements totaled approximately $256.9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and amounts of our other debt outstanding at June 30, 2024 and December 31, 2023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8"/>
                <w:szCs w:val="18"/>
                <w:color w:val="auto"/>
              </w:rPr>
              <w:t>Description</w:t>
            </w:r>
          </w:p>
        </w:tc>
        <w:tc>
          <w:tcPr>
            <w:tcW w:w="1120" w:type="dxa"/>
            <w:vAlign w:val="bottom"/>
          </w:tcPr>
          <w:p>
            <w:pPr>
              <w:spacing w:after="0"/>
              <w:rPr>
                <w:sz w:val="20"/>
                <w:szCs w:val="20"/>
                <w:color w:val="auto"/>
              </w:rPr>
            </w:pPr>
          </w:p>
        </w:tc>
        <w:tc>
          <w:tcPr>
            <w:tcW w:w="180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color w:val="auto"/>
              </w:rPr>
              <w:t>Interest Rate</w:t>
            </w:r>
          </w:p>
        </w:tc>
        <w:tc>
          <w:tcPr>
            <w:tcW w:w="23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rPr>
              <w:t>Maturity</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4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920" w:type="dxa"/>
            <w:vAlign w:val="bottom"/>
            <w:gridSpan w:val="3"/>
            <w:shd w:val="clear" w:color="auto" w:fill="EEEEEE"/>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3.00% over CP yield rate</w:t>
            </w:r>
          </w:p>
        </w:tc>
        <w:tc>
          <w:tcPr>
            <w:tcW w:w="10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w w:val="99"/>
              </w:rPr>
              <w:t>(Minimum 3.75%) 8.44% and</w:t>
            </w:r>
          </w:p>
        </w:tc>
        <w:tc>
          <w:tcPr>
            <w:tcW w:w="10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rPr>
              <w:t>8.58% at June 30, 2024 and</w:t>
            </w:r>
          </w:p>
        </w:tc>
        <w:tc>
          <w:tcPr>
            <w:tcW w:w="10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300" w:type="dxa"/>
            <w:vAlign w:val="bottom"/>
            <w:gridSpan w:val="3"/>
            <w:shd w:val="clear" w:color="auto" w:fill="EEEEEE"/>
          </w:tcPr>
          <w:p>
            <w:pPr>
              <w:jc w:val="center"/>
              <w:ind w:left="370"/>
              <w:spacing w:after="0"/>
              <w:rPr>
                <w:sz w:val="20"/>
                <w:szCs w:val="20"/>
                <w:color w:val="auto"/>
              </w:rPr>
            </w:pPr>
            <w:r>
              <w:rPr>
                <w:rFonts w:ascii="Times New Roman" w:cs="Times New Roman" w:eastAsia="Times New Roman" w:hAnsi="Times New Roman"/>
                <w:sz w:val="18"/>
                <w:szCs w:val="18"/>
                <w:color w:val="auto"/>
              </w:rPr>
              <w:t>July 2026</w:t>
            </w:r>
          </w:p>
        </w:tc>
        <w:tc>
          <w:tcPr>
            <w:tcW w:w="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70,715</w:t>
            </w:r>
          </w:p>
        </w:tc>
        <w:tc>
          <w:tcPr>
            <w:tcW w:w="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165,628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920" w:type="dxa"/>
            <w:vAlign w:val="bottom"/>
            <w:gridSpan w:val="3"/>
            <w:shd w:val="clear" w:color="auto" w:fill="EEEEEE"/>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4.50% over a commercial paper</w:t>
            </w:r>
          </w:p>
        </w:tc>
        <w:tc>
          <w:tcPr>
            <w:tcW w:w="10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w w:val="99"/>
              </w:rPr>
              <w:t>rate (Minimum 7.50%) 9.83% and</w:t>
            </w:r>
          </w:p>
        </w:tc>
        <w:tc>
          <w:tcPr>
            <w:tcW w:w="10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rPr>
              <w:t>9.63% at June 30 2024, and</w:t>
            </w:r>
          </w:p>
        </w:tc>
        <w:tc>
          <w:tcPr>
            <w:tcW w:w="10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920" w:type="dxa"/>
            <w:vAlign w:val="bottom"/>
            <w:gridSpan w:val="3"/>
            <w:shd w:val="clear" w:color="auto" w:fill="EEEEEE"/>
          </w:tcPr>
          <w:p>
            <w:pPr>
              <w:jc w:val="center"/>
              <w:ind w:left="150"/>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300" w:type="dxa"/>
            <w:vAlign w:val="bottom"/>
            <w:gridSpan w:val="3"/>
            <w:shd w:val="clear" w:color="auto" w:fill="EEEEEE"/>
          </w:tcPr>
          <w:p>
            <w:pPr>
              <w:jc w:val="center"/>
              <w:ind w:left="370"/>
              <w:spacing w:after="0"/>
              <w:rPr>
                <w:sz w:val="20"/>
                <w:szCs w:val="20"/>
                <w:color w:val="auto"/>
              </w:rPr>
            </w:pPr>
            <w:r>
              <w:rPr>
                <w:rFonts w:ascii="Times New Roman" w:cs="Times New Roman" w:eastAsia="Times New Roman" w:hAnsi="Times New Roman"/>
                <w:sz w:val="18"/>
                <w:szCs w:val="18"/>
                <w:color w:val="auto"/>
              </w:rPr>
              <w:t>March 2026</w:t>
            </w:r>
          </w:p>
        </w:tc>
        <w:tc>
          <w:tcPr>
            <w:tcW w:w="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13,250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68,997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7.86%</w:t>
            </w:r>
          </w:p>
        </w:tc>
        <w:tc>
          <w:tcPr>
            <w:tcW w:w="88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center"/>
              <w:ind w:left="370"/>
              <w:spacing w:after="0"/>
              <w:rPr>
                <w:sz w:val="20"/>
                <w:szCs w:val="20"/>
                <w:color w:val="auto"/>
              </w:rPr>
            </w:pPr>
            <w:r>
              <w:rPr>
                <w:rFonts w:ascii="Times New Roman" w:cs="Times New Roman" w:eastAsia="Times New Roman" w:hAnsi="Times New Roman"/>
                <w:sz w:val="18"/>
                <w:szCs w:val="18"/>
                <w:color w:val="auto"/>
                <w:w w:val="97"/>
              </w:rPr>
              <w:t>June 2026</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0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11.50%</w:t>
            </w:r>
          </w:p>
        </w:tc>
        <w:tc>
          <w:tcPr>
            <w:tcW w:w="88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center"/>
              <w:ind w:left="370"/>
              <w:spacing w:after="0"/>
              <w:rPr>
                <w:sz w:val="20"/>
                <w:szCs w:val="20"/>
                <w:color w:val="auto"/>
              </w:rPr>
            </w:pPr>
            <w:r>
              <w:rPr>
                <w:rFonts w:ascii="Times New Roman" w:cs="Times New Roman" w:eastAsia="Times New Roman" w:hAnsi="Times New Roman"/>
                <w:sz w:val="18"/>
                <w:szCs w:val="18"/>
                <w:color w:val="auto"/>
              </w:rPr>
              <w:t>March 2029</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300" w:type="dxa"/>
            <w:vAlign w:val="bottom"/>
            <w:gridSpan w:val="3"/>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 average maturity of</w:t>
            </w:r>
          </w:p>
        </w:tc>
        <w:tc>
          <w:tcPr>
            <w:tcW w:w="700" w:type="dxa"/>
            <w:vAlign w:val="bottom"/>
            <w:gridSpan w:val="2"/>
            <w:shd w:val="clear" w:color="auto" w:fill="EEEEEE"/>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July</w:t>
            </w: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920" w:type="dxa"/>
            <w:vAlign w:val="bottom"/>
            <w:gridSpan w:val="8"/>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Weighted average rate of 9.20%   2026 and February 2026 at June 30,</w:t>
            </w: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920" w:type="dxa"/>
            <w:vAlign w:val="bottom"/>
            <w:gridSpan w:val="3"/>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w w:val="99"/>
              </w:rPr>
              <w:t>and 8.45% at June 30, 2024 and</w:t>
            </w:r>
          </w:p>
        </w:tc>
        <w:tc>
          <w:tcPr>
            <w:tcW w:w="3000" w:type="dxa"/>
            <w:vAlign w:val="bottom"/>
            <w:gridSpan w:val="5"/>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2024 and December 31, 2023,</w:t>
            </w: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920" w:type="dxa"/>
            <w:vAlign w:val="bottom"/>
            <w:gridSpan w:val="3"/>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300" w:type="dxa"/>
            <w:vAlign w:val="bottom"/>
            <w:gridSpan w:val="3"/>
            <w:shd w:val="clear" w:color="auto" w:fill="EEEEEE"/>
          </w:tcPr>
          <w:p>
            <w:pPr>
              <w:jc w:val="center"/>
              <w:ind w:left="37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22,356</w:t>
            </w:r>
          </w:p>
        </w:tc>
        <w:tc>
          <w:tcPr>
            <w:tcW w:w="1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760" w:type="dxa"/>
            <w:vAlign w:val="bottom"/>
            <w:shd w:val="clear" w:color="auto" w:fill="EEEEEE"/>
          </w:tcPr>
          <w:p>
            <w:pPr>
              <w:spacing w:after="0"/>
              <w:rPr>
                <w:sz w:val="21"/>
                <w:szCs w:val="21"/>
                <w:color w:val="auto"/>
              </w:rPr>
            </w:pPr>
          </w:p>
        </w:tc>
        <w:tc>
          <w:tcPr>
            <w:tcW w:w="112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640" w:type="dxa"/>
            <w:vAlign w:val="bottom"/>
            <w:shd w:val="clear" w:color="auto" w:fill="EEEEEE"/>
          </w:tcPr>
          <w:p>
            <w:pPr>
              <w:spacing w:after="0"/>
              <w:rPr>
                <w:sz w:val="21"/>
                <w:szCs w:val="21"/>
                <w:color w:val="auto"/>
              </w:rPr>
            </w:pPr>
          </w:p>
        </w:tc>
        <w:tc>
          <w:tcPr>
            <w:tcW w:w="600" w:type="dxa"/>
            <w:vAlign w:val="bottom"/>
            <w:shd w:val="clear" w:color="auto" w:fill="EEEEEE"/>
          </w:tcPr>
          <w:p>
            <w:pPr>
              <w:spacing w:after="0"/>
              <w:rPr>
                <w:sz w:val="21"/>
                <w:szCs w:val="21"/>
                <w:color w:val="auto"/>
              </w:rPr>
            </w:pPr>
          </w:p>
        </w:tc>
        <w:tc>
          <w:tcPr>
            <w:tcW w:w="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206,321</w:t>
            </w:r>
          </w:p>
        </w:tc>
        <w:tc>
          <w:tcPr>
            <w:tcW w:w="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301,813</w:t>
            </w:r>
          </w:p>
        </w:tc>
        <w:tc>
          <w:tcPr>
            <w:tcW w:w="0" w:type="dxa"/>
            <w:vAlign w:val="bottom"/>
          </w:tcPr>
          <w:p>
            <w:pPr>
              <w:spacing w:after="0"/>
              <w:rPr>
                <w:sz w:val="1"/>
                <w:szCs w:val="1"/>
                <w:color w:val="auto"/>
              </w:rPr>
            </w:pPr>
          </w:p>
        </w:tc>
      </w:tr>
      <w:tr>
        <w:trPr>
          <w:trHeight w:val="20"/>
        </w:trPr>
        <w:tc>
          <w:tcPr>
            <w:tcW w:w="9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$13.3 million outstanding under this facility at June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June 30, 2024 there was $50.0 million outstanding under this facility.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11, 2024, we renewed our two-year $200 million revolving credit agreement with Citibank, N.A. The revolving period for this facility was extended to July 2026 followed by an amortization period through July 2027 for any receivables pledged at the end of the revolving period. There was $70.7 million outstanding under this facility at June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$921,000 and $125,000 as of June 30, 2024 and December 31, 2023, respectively, have been excluded from the amount reported above for residual interest financing. Similarly, unamortized debt issuance costs of $1.8 million and $599,000 as of June 30, 2024 and December 31, 2023,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6"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1,782</w:t>
            </w:r>
          </w:p>
        </w:tc>
        <w:tc>
          <w:tcPr>
            <w:tcW w:w="58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4,378</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4,119</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9,040</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85,099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76,735</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165,604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150,793</w:t>
            </w:r>
          </w:p>
        </w:tc>
        <w:tc>
          <w:tcPr>
            <w:tcW w:w="80" w:type="dxa"/>
            <w:vAlign w:val="bottom"/>
          </w:tcPr>
          <w:p>
            <w:pPr>
              <w:spacing w:after="0"/>
              <w:rPr>
                <w:sz w:val="18"/>
                <w:szCs w:val="18"/>
                <w:color w:val="auto"/>
              </w:rPr>
            </w:pP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88,367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82,637</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6"/>
              </w:rPr>
              <w:t>37,928</w:t>
            </w:r>
          </w:p>
        </w:tc>
        <w:tc>
          <w:tcPr>
            <w:tcW w:w="58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29,171</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73,860</w:t>
            </w:r>
          </w:p>
        </w:tc>
        <w:tc>
          <w:tcPr>
            <w:tcW w:w="58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55,524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9,856</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46,710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six-month periods ended June 30, 2024 and 2023 were calculated using the weighted average number of shares outstanding for the related period. The following table reconciles the number of shares used in the computations of basic and diluted earnings per share for the three-month and six-month periods ended June 30, 2024 and 2023:</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9"/>
        <w:spacing w:after="0" w:line="261"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ind w:left="180" w:right="120" w:hanging="179"/>
        <w:spacing w:after="0" w:line="250" w:lineRule="auto"/>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p>
      <w:pPr>
        <w:spacing w:after="0" w:line="1" w:lineRule="exact"/>
        <w:rPr>
          <w:sz w:val="20"/>
          <w:szCs w:val="20"/>
          <w:color w:val="auto"/>
        </w:rPr>
      </w:pPr>
    </w:p>
    <w:p>
      <w:pPr>
        <w:ind w:left="180" w:right="440" w:hanging="179"/>
        <w:spacing w:after="0" w:line="276" w:lineRule="auto"/>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2"/>
        </w:trPr>
        <w:tc>
          <w:tcPr>
            <w:tcW w:w="20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0"/>
                <w:szCs w:val="20"/>
                <w:color w:val="auto"/>
              </w:rPr>
            </w:pPr>
          </w:p>
        </w:tc>
      </w:tr>
      <w:tr>
        <w:trPr>
          <w:trHeight w:val="410"/>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21,263</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20,866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21,203</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r>
      <w:tr>
        <w:trPr>
          <w:trHeight w:val="446"/>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0"/>
        </w:trPr>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9"/>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24,263</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24,433</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-873760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-316230</wp:posOffset>
            </wp:positionV>
            <wp:extent cx="71323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160"/>
            <w:col w:w="6160"/>
          </w:cols>
          <w:pgMar w:left="320" w:top="792"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six-month periods ended June 30, 2024 would have included an additional 1.7 million shares attributable to the exercise of outstanding options and warrants. For the three-month and six-month periods ended June 30, 2023 would have included an additional 1.5 million shares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$2.4 million as of June 30, 2024 is more likely than not based on forecasted future net earnings. Our net deferred tax asset of $2.4 million consists of approximately $1.3 million of net U.S. federal deferred tax assets and $1.1 million of net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was $2.0 million and $4.0 million for the three months and six months ended June 30, 2024, representing effective income tax rates of 30%, compared to income tax expense of $4.7 million and $9.3 million for the three months and six months ended June 30, 2023, and represents an effective income tax rates of 25%.</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Consumer Litigation.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but has not been ruled upon. It is reasonable to expect that resolution of these claims will be on a class basis.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Wage and Hour Claim. On September 24, 2018, a former employee filed a lawsuit against us in the Superior Court of Orange County, California, 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The settlement was preliminarily approved by the court on March 1, 2024 and remains subject to final court approval.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There can be no assurance as to the outcomes of the matters described or referenced above. We record at each measurement date, most recently as of June 30, 2024,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June 30, 2024 is $2.3 million, and that the range of reasonably possible losses for the legal proceedings and contingencies we face, including those described or identified above, as of June 30, 2024 does not exceed $4.3 million.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value measurement.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2024,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2,791,373</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2,575,117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2,722,662</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2,476,617</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424,867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305,450</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753,760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658,048</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(208,964)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(215,314)</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(419,899)</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(421,940)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(46,833)</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(106,648)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(94,305)</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2,618,420</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2,960,375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2,618,420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1"/>
        </w:trPr>
        <w:tc>
          <w:tcPr>
            <w:tcW w:w="5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33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60" w:type="dxa"/>
            <w:vAlign w:val="bottom"/>
          </w:tcPr>
          <w:p>
            <w:pPr>
              <w:spacing w:after="0"/>
              <w:rPr>
                <w:sz w:val="20"/>
                <w:szCs w:val="20"/>
                <w:color w:val="auto"/>
              </w:rPr>
            </w:pPr>
          </w:p>
        </w:tc>
        <w:tc>
          <w:tcPr>
            <w:tcW w:w="11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3,160,134</w:t>
            </w:r>
          </w:p>
        </w:tc>
        <w:tc>
          <w:tcPr>
            <w:tcW w:w="56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2,960,375</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2,941,915</w:t>
            </w:r>
          </w:p>
        </w:tc>
        <w:tc>
          <w:tcPr>
            <w:tcW w:w="3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Pr>
          <w:p>
            <w:pPr>
              <w:spacing w:after="0"/>
              <w:rPr>
                <w:sz w:val="19"/>
                <w:szCs w:val="19"/>
                <w:color w:val="auto"/>
              </w:rPr>
            </w:pPr>
          </w:p>
        </w:tc>
        <w:tc>
          <w:tcPr>
            <w:tcW w:w="27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Fair Values as of</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Weighted Avg. Inputs as of</w:t>
            </w:r>
          </w:p>
        </w:tc>
        <w:tc>
          <w:tcPr>
            <w:tcW w:w="0" w:type="dxa"/>
            <w:vAlign w:val="bottom"/>
          </w:tcPr>
          <w:p>
            <w:pPr>
              <w:spacing w:after="0"/>
              <w:rPr>
                <w:sz w:val="1"/>
                <w:szCs w:val="1"/>
                <w:color w:val="auto"/>
              </w:rPr>
            </w:pPr>
          </w:p>
        </w:tc>
      </w:tr>
      <w:tr>
        <w:trPr>
          <w:trHeight w:val="34"/>
        </w:trPr>
        <w:tc>
          <w:tcPr>
            <w:tcW w:w="12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7"/>
                <w:szCs w:val="17"/>
                <w:color w:val="auto"/>
              </w:rPr>
            </w:pPr>
          </w:p>
        </w:tc>
        <w:tc>
          <w:tcPr>
            <w:tcW w:w="114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080" w:type="dxa"/>
            <w:vAlign w:val="bottom"/>
            <w:tcBorders>
              <w:bottom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p>
        </w:tc>
        <w:tc>
          <w:tcPr>
            <w:tcW w:w="25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60" w:type="dxa"/>
            <w:vAlign w:val="bottom"/>
            <w:gridSpan w:val="3"/>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 fair</w:t>
            </w: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3"/>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2,960,375</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2,722,662</w:t>
            </w:r>
          </w:p>
        </w:tc>
        <w:tc>
          <w:tcPr>
            <w:tcW w:w="3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60" w:type="dxa"/>
            <w:vAlign w:val="bottom"/>
            <w:shd w:val="clear" w:color="auto" w:fill="EEEEEE"/>
          </w:tcPr>
          <w:p>
            <w:pPr>
              <w:spacing w:after="0"/>
              <w:rPr>
                <w:sz w:val="20"/>
                <w:szCs w:val="20"/>
                <w:color w:val="auto"/>
              </w:rPr>
            </w:pPr>
          </w:p>
        </w:tc>
        <w:tc>
          <w:tcPr>
            <w:tcW w:w="12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w:t>
            </w:r>
          </w:p>
        </w:tc>
        <w:tc>
          <w:tcPr>
            <w:tcW w:w="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395"/>
        </w:trPr>
        <w:tc>
          <w:tcPr>
            <w:tcW w:w="11240" w:type="dxa"/>
            <w:vAlign w:val="bottom"/>
            <w:gridSpan w:val="21"/>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June 30, 2024 and December 31,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8"/>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2,743,578</w:t>
            </w:r>
          </w:p>
        </w:tc>
        <w:tc>
          <w:tcPr>
            <w:tcW w:w="16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2,520,158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31 - 60 days</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201,748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204,574</w:t>
            </w:r>
          </w:p>
        </w:tc>
        <w:tc>
          <w:tcPr>
            <w:tcW w:w="100" w:type="dxa"/>
            <w:vAlign w:val="bottom"/>
            <w:shd w:val="clear" w:color="auto" w:fill="EEEEE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61 - 90 days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101,057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91 + days</w:t>
            </w: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47,122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100" w:type="dxa"/>
            <w:vAlign w:val="bottom"/>
            <w:shd w:val="clear" w:color="auto" w:fill="EEEEE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96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200" w:type="dxa"/>
            <w:vAlign w:val="bottom"/>
            <w:tcBorders>
              <w:bottom w:val="single" w:sz="8" w:color="EEEEEE"/>
            </w:tcBorders>
          </w:tcPr>
          <w:p>
            <w:pPr>
              <w:spacing w:after="0"/>
              <w:rPr>
                <w:sz w:val="19"/>
                <w:szCs w:val="19"/>
                <w:color w:val="auto"/>
              </w:rPr>
            </w:pPr>
          </w:p>
        </w:tc>
        <w:tc>
          <w:tcPr>
            <w:tcW w:w="11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76,333</w:t>
            </w: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100" w:type="dxa"/>
            <w:vAlign w:val="bottom"/>
            <w:tcBorders>
              <w:bottom w:val="single" w:sz="8" w:color="EEEEEE"/>
            </w:tcBorders>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0" w:type="dxa"/>
            <w:vAlign w:val="bottom"/>
            <w:tcBorders>
              <w:bottom w:val="single" w:sz="8" w:color="EEEEEE"/>
            </w:tcBorders>
            <w:shd w:val="clear" w:color="auto" w:fill="EEEEEE"/>
          </w:tcPr>
          <w:p>
            <w:pPr>
              <w:spacing w:after="0"/>
              <w:rPr>
                <w:sz w:val="19"/>
                <w:szCs w:val="19"/>
                <w:color w:val="auto"/>
              </w:rPr>
            </w:pPr>
          </w:p>
        </w:tc>
        <w:tc>
          <w:tcPr>
            <w:tcW w:w="15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3,160,134</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2,941,915</w:t>
            </w:r>
          </w:p>
        </w:tc>
        <w:tc>
          <w:tcPr>
            <w:tcW w:w="100" w:type="dxa"/>
            <w:vAlign w:val="bottom"/>
            <w:tcBorders>
              <w:bottom w:val="single" w:sz="8" w:color="EEEEEE"/>
            </w:tcBorders>
            <w:shd w:val="clear" w:color="auto" w:fill="EEEEE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June 30, 2024 and December 31,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40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1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256,859</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256,859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256,859</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12,030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82,175</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82,175</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82,175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99,079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8,473</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8,473</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2,736,225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2,711,060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2,711,060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22,356</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688"/>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40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6,174</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119,257</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119,257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24,684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234,025</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234,025</w:t>
            </w:r>
          </w:p>
        </w:tc>
        <w:tc>
          <w:tcPr>
            <w:tcW w:w="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2,265,446</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2,183,331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17,188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11, 2024, we renewed our two-year revolving credit agreement with Citibank, N.A. The revolving period for this facility was extended to July 2026 followed by an amortization period through July 2027 for any receivables pledged at the end of the revolving period. There was $70.7 million outstanding under this facility at June 30,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680" w:hanging="335"/>
        <w:spacing w:after="0" w:line="180" w:lineRule="auto"/>
        <w:tabs>
          <w:tab w:leader="none" w:pos="680" w:val="left"/>
        </w:tabs>
        <w:numPr>
          <w:ilvl w:val="0"/>
          <w:numId w:val="1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effect of the change in structure on our profitability and the duration of the period in which our profitability would be affected by the change in securitization structure.</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June 30, 2024, we have originated a total of approximately $22.1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88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4"/>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in Period</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09"/>
        </w:trPr>
        <w:tc>
          <w:tcPr>
            <w:tcW w:w="37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902,416</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2,380,847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20" w:type="dxa"/>
            <w:vAlign w:val="bottom"/>
          </w:tcPr>
          <w:p>
            <w:pPr>
              <w:spacing w:after="0"/>
              <w:rPr>
                <w:sz w:val="18"/>
                <w:szCs w:val="18"/>
                <w:color w:val="auto"/>
              </w:rPr>
            </w:pPr>
          </w:p>
        </w:tc>
      </w:tr>
      <w:tr>
        <w:trPr>
          <w:trHeight w:val="216"/>
        </w:trPr>
        <w:tc>
          <w:tcPr>
            <w:tcW w:w="3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20" w:type="dxa"/>
            <w:vAlign w:val="bottom"/>
            <w:shd w:val="clear" w:color="auto" w:fill="EEEEEE"/>
          </w:tcPr>
          <w:p>
            <w:pPr>
              <w:spacing w:after="0"/>
              <w:rPr>
                <w:sz w:val="18"/>
                <w:szCs w:val="18"/>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20" w:type="dxa"/>
            <w:vAlign w:val="bottom"/>
          </w:tcPr>
          <w:p>
            <w:pPr>
              <w:spacing w:after="0"/>
              <w:rPr>
                <w:sz w:val="18"/>
                <w:szCs w:val="18"/>
                <w:color w:val="auto"/>
              </w:rPr>
            </w:pPr>
          </w:p>
        </w:tc>
      </w:tr>
      <w:tr>
        <w:trPr>
          <w:trHeight w:val="216"/>
        </w:trPr>
        <w:tc>
          <w:tcPr>
            <w:tcW w:w="3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20" w:type="dxa"/>
            <w:vAlign w:val="bottom"/>
            <w:shd w:val="clear" w:color="auto" w:fill="EEEEEE"/>
          </w:tcPr>
          <w:p>
            <w:pPr>
              <w:spacing w:after="0"/>
              <w:rPr>
                <w:sz w:val="18"/>
                <w:szCs w:val="18"/>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20" w:type="dxa"/>
            <w:vAlign w:val="bottom"/>
          </w:tcPr>
          <w:p>
            <w:pPr>
              <w:spacing w:after="0"/>
              <w:rPr>
                <w:sz w:val="18"/>
                <w:szCs w:val="18"/>
                <w:color w:val="auto"/>
              </w:rPr>
            </w:pPr>
          </w:p>
        </w:tc>
      </w:tr>
      <w:tr>
        <w:trPr>
          <w:trHeight w:val="216"/>
        </w:trPr>
        <w:tc>
          <w:tcPr>
            <w:tcW w:w="3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 2024</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778,185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3,378,885</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six months ended June 30, 2024, we originated $23.4 million under this third-party program. As of June 30, 2024, our managed portfolio includes $205.6 million of such third-party receivables.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1994 we have conducted 102 term securitizations of automobile contracts that we originated. As of June 30, 2024, 18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June 2024.</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576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1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4"/>
          </w:tcPr>
          <w:p>
            <w:pPr>
              <w:ind w:left="12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c>
          <w:tcPr>
            <w:tcW w:w="120" w:type="dxa"/>
            <w:vAlign w:val="bottom"/>
          </w:tcPr>
          <w:p>
            <w:pPr>
              <w:spacing w:after="0"/>
              <w:rPr>
                <w:sz w:val="16"/>
                <w:szCs w:val="16"/>
                <w:color w:val="auto"/>
              </w:rPr>
            </w:pPr>
          </w:p>
        </w:tc>
      </w:tr>
      <w:tr>
        <w:trPr>
          <w:trHeight w:val="216"/>
        </w:trPr>
        <w:tc>
          <w:tcPr>
            <w:tcW w:w="1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220" w:type="dxa"/>
            <w:vAlign w:val="bottom"/>
          </w:tcPr>
          <w:p>
            <w:pPr>
              <w:spacing w:after="0"/>
              <w:rPr>
                <w:sz w:val="20"/>
                <w:szCs w:val="20"/>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1220" w:type="dxa"/>
            <w:vAlign w:val="bottom"/>
          </w:tcPr>
          <w:p>
            <w:pPr>
              <w:spacing w:after="0"/>
              <w:rPr>
                <w:sz w:val="18"/>
                <w:szCs w:val="18"/>
                <w:color w:val="auto"/>
              </w:rPr>
            </w:pPr>
          </w:p>
        </w:tc>
        <w:tc>
          <w:tcPr>
            <w:tcW w:w="36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22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6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3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20" w:type="dxa"/>
            <w:vAlign w:val="bottom"/>
            <w:shd w:val="clear" w:color="auto" w:fill="EEEEEE"/>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22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6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20" w:type="dxa"/>
            <w:vAlign w:val="bottom"/>
            <w:shd w:val="clear" w:color="auto" w:fill="EEEEEE"/>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22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8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333333"/>
                <w:w w:val="99"/>
              </w:rPr>
              <w:t>Six months ended June 30, 2024</w:t>
            </w:r>
          </w:p>
        </w:tc>
        <w:tc>
          <w:tcPr>
            <w:tcW w:w="1620" w:type="dxa"/>
            <w:vAlign w:val="bottom"/>
            <w:shd w:val="clear" w:color="auto" w:fill="EEEEEE"/>
          </w:tcPr>
          <w:p>
            <w:pPr>
              <w:jc w:val="right"/>
              <w:ind w:right="63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957,707</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2024, extending the revolving period to July 2026, with an optional amortization period through July 2027. In addition, the capacity was doubled from $100 million to $200 million in July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March 2024, extending the revolving period to March 2026, followed by an amortization period to March 2028. In June 2022, we doubled the capacity for this facility from $100 million to $200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2024,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June 30, 2024 with the three months ended June 30, 2023</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June 30, 2024, our revenues were $95.9 million, an increase of $11.0 million, or 13.0%,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$84.9 million. The primary reason for the increase in revenues is the increase in interest income resulting from the increase in the average outstanding balance of finance receivables measured at fair value. Revenues for the three months ended June 30, 2024 include a $5.5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$5.5 million. There was no mark up or mark down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June 30, 2024 increased $5.7 million, or 6.9%, to $88.4 million from $82.6 million in the prior year. The primary reason for the increase in interest income is the 7.5% increase in the average balance of our loan portfolio over the prior year period. The interest yield on our total loan portfolio decreased from 11.4% in the prior year period to 11.3%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June 30,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3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3,122,278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88,367</w:t>
            </w:r>
          </w:p>
        </w:tc>
        <w:tc>
          <w:tcPr>
            <w:tcW w:w="16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2,903,988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82,637</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was $2.0 million for the three months ended June 30, 2024 compared to $2.2 million for the comparable period in 2023. This 9.4% decrease was primarily driven by the decrease in origination and servicing fees we earned from third party receivables. These fees were $1.7 million for the quarter ended June 30, 2024 compared to $1.9 million in the prior year period.</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were $89.2 million for the three months ended June 30, 2024, compared to $66.3 million for the prior period, an increase of $22.9 million, or 34.6%. The increase is primarily due to increases in interest expense and a decrease in the reduction to provision for credit losses. To a lesser extent, increases to employee costs and general and administrative expenses also contributed to the increase in operating expenses during the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 costs were $23.7 million during the three months ended June 30, 2024 compared to $21.1 million for the same quarter in the prior year, an increase of $2.6 million, or 12.2%. The table below summarizes our employees by category as well as contract purchases and units in our managed portfolio as of, and for the three-month periods ended, June 30, 2024 and 2023:</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340" w:type="dxa"/>
            <w:vAlign w:val="bottom"/>
            <w:gridSpan w:val="2"/>
            <w:shd w:val="clear" w:color="auto" w:fill="EEEEEE"/>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340" w:type="dxa"/>
            <w:vAlign w:val="bottom"/>
            <w:gridSpan w:val="2"/>
            <w:shd w:val="clear" w:color="auto" w:fill="EEEEEE"/>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187,968</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$13.3 million, an increase of $1.5 million from $11.8 million in the prior year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June 30, 2024 was $46.7 million and represented 52.4% of total operating expenses, compared to $35.7 million in the previous year, when it was 53.9% of total operating expenses.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$8.8 million for the three months ended June 30, 2024 compared to the prior period. The average balance of securitization trust debt increased to $2,555.2 million for the three months ended June 30, 2024 compared to $2,333.0 million for the three months ended June 30, 2023. The annualized average rate on our securitization trust debt was 5.9% for the three months ended June 30, 2024 compared to 5.0%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39" w:lineRule="exact"/>
        <w:rPr>
          <w:sz w:val="20"/>
          <w:szCs w:val="20"/>
          <w:color w:val="auto"/>
        </w:rPr>
      </w:pPr>
    </w:p>
    <w:tbl>
      <w:tblPr>
        <w:tblLayout w:type="fixed"/>
        <w:tblInd w:w="3040" w:type="dxa"/>
        <w:tblCellMar>
          <w:top w:w="0" w:type="dxa"/>
          <w:left w:w="0" w:type="dxa"/>
          <w:bottom w:w="0" w:type="dxa"/>
          <w:right w:w="0" w:type="dxa"/>
        </w:tblCellMar>
      </w:tblPr>
      <w:tr>
        <w:trPr>
          <w:trHeight w:val="238"/>
        </w:trPr>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Blended Cost of Funds</w:t>
            </w:r>
          </w:p>
        </w:tc>
      </w:tr>
      <w:tr>
        <w:trPr>
          <w:trHeight w:val="210"/>
        </w:trPr>
        <w:tc>
          <w:tcPr>
            <w:tcW w:w="2360" w:type="dxa"/>
            <w:vAlign w:val="bottom"/>
            <w:tcBorders>
              <w:top w:val="single" w:sz="8" w:color="auto"/>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January 2021</w:t>
            </w:r>
          </w:p>
        </w:tc>
        <w:tc>
          <w:tcPr>
            <w:tcW w:w="320" w:type="dxa"/>
            <w:vAlign w:val="bottom"/>
            <w:tcBorders>
              <w:top w:val="single" w:sz="8" w:color="EEEEEE"/>
            </w:tcBorders>
            <w:shd w:val="clear" w:color="auto" w:fill="EEEEEE"/>
          </w:tcPr>
          <w:p>
            <w:pPr>
              <w:spacing w:after="0"/>
              <w:rPr>
                <w:sz w:val="18"/>
                <w:szCs w:val="18"/>
                <w:color w:val="auto"/>
              </w:rPr>
            </w:pPr>
          </w:p>
        </w:tc>
        <w:tc>
          <w:tcPr>
            <w:tcW w:w="2360" w:type="dxa"/>
            <w:vAlign w:val="bottom"/>
            <w:tcBorders>
              <w:top w:val="single" w:sz="8" w:color="auto"/>
            </w:tcBorders>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2022</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2023</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2024</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2024</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June 2024</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$694,000 to $5.7 million for the three months ended June 30, 2024 compared to $5.0 million in the prior year period. The increase was primarily due to the higher utilization of our credit lines during the quarter compared to last year. The average balance of our warehouse debt was $215.4 million during the three months ended June 30, 2024 compared to $193.4 million for the same period in 2023. The annualized average rate on our credit line debt was 10.6% for the three months ended June 30, 2024 compared to 10.4% in the prior year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$542,000 for the three months ended June 30, 2024. The average balance of the outstanding subordinated debt was $22.3 million for the three months ended June 30, 2024 compared to $22.2 million for the prior year period. The average yield of subordinated notes increased to 9.7% compared to 8.6% in the prior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for these residual interest financings was $2.5 million for the three months ended June 30, 2024 compared to $1.1 for the same period in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2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3,122,278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88,367</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2,903,988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82,637</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gridSpan w:val="5"/>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215,403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193,408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2,538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2,555,220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2,332,997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22,259</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22,208</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line="20" w:lineRule="exact"/>
              <w:rPr>
                <w:sz w:val="1"/>
                <w:szCs w:val="1"/>
                <w:color w:val="auto"/>
              </w:rPr>
            </w:pPr>
          </w:p>
        </w:tc>
      </w:tr>
      <w:tr>
        <w:trPr>
          <w:trHeight w:val="276"/>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2,892,882</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46,710</w:t>
            </w:r>
          </w:p>
        </w:tc>
        <w:tc>
          <w:tcPr>
            <w:tcW w:w="20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2,598,613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22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40" w:type="dxa"/>
            <w:vAlign w:val="bottom"/>
            <w:tcBorders>
              <w:top w:val="single" w:sz="8" w:color="EEEEEE"/>
              <w:bottom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2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20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22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48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(2)</w:t>
            </w: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24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Compared to June 30, 2023</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right"/>
              <w:ind w:right="85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7"/>
                <w:szCs w:val="17"/>
                <w:color w:val="auto"/>
              </w:rPr>
            </w:pPr>
          </w:p>
        </w:tc>
        <w:tc>
          <w:tcPr>
            <w:tcW w:w="1800" w:type="dxa"/>
            <w:vAlign w:val="bottom"/>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 to</w:t>
            </w:r>
          </w:p>
        </w:tc>
        <w:tc>
          <w:tcPr>
            <w:tcW w:w="280" w:type="dxa"/>
            <w:vAlign w:val="bottom"/>
          </w:tcPr>
          <w:p>
            <w:pPr>
              <w:spacing w:after="0"/>
              <w:rPr>
                <w:sz w:val="17"/>
                <w:szCs w:val="17"/>
                <w:color w:val="auto"/>
              </w:rPr>
            </w:pPr>
          </w:p>
        </w:tc>
        <w:tc>
          <w:tcPr>
            <w:tcW w:w="1300" w:type="dxa"/>
            <w:vAlign w:val="bottom"/>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0"/>
                <w:szCs w:val="20"/>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280" w:type="dxa"/>
            <w:vAlign w:val="bottom"/>
          </w:tcPr>
          <w:p>
            <w:pPr>
              <w:spacing w:after="0"/>
              <w:rPr>
                <w:sz w:val="20"/>
                <w:szCs w:val="20"/>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 Rate</w:t>
            </w: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3060" w:type="dxa"/>
            <w:vAlign w:val="bottom"/>
            <w:gridSpan w:val="4"/>
            <w:vMerge w:val="restart"/>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5,730</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6,511</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48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8,757</w:t>
            </w:r>
          </w:p>
        </w:tc>
        <w:tc>
          <w:tcPr>
            <w:tcW w:w="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340" w:type="dxa"/>
            <w:vAlign w:val="bottom"/>
            <w:tcBorders>
              <w:bottom w:val="single" w:sz="8" w:color="EEEEEE"/>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June 30, 2024.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we recorded a reduction to provision for credit losses on finance receivables in the amount of $2.0 million. The reserve decrease was primarily due to better than expected recovery rates and a decrease in lifetime expected credit losses resulting from improved credit performance as our previous estimates for future losses exceeded actual incurred losses. This compares to $9.7 million in reductions to provision for credit losses for the three months ended June 30,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 increased to $5.9 million during the three months ended June 30, 2024 from $5.5 million for the same quarter in 2023. We purchased $431.9 million of new contracts during the three months ended June 30, 2024 compared to $318.4 million in the prior year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Occupancy expenses was $1.4 million for the three months ending June 30, 2024, which is down from the $1.6 million in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expenses increased to $221,000 compared to $211,000 in the previous year.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we recorded income tax expense of $2.0 million, representing a 30% effective tax rate. In the prior period, our income tax expense was $4.6 million, representing a 25%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six months ended June 30, 2024 with the six months ended June 30, 2023</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six months ended June 30, 2024, our revenues were $187.6 million, an increase of $19.7 million, or 11.7%,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$168.0 million. The primary reason for the increase in revenues is the increase in interest income resulting from the increase in the average outstanding balance of finance receivables measured at fair value. Revenues for the three months ended June 30, 2024 include a $10.5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$10.5 million. There was no mark up or mark down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for the six months ended June 30, 2024 increased $10.0 million, or 6.1%, to $172.7 million from $162.7 million in the prior year. The primary reason for the increase in interest income is the 6.2% increase in the average balance of our loan portfolio over the prior year period. The interest yield on our total loan portfolio is 11.3% in the current year period and prior year period. The interest yield on receivables measured at fair value is reduced to take account of expected losses and is therefore less than the yield on other finance receivables. The table below shows the average balance and interest yield of our loan portfolio for the six months ended June 30,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3,058,047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172,655</w:t>
            </w:r>
          </w:p>
        </w:tc>
        <w:tc>
          <w:tcPr>
            <w:tcW w:w="16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2,880,293</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162,699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was $4.5 million for the six months ended June 30, 2024 compared to $5.3 million for the comparable period in 2023. This 15.0% decrease was primarily driven by the decrease in origination and servicing fees we earned from third party receivables. These fees were $3.8 million for the six months ended June 30, 2024 compared to $4.6 million in the prior year period.</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were $174.4 million for the six months ended June 30, 2024, compared to $130.9 million for the prior period, an increase of $43.5 million, or 33.2%. The increase is primarily due to increases in interest expense and a decrease in the reduction to provision for credit losses. To a lesser extent, increases to employee costs and general and administrative expenses also contributed to the increase in operating expenses during the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costs were $48.1 million during the six months ended June 30, 2024 compared to $43.2 million for the same period in the prior year. The table below summarizes our employees by category as well as contract purchases and units in our managed portfolio as of, and for the six-month periods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187,968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$27.0 million for the six months ended June 30, 2024, an increase of $3.8 million from $23.2 million in the prior year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for the six months ended June 30, 2024 was $88.7 million, compared to $68.5 million in the previous year, an increase of $20.2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$18.3 million for the six months ended June 30, 2024 compared to the prior period. The average balance of securitization trust debt increased to $2,471.7 million for the six months ended June 30, 2024 compared to $2,308.1 million for the six months ended June 30, 2023. The annualized average rate on our securitization trust debt was 6.0% for the six months ended June 30, 2024 compared to 4.8%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39" w:lineRule="exact"/>
        <w:rPr>
          <w:sz w:val="20"/>
          <w:szCs w:val="20"/>
          <w:color w:val="auto"/>
        </w:rPr>
      </w:pPr>
    </w:p>
    <w:tbl>
      <w:tblPr>
        <w:tblLayout w:type="fixed"/>
        <w:tblInd w:w="3040" w:type="dxa"/>
        <w:tblCellMar>
          <w:top w:w="0" w:type="dxa"/>
          <w:left w:w="0" w:type="dxa"/>
          <w:bottom w:w="0" w:type="dxa"/>
          <w:right w:w="0" w:type="dxa"/>
        </w:tblCellMar>
      </w:tblPr>
      <w:tr>
        <w:trPr>
          <w:trHeight w:val="238"/>
        </w:trPr>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Blended Cost of Funds</w:t>
            </w:r>
          </w:p>
        </w:tc>
      </w:tr>
      <w:tr>
        <w:trPr>
          <w:trHeight w:val="210"/>
        </w:trPr>
        <w:tc>
          <w:tcPr>
            <w:tcW w:w="2360" w:type="dxa"/>
            <w:vAlign w:val="bottom"/>
            <w:tcBorders>
              <w:top w:val="single" w:sz="8" w:color="auto"/>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January 2021</w:t>
            </w:r>
          </w:p>
        </w:tc>
        <w:tc>
          <w:tcPr>
            <w:tcW w:w="320" w:type="dxa"/>
            <w:vAlign w:val="bottom"/>
            <w:tcBorders>
              <w:top w:val="single" w:sz="8" w:color="EEEEEE"/>
            </w:tcBorders>
            <w:shd w:val="clear" w:color="auto" w:fill="EEEEEE"/>
          </w:tcPr>
          <w:p>
            <w:pPr>
              <w:spacing w:after="0"/>
              <w:rPr>
                <w:sz w:val="18"/>
                <w:szCs w:val="18"/>
                <w:color w:val="auto"/>
              </w:rPr>
            </w:pPr>
          </w:p>
        </w:tc>
        <w:tc>
          <w:tcPr>
            <w:tcW w:w="2360" w:type="dxa"/>
            <w:vAlign w:val="bottom"/>
            <w:tcBorders>
              <w:top w:val="single" w:sz="8" w:color="auto"/>
            </w:tcBorders>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2022</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2023</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2024</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EEEEEE"/>
          </w:tcPr>
          <w:p>
            <w:pPr>
              <w:spacing w:after="0"/>
              <w:rPr>
                <w:sz w:val="18"/>
                <w:szCs w:val="18"/>
                <w:color w:val="auto"/>
              </w:rPr>
            </w:pPr>
          </w:p>
        </w:tc>
      </w:tr>
      <w:tr>
        <w:trPr>
          <w:trHeight w:val="216"/>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2024</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r>
      <w:tr>
        <w:trPr>
          <w:trHeight w:val="216"/>
        </w:trPr>
        <w:tc>
          <w:tcPr>
            <w:tcW w:w="26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June 2024</w:t>
            </w:r>
          </w:p>
        </w:tc>
        <w:tc>
          <w:tcPr>
            <w:tcW w:w="236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$166,000 to $10.0 million for the six months ended June 30, 2024 compared to $9.9 million in the prior year period. The increase was due to higher rates on the debt during the six month period compared to last year. The average balance of our warehouse debt was $190.1 million during the six months ended June 30, 2024 compared to $194.2 million for the same period in 2023. The annualized average rate on our credit line debt was 10.5% for the six months ended June 30, 2024 compared to 10.2% in the prior year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$1.0 million for the six months ended June 30, 2024. The average balance of the outstanding subordinated debt decreased by $1.6 million to $21.6 million for the six months ended June 30, 2024 compared to $23.2 million for the prior year. The average yield of subordinated notes increased to 9.7% compared to 8.5% in the prior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on the residual interest financing was $3.7 million for the six months ended June 30, 2024 compared to $2.1 million for the same period in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six-month periods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6"/>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2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3,058,047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172,655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2,880,293</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162,699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gridSpan w:val="5"/>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190,143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194,159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83,516</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3,748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2,471,683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2,308,128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21,551</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23,158</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2,766,893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20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2,575,445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68,465</w:t>
            </w:r>
          </w:p>
        </w:tc>
        <w:tc>
          <w:tcPr>
            <w:tcW w:w="220" w:type="dxa"/>
            <w:vAlign w:val="bottom"/>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40" w:type="dxa"/>
            <w:vAlign w:val="bottom"/>
            <w:tcBorders>
              <w:top w:val="single" w:sz="8" w:color="EEEEEE"/>
              <w:bottom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2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83,977</w:t>
            </w:r>
          </w:p>
        </w:tc>
        <w:tc>
          <w:tcPr>
            <w:tcW w:w="20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94,234</w:t>
            </w:r>
          </w:p>
        </w:tc>
        <w:tc>
          <w:tcPr>
            <w:tcW w:w="220" w:type="dxa"/>
            <w:vAlign w:val="bottom"/>
            <w:tcBorders>
              <w:bottom w:val="single" w:sz="8" w:color="EEEEEE"/>
            </w:tcBorders>
          </w:tcPr>
          <w:p>
            <w:pPr>
              <w:spacing w:after="0"/>
              <w:rPr>
                <w:sz w:val="22"/>
                <w:szCs w:val="22"/>
                <w:color w:val="auto"/>
              </w:rPr>
            </w:pPr>
          </w:p>
        </w:tc>
        <w:tc>
          <w:tcPr>
            <w:tcW w:w="12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48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(2)</w:t>
            </w: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24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 Compared to June 30, 2023</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ind w:right="9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381"/>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5"/>
              </w:rPr>
              <w:t>to Volume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3060" w:type="dxa"/>
            <w:vAlign w:val="bottom"/>
            <w:gridSpan w:val="4"/>
            <w:vMerge w:val="restart"/>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9,956</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10,126</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76"/>
        </w:trPr>
        <w:tc>
          <w:tcPr>
            <w:tcW w:w="4780" w:type="dxa"/>
            <w:vAlign w:val="bottom"/>
            <w:gridSpan w:val="5"/>
          </w:tcPr>
          <w:p>
            <w:pPr>
              <w:jc w:val="center"/>
              <w:ind w:left="65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18,336</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(10,467)</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28,803</w:t>
            </w:r>
          </w:p>
        </w:tc>
        <w:tc>
          <w:tcPr>
            <w:tcW w:w="0" w:type="dxa"/>
            <w:vAlign w:val="bottom"/>
          </w:tcPr>
          <w:p>
            <w:pPr>
              <w:spacing w:after="0"/>
              <w:rPr>
                <w:sz w:val="1"/>
                <w:szCs w:val="1"/>
                <w:color w:val="auto"/>
              </w:rPr>
            </w:pP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17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9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(10,257)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20,199</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(30,456)</w:t>
            </w:r>
          </w:p>
        </w:tc>
        <w:tc>
          <w:tcPr>
            <w:tcW w:w="0" w:type="dxa"/>
            <w:vAlign w:val="bottom"/>
          </w:tcPr>
          <w:p>
            <w:pPr>
              <w:spacing w:after="0"/>
              <w:rPr>
                <w:sz w:val="1"/>
                <w:szCs w:val="1"/>
                <w:color w:val="auto"/>
              </w:rPr>
            </w:pPr>
          </w:p>
        </w:tc>
      </w:tr>
      <w:tr>
        <w:trPr>
          <w:trHeight w:val="20"/>
        </w:trPr>
        <w:tc>
          <w:tcPr>
            <w:tcW w:w="17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June 30, 2024.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recorded a reduction to provision for credit losses on finance receivables in the amount of $3.6 million. The reserve decrease was primarily due to better than expected recovery rates and a decrease in lifetime expected credit losses resulting from improved credit performance as our previous estimates for future losses exceeded actual incurred losses. This compares to $18.7 million in reductions to provision for credit losses for the six months ended June 30,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Sales expense decreased to $10.8 million during the six months ended June 30, 2024 from $11.2 million in the same period in 2023. We purchased $778.2 million of new contracts during the six months ended June 30, 2024 compared to $733.5 million in the prior year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Occupancy expenses was $3.0 million for the six months ending June 30, 2024, which is down from $3.2 million for the same period in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expenses decreased to $436,000 compared to $442,000 in the previous year.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recorded income tax expense of $4.0 million, representing a 30% effective tax rate. In the prior period, our income tax expense was $9.3 million, representing a 25%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36" w:name="page37"/>
    <w:bookmarkEnd w:id="36"/>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9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9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7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2"/>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187,968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3,173,282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176,458</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2,910,288</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179,198</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2,970,066</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12,745</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204,373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12,273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189,384</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210,200</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5,961</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92,970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79,302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104,144</w:t>
            </w: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3,019</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47,565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29,707</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344,908</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298,393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5,251</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76,767</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42,897</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67,182</w:t>
            </w:r>
          </w:p>
        </w:tc>
        <w:tc>
          <w:tcPr>
            <w:tcW w:w="0" w:type="dxa"/>
            <w:vAlign w:val="bottom"/>
          </w:tcPr>
          <w:p>
            <w:pPr>
              <w:spacing w:after="0"/>
              <w:rPr>
                <w:sz w:val="1"/>
                <w:szCs w:val="1"/>
                <w:color w:val="auto"/>
              </w:rPr>
            </w:pPr>
          </w:p>
        </w:tc>
      </w:tr>
      <w:tr>
        <w:trPr>
          <w:trHeight w:val="178"/>
        </w:trPr>
        <w:tc>
          <w:tcPr>
            <w:tcW w:w="2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repossession (2)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26,976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421,675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341,290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432,136</w:t>
            </w:r>
          </w:p>
        </w:tc>
        <w:tc>
          <w:tcPr>
            <w:tcW w:w="0" w:type="dxa"/>
            <w:vAlign w:val="bottom"/>
          </w:tcPr>
          <w:p>
            <w:pPr>
              <w:spacing w:after="0"/>
              <w:rPr>
                <w:sz w:val="1"/>
                <w:szCs w:val="1"/>
                <w:color w:val="auto"/>
              </w:rPr>
            </w:pPr>
          </w:p>
        </w:tc>
      </w:tr>
      <w:tr>
        <w:trPr>
          <w:trHeight w:val="197"/>
        </w:trPr>
        <w:tc>
          <w:tcPr>
            <w:tcW w:w="26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repossession as a percentage of</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accruing</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32,504</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572,142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31,878</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575,139</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33,920</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610,617</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extensions, accruing</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45,600</w:t>
            </w: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649,610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464,605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563,308</w:t>
            </w:r>
          </w:p>
        </w:tc>
        <w:tc>
          <w:tcPr>
            <w:tcW w:w="0" w:type="dxa"/>
            <w:vAlign w:val="bottom"/>
          </w:tcPr>
          <w:p>
            <w:pPr>
              <w:spacing w:after="0"/>
              <w:rPr>
                <w:sz w:val="1"/>
                <w:szCs w:val="1"/>
                <w:color w:val="auto"/>
              </w:rPr>
            </w:pPr>
          </w:p>
        </w:tc>
      </w:tr>
      <w:tr>
        <w:trPr>
          <w:trHeight w:val="210"/>
        </w:trPr>
        <w:tc>
          <w:tcPr>
            <w:tcW w:w="26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78,104</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1,221,752</w:t>
            </w: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1,039,744</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1,173,925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non-accrual (4)</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2,956</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46,720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22,497</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38,933</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extensions, non-accrual (4)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27,497</w:t>
            </w:r>
          </w:p>
        </w:tc>
        <w:tc>
          <w:tcPr>
            <w:tcW w:w="0" w:type="dxa"/>
            <w:vAlign w:val="bottom"/>
          </w:tcPr>
          <w:p>
            <w:pPr>
              <w:spacing w:after="0"/>
              <w:rPr>
                <w:sz w:val="1"/>
                <w:szCs w:val="1"/>
                <w:color w:val="auto"/>
              </w:rPr>
            </w:pPr>
          </w:p>
        </w:tc>
      </w:tr>
      <w:tr>
        <w:trPr>
          <w:trHeight w:val="210"/>
        </w:trPr>
        <w:tc>
          <w:tcPr>
            <w:tcW w:w="26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83,132</w:t>
            </w: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36,318</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83,576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1,304,885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74,021</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1,076,062</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80,830</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1,240,355</w:t>
            </w:r>
          </w:p>
        </w:tc>
        <w:tc>
          <w:tcPr>
            <w:tcW w:w="0" w:type="dxa"/>
            <w:vAlign w:val="bottom"/>
          </w:tcPr>
          <w:p>
            <w:pPr>
              <w:spacing w:after="0"/>
              <w:rPr>
                <w:sz w:val="1"/>
                <w:szCs w:val="1"/>
                <w:color w:val="auto"/>
              </w:rPr>
            </w:pPr>
          </w:p>
        </w:tc>
      </w:tr>
      <w:tr>
        <w:trPr>
          <w:trHeight w:val="20"/>
        </w:trPr>
        <w:tc>
          <w:tcPr>
            <w:tcW w:w="2620" w:type="dxa"/>
            <w:vAlign w:val="bottom"/>
            <w:shd w:val="clear" w:color="auto" w:fill="EEEEE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-151130</wp:posOffset>
            </wp:positionV>
            <wp:extent cx="5408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jc w:val="both"/>
        <w:ind w:firstLine="8"/>
        <w:spacing w:after="0" w:line="253" w:lineRule="auto"/>
        <w:tabs>
          <w:tab w:leader="none" w:pos="2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8"/>
        <w:spacing w:after="0" w:line="256" w:lineRule="auto"/>
        <w:tabs>
          <w:tab w:leader="none" w:pos="26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19"/>
                <w:szCs w:val="19"/>
                <w:color w:val="auto"/>
              </w:rPr>
            </w:pPr>
          </w:p>
        </w:tc>
        <w:tc>
          <w:tcPr>
            <w:tcW w:w="14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5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3,122,278</w:t>
            </w:r>
          </w:p>
        </w:tc>
        <w:tc>
          <w:tcPr>
            <w:tcW w:w="5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2,903,988</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2,913,571</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p>
      <w:pPr>
        <w:spacing w:after="0" w:line="29"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2024 and June 30, 2023 percentages represent three months ended June 30, 2024 and June 30, 2023 annualized. December 31, 2023 represents 12 months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status, as of June 30, 2024, for accounts that received extensions from 2010 through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Active or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Active or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 &gt; 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 Charge Off</w:t>
            </w:r>
          </w:p>
        </w:tc>
      </w:tr>
      <w:tr>
        <w:trPr>
          <w:trHeight w:val="216"/>
        </w:trPr>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Period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Extensions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 Off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Off at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Months 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Extension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Granted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2024</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10"/>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26,167</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12,159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12,009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18,786</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10,972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11,320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23,398</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11,138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11,281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25,773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10,460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14,480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53,319</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22,153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30,027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80,897</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35,856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42,810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2,231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133,847</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58,289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67,566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7,992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121,531</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61,646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52,364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7,521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71,548</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46,719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21,554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3,275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83,170</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58,715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21,906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2,549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47,010</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34,750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11,024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56,142</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42,449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11,739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83,113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72,844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7,010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65.3% were either paid in full or active and performing as of June 30, 2024.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8"/>
                <w:szCs w:val="18"/>
                <w:color w:val="auto"/>
              </w:rPr>
            </w:pPr>
          </w:p>
        </w:tc>
        <w:tc>
          <w:tcPr>
            <w:tcW w:w="15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Year Ended December</w:t>
            </w:r>
          </w:p>
        </w:tc>
      </w:tr>
      <w:tr>
        <w:trPr>
          <w:trHeight w:val="229"/>
        </w:trPr>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June 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June 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34"/>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6,342</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6,926</w:t>
            </w:r>
          </w:p>
        </w:tc>
      </w:tr>
      <w:tr>
        <w:trPr>
          <w:trHeight w:val="216"/>
        </w:trPr>
        <w:tc>
          <w:tcPr>
            <w:tcW w:w="38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183,077</w:t>
            </w: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174,937</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176,438</w:t>
            </w:r>
          </w:p>
        </w:tc>
      </w:tr>
      <w:tr>
        <w:trPr>
          <w:trHeight w:val="216"/>
        </w:trPr>
        <w:tc>
          <w:tcPr>
            <w:tcW w:w="3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2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64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620" w:type="dxa"/>
            <w:vAlign w:val="bottom"/>
          </w:tcPr>
          <w:p>
            <w:pPr>
              <w:spacing w:after="0"/>
              <w:rPr>
                <w:sz w:val="24"/>
                <w:szCs w:val="24"/>
                <w:color w:val="auto"/>
              </w:rPr>
            </w:pPr>
          </w:p>
        </w:tc>
        <w:tc>
          <w:tcPr>
            <w:tcW w:w="3020" w:type="dxa"/>
            <w:vAlign w:val="bottom"/>
            <w:gridSpan w:val="6"/>
          </w:tcPr>
          <w:p>
            <w:pPr>
              <w:ind w:left="860"/>
              <w:spacing w:after="0"/>
              <w:rPr>
                <w:sz w:val="20"/>
                <w:szCs w:val="20"/>
                <w:color w:val="auto"/>
              </w:rPr>
            </w:pPr>
            <w:r>
              <w:rPr>
                <w:rFonts w:ascii="Times New Roman" w:cs="Times New Roman" w:eastAsia="Times New Roman" w:hAnsi="Times New Roman"/>
                <w:sz w:val="18"/>
                <w:szCs w:val="18"/>
                <w:color w:val="auto"/>
              </w:rPr>
              <w:t>June 30, 2024</w:t>
            </w:r>
          </w:p>
        </w:tc>
        <w:tc>
          <w:tcPr>
            <w:tcW w:w="182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91"/>
        </w:trPr>
        <w:tc>
          <w:tcPr>
            <w:tcW w:w="26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5"/>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Contracts</w:t>
            </w:r>
          </w:p>
        </w:tc>
        <w:tc>
          <w:tcPr>
            <w:tcW w:w="160" w:type="dxa"/>
            <w:vAlign w:val="bottom"/>
          </w:tcPr>
          <w:p>
            <w:pPr>
              <w:spacing w:after="0"/>
              <w:rPr>
                <w:sz w:val="20"/>
                <w:szCs w:val="20"/>
                <w:color w:val="auto"/>
              </w:rPr>
            </w:pPr>
          </w:p>
        </w:tc>
        <w:tc>
          <w:tcPr>
            <w:tcW w:w="16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Amount</w:t>
            </w:r>
          </w:p>
        </w:tc>
        <w:tc>
          <w:tcPr>
            <w:tcW w:w="11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Contracts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26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35,460</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618,862</w:t>
            </w:r>
          </w:p>
        </w:tc>
        <w:tc>
          <w:tcPr>
            <w:tcW w:w="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33,216</w:t>
            </w:r>
          </w:p>
        </w:tc>
        <w:tc>
          <w:tcPr>
            <w:tcW w:w="480" w:type="dxa"/>
            <w:vAlign w:val="bottom"/>
            <w:gridSpan w:val="2"/>
            <w:shd w:val="clear" w:color="auto" w:fill="EEEEEE"/>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597,635</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36,287</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649,551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21,486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369,387</w:t>
            </w:r>
          </w:p>
        </w:tc>
        <w:tc>
          <w:tcPr>
            <w:tcW w:w="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238,071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326,552</w:t>
            </w: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11,757</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178,488</w:t>
            </w:r>
          </w:p>
        </w:tc>
        <w:tc>
          <w:tcPr>
            <w:tcW w:w="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9,426</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108,609</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133,207</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75,866</w:t>
            </w:r>
          </w:p>
        </w:tc>
        <w:tc>
          <w:tcPr>
            <w:tcW w:w="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69,027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67,735</w:t>
            </w: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4,895</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40,991</w:t>
            </w:r>
          </w:p>
        </w:tc>
        <w:tc>
          <w:tcPr>
            <w:tcW w:w="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5,284</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43,004</w:t>
            </w: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42,734</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3,219</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21,291</w:t>
            </w:r>
          </w:p>
        </w:tc>
        <w:tc>
          <w:tcPr>
            <w:tcW w:w="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19,715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20,576</w:t>
            </w:r>
          </w:p>
        </w:tc>
      </w:tr>
      <w:tr>
        <w:trPr>
          <w:trHeight w:val="223"/>
        </w:trPr>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83,576</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1,304,885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74,021</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EEEEEE"/>
          </w:tcPr>
          <w:p>
            <w:pPr>
              <w:spacing w:after="0"/>
              <w:rPr>
                <w:sz w:val="19"/>
                <w:szCs w:val="19"/>
                <w:color w:val="auto"/>
              </w:rPr>
            </w:pPr>
          </w:p>
        </w:tc>
        <w:tc>
          <w:tcPr>
            <w:tcW w:w="78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1,076,061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1,240,355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originated and owned by 3rd</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2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parties)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187,968</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3,173,282</w:t>
            </w:r>
          </w:p>
        </w:tc>
        <w:tc>
          <w:tcPr>
            <w:tcW w:w="8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176,458</w:t>
            </w:r>
          </w:p>
        </w:tc>
        <w:tc>
          <w:tcPr>
            <w:tcW w:w="480" w:type="dxa"/>
            <w:vAlign w:val="bottom"/>
            <w:gridSpan w:val="2"/>
            <w:shd w:val="clear" w:color="auto" w:fill="EEEEEE"/>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20"/>
                <w:szCs w:val="20"/>
                <w:color w:val="auto"/>
              </w:rPr>
            </w:pPr>
          </w:p>
        </w:tc>
        <w:tc>
          <w:tcPr>
            <w:tcW w:w="10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2,910,288</w:t>
            </w:r>
          </w:p>
        </w:tc>
        <w:tc>
          <w:tcPr>
            <w:tcW w:w="1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72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9"/>
              </w:rPr>
              <w:t>179,198</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2,970,066</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six-month period ended June 30, 2024 was $96.0 million, a decrease of $24.7 million, compared to net cash provided by operating activities for the six-month period ended June 30, 2023 of $120.7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$317.8 million for the six months ended June 30, 2024 compared to $193.1 million in the prior year period. Net cash used in investing activities generally relates to new purchases of automobile contracts net of principal payments and other proceeds received during the period. Purchases of finance receivables excluding acquisition fees were $753.8 million and $658.0 million during the first six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$363.0 million compared to $64.8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2024, we issued $1,307.1 million in new securitization trust debt compared to $657.7 million for the same period in 2023. We repaid $564.0 million in securitization trust debt in the six months ended June 30, 2024 compared to repayments of securitization trust debt of $541.0 million in the prior year period. In the six months ended June 30, 2024, we had net repayments on warehouse lines of credit of $150.7 million, compared to net advances from warehouse lines of credit of $41.0 million in the prior year’s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June 30, 2024, we had unrestricted cash of $9.8 million and $7.1 million aggregate available borrowings under our two warehouse credit facilities (assuming the availability of sufficient eligible collateral). As of June 30, 2024, we had approximately $33.8 million of such eligible collateral. Our plans to manage our liquidity include maintaining our rate of automobile contract purchases at a level that matches our available capital, and, as appropriate, minimizing our operating costs. During the six-month period ended June 30, 2024, we completed three securitizations aggregating $1,307.1 million of notes sold.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2024,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June 30, 2024, we had approximately $2,939.8 million of debt outstanding. Such debt consisted primarily of $2,736.2 million of securitization trust debt and $82.2 million of debt from warehouse lines of credit. Our securitization trust debt has increased by $470.8 million while our warehouse lines of credit debt has decreased by $151.9 million since December 31, 2023 (each net of deferred financing costs). Since 2005, we have offered renewable subordinated notes to the public on a continuous basis, and such notes have maturities that range from six months to 10 years. We had $22.4 million and $17.2 million in subordinated renewable notes outstanding at June 30,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June 30, 2024, all $100.0 million of this debt remains outstanding.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2024.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June 30, 2024, we had approximately $2,939.8 million of debt outstanding. Such debt consisted primarily of $2,736.2 million of securitization trust debt and $82.2 million of debt from warehouse lines of credit. Our securitization trust debt has increased by $470.8 million while our warehouse lines of credit debt has decreased by $151.9 million since December 31, 2023 (each net of deferred financing costs). Since 2005, we have offered renewable subordinated notes to the public on a continuous basis, and such notes have maturities that range from six months to 10 years. We had $22.4 million and $17.2 million in subordinated renewable notes outstanding at June 30,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June 30, 2024, all $100.0 million of this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2024, we repurchased 371,847 shares from existing shareholders,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 Plans</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w:t>
            </w:r>
          </w:p>
        </w:tc>
        <w:tc>
          <w:tcPr>
            <w:tcW w:w="0" w:type="dxa"/>
            <w:vAlign w:val="bottom"/>
          </w:tcPr>
          <w:p>
            <w:pPr>
              <w:spacing w:after="0"/>
              <w:rPr>
                <w:sz w:val="1"/>
                <w:szCs w:val="1"/>
                <w:color w:val="auto"/>
              </w:rPr>
            </w:pPr>
          </w:p>
        </w:tc>
      </w:tr>
      <w:tr>
        <w:trPr>
          <w:trHeight w:val="238"/>
        </w:trPr>
        <w:tc>
          <w:tcPr>
            <w:tcW w:w="46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April 2024</w:t>
            </w:r>
          </w:p>
        </w:tc>
        <w:tc>
          <w:tcPr>
            <w:tcW w:w="16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133,160</w:t>
            </w:r>
          </w:p>
        </w:tc>
        <w:tc>
          <w:tcPr>
            <w:tcW w:w="3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8.57</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133,160</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9,496,129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111,032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8,545,525</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June 2024</w:t>
            </w:r>
          </w:p>
        </w:tc>
        <w:tc>
          <w:tcPr>
            <w:tcW w:w="16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127,655</w:t>
            </w:r>
          </w:p>
        </w:tc>
        <w:tc>
          <w:tcPr>
            <w:tcW w:w="3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8.99</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127,655</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7,398,160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April 2024, our board of directors authorized the purchase of an additional $10 million of our common stock. Through June 30, 2024, our board of directors had authorized the purchase of up to $113.2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xml:space="preserve">Item 5. </w:t>
      </w:r>
      <w:r>
        <w:rPr>
          <w:rFonts w:ascii="Times New Roman" w:cs="Times New Roman" w:eastAsia="Times New Roman" w:hAnsi="Times New Roman"/>
          <w:sz w:val="18"/>
          <w:szCs w:val="18"/>
          <w:b w:val="1"/>
          <w:bCs w:val="1"/>
          <w:i w:val="1"/>
          <w:iCs w:val="1"/>
          <w:color w:val="212529"/>
        </w:rPr>
        <w:t>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12529"/>
        </w:rPr>
        <w:t>During the quarter ended June 30, 2024,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left="260" w:firstLine="31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0" w:lineRule="exact"/>
        <w:rPr>
          <w:sz w:val="20"/>
          <w:szCs w:val="20"/>
          <w:color w:val="auto"/>
        </w:rPr>
      </w:pPr>
    </w:p>
    <w:p>
      <w:pPr>
        <w:spacing w:after="0" w:line="241" w:lineRule="exact"/>
        <w:rPr>
          <w:sz w:val="20"/>
          <w:szCs w:val="20"/>
          <w:color w:val="auto"/>
        </w:rPr>
      </w:pPr>
    </w:p>
    <w:p>
      <w:pPr>
        <w:ind w:left="1700"/>
        <w:spacing w:after="0"/>
        <w:tabs>
          <w:tab w:leader="none" w:pos="214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 w:lineRule="exact"/>
        <w:rPr>
          <w:sz w:val="20"/>
          <w:szCs w:val="20"/>
          <w:color w:val="auto"/>
        </w:rPr>
      </w:pPr>
    </w:p>
    <w:p>
      <w:pPr>
        <w:ind w:left="1700"/>
        <w:spacing w:after="0"/>
        <w:tabs>
          <w:tab w:leader="none" w:pos="214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5715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 Chief Financial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June 30, 2024,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00"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8,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lowerRoman"/>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1"/>
      <w:numFmt w:val="decimal"/>
      <w:start w:val="104"/>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2024-08-08T12:38:34Z</dcterms:created>
  <dcterms:modified xsi:type="dcterms:W3CDTF">2024-08-08T12:38:34Z</dcterms:modified>
</cp:coreProperties>
</file>