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ind w:left="3820" w:right="1520" w:hanging="3812"/>
        <w:spacing w:after="0" w:line="500" w:lineRule="auto"/>
        <w:tabs>
          <w:tab w:leader="none" w:pos="58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 w:lineRule="exact"/>
        <w:rPr>
          <w:rFonts w:ascii="Arial" w:cs="Arial" w:eastAsia="Arial" w:hAnsi="Arial"/>
          <w:sz w:val="18"/>
          <w:szCs w:val="18"/>
          <w:b w:val="1"/>
          <w:bCs w:val="1"/>
          <w:color w:val="auto"/>
        </w:rPr>
      </w:pPr>
    </w:p>
    <w:p>
      <w:pPr>
        <w:ind w:left="4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CONSUMER PORTFOLIO SERVICES,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7"/>
              </w:rPr>
              <w:t>California</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33-0459135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89"/>
              </w:rPr>
              <w:t>3800 Howard Hughes Parkway, Suite 1400,</w:t>
            </w:r>
          </w:p>
        </w:tc>
        <w:tc>
          <w:tcPr>
            <w:tcW w:w="358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87"/>
              </w:rPr>
              <w:t>Las Vegas, Nevada</w:t>
            </w:r>
          </w:p>
        </w:tc>
        <w:tc>
          <w:tcPr>
            <w:tcW w:w="3580" w:type="dxa"/>
            <w:vAlign w:val="bottom"/>
          </w:tcPr>
          <w:p>
            <w:pPr>
              <w:spacing w:after="0"/>
              <w:rPr>
                <w:sz w:val="18"/>
                <w:szCs w:val="18"/>
                <w:color w:val="auto"/>
              </w:rPr>
            </w:pP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4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56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color w:val="auto"/>
                <w:w w:val="90"/>
              </w:rPr>
              <w:t>Title of each class</w:t>
            </w:r>
          </w:p>
        </w:tc>
        <w:tc>
          <w:tcPr>
            <w:tcW w:w="24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Trading Symbol(s)</w:t>
            </w:r>
          </w:p>
        </w:tc>
        <w:tc>
          <w:tcPr>
            <w:tcW w:w="42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60" w:type="dxa"/>
            <w:vAlign w:val="bottom"/>
          </w:tcPr>
          <w:p>
            <w:pPr>
              <w:jc w:val="center"/>
              <w:ind w:right="730"/>
              <w:spacing w:after="0"/>
              <w:rPr>
                <w:sz w:val="20"/>
                <w:szCs w:val="20"/>
                <w:color w:val="auto"/>
              </w:rPr>
            </w:pPr>
            <w:r>
              <w:rPr>
                <w:rFonts w:ascii="Arial" w:cs="Arial" w:eastAsia="Arial" w:hAnsi="Arial"/>
                <w:sz w:val="18"/>
                <w:szCs w:val="18"/>
                <w:color w:val="auto"/>
                <w:w w:val="90"/>
              </w:rPr>
              <w:t>Common Stock, no par value</w:t>
            </w:r>
          </w:p>
        </w:tc>
        <w:tc>
          <w:tcPr>
            <w:tcW w:w="2420" w:type="dxa"/>
            <w:vAlign w:val="bottom"/>
          </w:tcPr>
          <w:p>
            <w:pPr>
              <w:jc w:val="center"/>
              <w:ind w:right="190"/>
              <w:spacing w:after="0"/>
              <w:rPr>
                <w:sz w:val="20"/>
                <w:szCs w:val="20"/>
                <w:color w:val="auto"/>
              </w:rPr>
            </w:pPr>
            <w:r>
              <w:rPr>
                <w:rFonts w:ascii="Arial" w:cs="Arial" w:eastAsia="Arial" w:hAnsi="Arial"/>
                <w:sz w:val="18"/>
                <w:szCs w:val="18"/>
                <w:color w:val="auto"/>
                <w:w w:val="85"/>
              </w:rPr>
              <w:t>CPSS</w:t>
            </w:r>
          </w:p>
        </w:tc>
        <w:tc>
          <w:tcPr>
            <w:tcW w:w="4260" w:type="dxa"/>
            <w:vAlign w:val="bottom"/>
          </w:tcPr>
          <w:p>
            <w:pPr>
              <w:jc w:val="center"/>
              <w:ind w:left="470"/>
              <w:spacing w:after="0"/>
              <w:rPr>
                <w:sz w:val="20"/>
                <w:szCs w:val="20"/>
                <w:color w:val="auto"/>
              </w:rPr>
            </w:pPr>
            <w:r>
              <w:rPr>
                <w:rFonts w:ascii="Arial" w:cs="Arial" w:eastAsia="Arial" w:hAnsi="Arial"/>
                <w:sz w:val="18"/>
                <w:szCs w:val="18"/>
                <w:color w:val="auto"/>
                <w:w w:val="93"/>
              </w:rPr>
              <w:t>The Nasdaq Stock Market LLC (Global Market)</w:t>
            </w:r>
          </w:p>
        </w:tc>
      </w:tr>
    </w:tbl>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[_]</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233" w:right="339" w:bottom="1440" w:gutter="0" w:footer="0" w:header="0"/>
        </w:sectPr>
      </w:pPr>
    </w:p>
    <w:p>
      <w:pPr>
        <w:spacing w:after="0" w:line="14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Large accelerated filer [_]</w:t>
      </w:r>
    </w:p>
    <w:p>
      <w:pPr>
        <w:spacing w:after="0" w:line="2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Non-accelerated filer [_]</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6"/>
          <w:szCs w:val="16"/>
          <w:color w:val="auto"/>
        </w:rPr>
        <w:t>Emerging growth company [_]</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5" w:lineRule="exact"/>
        <w:rPr>
          <w:sz w:val="24"/>
          <w:szCs w:val="24"/>
          <w:color w:val="auto"/>
        </w:rPr>
      </w:pPr>
    </w:p>
    <w:p>
      <w:pPr>
        <w:sectPr>
          <w:pgSz w:w="11900" w:h="16838" w:orient="portrait"/>
          <w:cols w:equalWidth="0" w:num="2">
            <w:col w:w="6920" w:space="720"/>
            <w:col w:w="3600"/>
          </w:cols>
          <w:pgMar w:left="320" w:top="233" w:right="339" w:bottom="1440" w:gutter="0" w:footer="0" w:header="0"/>
          <w:type w:val="continuous"/>
        </w:sectPr>
      </w:pPr>
    </w:p>
    <w:p>
      <w:pPr>
        <w:spacing w:after="0" w:line="14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170" w:lineRule="exact"/>
        <w:rPr>
          <w:sz w:val="24"/>
          <w:szCs w:val="24"/>
          <w:color w:val="auto"/>
        </w:rPr>
      </w:pPr>
    </w:p>
    <w:p>
      <w:pPr>
        <w:spacing w:after="0"/>
        <w:tabs>
          <w:tab w:leader="none" w:pos="758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Yes [_]</w:t>
        <w:tab/>
        <w:t>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April 27, 2020 the registrant had 22,728,109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80" w:type="dxa"/>
            <w:vAlign w:val="bottom"/>
            <w:gridSpan w:val="3"/>
            <w:vMerge w:val="restart"/>
          </w:tcPr>
          <w:p>
            <w:pPr>
              <w:ind w:left="21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80" w:type="dxa"/>
            <w:vAlign w:val="bottom"/>
            <w:gridSpan w:val="3"/>
            <w:vMerge w:val="continue"/>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4"/>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360" w:type="dxa"/>
            <w:vAlign w:val="bottom"/>
            <w:gridSpan w:val="4"/>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March 31, 2020 and December 31, 2019</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360" w:type="dxa"/>
            <w:vAlign w:val="bottom"/>
            <w:gridSpan w:val="4"/>
          </w:tcPr>
          <w:p>
            <w:pPr>
              <w:ind w:left="20"/>
              <w:spacing w:after="0"/>
              <w:rPr>
                <w:rFonts w:ascii="Arial" w:cs="Arial" w:eastAsia="Arial" w:hAnsi="Arial"/>
                <w:sz w:val="18"/>
                <w:szCs w:val="18"/>
                <w:u w:val="single" w:color="auto"/>
                <w:color w:val="0000EE"/>
                <w:w w:val="94"/>
              </w:rPr>
            </w:pPr>
            <w:hyperlink w:anchor="page4">
              <w:r>
                <w:rPr>
                  <w:rFonts w:ascii="Arial" w:cs="Arial" w:eastAsia="Arial" w:hAnsi="Arial"/>
                  <w:sz w:val="18"/>
                  <w:szCs w:val="18"/>
                  <w:u w:val="single" w:color="auto"/>
                  <w:color w:val="0000EE"/>
                  <w:w w:val="94"/>
                </w:rPr>
                <w:t>Unaudited Condensed Consolidated Statements of Operations for the three-month periods ended March 31, 2020 and 2019</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9360" w:type="dxa"/>
            <w:vAlign w:val="bottom"/>
            <w:gridSpan w:val="4"/>
          </w:tcPr>
          <w:p>
            <w:pPr>
              <w:ind w:left="20"/>
              <w:spacing w:after="0" w:line="190"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Income for the three-month periods ended March 31, 2020</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2019</w:t>
              </w:r>
            </w:hyperlink>
          </w:p>
        </w:tc>
        <w:tc>
          <w:tcPr>
            <w:tcW w:w="8380" w:type="dxa"/>
            <w:vAlign w:val="bottom"/>
            <w:tcBorders>
              <w:top w:val="single" w:sz="8" w:color="0000EE"/>
            </w:tcBorders>
            <w:gridSpan w:val="2"/>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9360" w:type="dxa"/>
            <w:vAlign w:val="bottom"/>
            <w:gridSpan w:val="4"/>
          </w:tcPr>
          <w:p>
            <w:pPr>
              <w:ind w:left="20"/>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Unaudited Condensed Consolidated Statements of Cash Flows for the three-month periods ended March 31, 2020 and 2019</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8880" w:type="dxa"/>
            <w:vAlign w:val="bottom"/>
            <w:tcBorders>
              <w:bottom w:val="single" w:sz="8" w:color="0000EE"/>
            </w:tcBorders>
            <w:gridSpan w:val="2"/>
          </w:tcPr>
          <w:p>
            <w:pPr>
              <w:ind w:left="20"/>
              <w:spacing w:after="0" w:line="190"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Shareholders’ Equity for the three-month periods ended March 31, 2020</w:t>
              </w:r>
            </w:hyperlink>
          </w:p>
        </w:tc>
        <w:tc>
          <w:tcPr>
            <w:tcW w:w="48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bottom w:val="single" w:sz="8" w:color="0000EE"/>
            </w:tcBorders>
          </w:tcPr>
          <w:p>
            <w:pPr>
              <w:ind w:left="20"/>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and 2019</w:t>
              </w:r>
            </w:hyperlink>
          </w:p>
        </w:tc>
        <w:tc>
          <w:tcPr>
            <w:tcW w:w="868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9360" w:type="dxa"/>
            <w:vAlign w:val="bottom"/>
            <w:gridSpan w:val="4"/>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4"/>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360" w:type="dxa"/>
            <w:vAlign w:val="bottom"/>
            <w:gridSpan w:val="4"/>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920" w:type="dxa"/>
            <w:vAlign w:val="bottom"/>
          </w:tcPr>
          <w:p>
            <w:pPr>
              <w:ind w:left="330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 OTHER INFORMATION</w:t>
              </w:r>
            </w:hyperlink>
          </w:p>
        </w:tc>
        <w:tc>
          <w:tcPr>
            <w:tcW w:w="202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7920" w:type="dxa"/>
            <w:vAlign w:val="bottom"/>
          </w:tcPr>
          <w:p>
            <w:pPr>
              <w:ind w:left="3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7920" w:type="dxa"/>
            <w:vAlign w:val="bottom"/>
          </w:tcPr>
          <w:p>
            <w:pPr>
              <w:ind w:left="3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7920" w:type="dxa"/>
            <w:vAlign w:val="bottom"/>
          </w:tcPr>
          <w:p>
            <w:pPr>
              <w:ind w:left="3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7920" w:type="dxa"/>
            <w:vAlign w:val="bottom"/>
          </w:tcPr>
          <w:p>
            <w:pPr>
              <w:ind w:left="3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40" w:type="dxa"/>
            <w:vAlign w:val="bottom"/>
          </w:tcPr>
          <w:p>
            <w:pPr>
              <w:spacing w:after="0"/>
              <w:rPr>
                <w:sz w:val="20"/>
                <w:szCs w:val="20"/>
                <w:color w:val="auto"/>
              </w:rPr>
            </w:pPr>
          </w:p>
        </w:tc>
        <w:tc>
          <w:tcPr>
            <w:tcW w:w="7920" w:type="dxa"/>
            <w:vAlign w:val="bottom"/>
          </w:tcPr>
          <w:p>
            <w:pPr>
              <w:ind w:left="3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Signatures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0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r>
      <w:tr>
        <w:trPr>
          <w:trHeight w:val="210"/>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5,295</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137,523</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135,537</w:t>
            </w:r>
          </w:p>
        </w:tc>
      </w:tr>
      <w:tr>
        <w:trPr>
          <w:trHeight w:val="216"/>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774,476</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897,530</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(114,073)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(11,640)</w:t>
            </w:r>
          </w:p>
        </w:tc>
      </w:tr>
      <w:tr>
        <w:trPr>
          <w:trHeight w:val="209"/>
        </w:trPr>
        <w:tc>
          <w:tcPr>
            <w:tcW w:w="8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660,403</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885,890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1,559,697</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1,444,038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58,375</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15,480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11,645</w:t>
            </w:r>
          </w:p>
        </w:tc>
      </w:tr>
      <w:tr>
        <w:trPr>
          <w:trHeight w:val="229"/>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37,569</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39,852</w:t>
            </w:r>
          </w:p>
        </w:tc>
      </w:tr>
      <w:tr>
        <w:trPr>
          <w:trHeight w:val="263"/>
        </w:trPr>
        <w:tc>
          <w:tcPr>
            <w:tcW w:w="810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2,468,296</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2,539,249</w:t>
            </w:r>
          </w:p>
        </w:tc>
        <w:tc>
          <w:tcPr>
            <w:tcW w:w="100" w:type="dxa"/>
            <w:vAlign w:val="bottom"/>
            <w:tcBorders>
              <w:bottom w:val="single" w:sz="8" w:color="EEEEEE"/>
            </w:tcBorders>
          </w:tcPr>
          <w:p>
            <w:pPr>
              <w:spacing w:after="0"/>
              <w:rPr>
                <w:sz w:val="22"/>
                <w:szCs w:val="22"/>
                <w:color w:val="auto"/>
              </w:rPr>
            </w:pPr>
          </w:p>
        </w:tc>
      </w:tr>
      <w:tr>
        <w:trPr>
          <w:trHeight w:val="197"/>
        </w:trPr>
        <w:tc>
          <w:tcPr>
            <w:tcW w:w="8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56,932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47,077</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141,988</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134,791</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37,913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39,478</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2,091,642</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2,097,728</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17,534</w:t>
            </w:r>
          </w:p>
        </w:tc>
      </w:tr>
      <w:tr>
        <w:trPr>
          <w:trHeight w:val="210"/>
        </w:trPr>
        <w:tc>
          <w:tcPr>
            <w:tcW w:w="8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2,346,797</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2,336,608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Common stock, no par value; authorized 75,000,000 shares; 22,558,918 and 22,530,918 shares issued and</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outstanding at March 31, 2020 and December 31, 2019</w:t>
            </w:r>
          </w:p>
        </w:tc>
        <w:tc>
          <w:tcPr>
            <w:tcW w:w="2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December 31, 2019, respectively</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71,792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71,257</w:t>
            </w: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58,128</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139,805</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(8,421)</w:t>
            </w:r>
          </w:p>
        </w:tc>
      </w:tr>
      <w:tr>
        <w:trPr>
          <w:trHeight w:val="210"/>
        </w:trPr>
        <w:tc>
          <w:tcPr>
            <w:tcW w:w="8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121,499</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202,641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100" w:type="dxa"/>
            <w:vAlign w:val="bottom"/>
            <w:shd w:val="clear" w:color="auto" w:fill="EEEEEE"/>
          </w:tcPr>
          <w:p>
            <w:pPr>
              <w:spacing w:after="0"/>
              <w:rPr>
                <w:sz w:val="21"/>
                <w:szCs w:val="21"/>
                <w:color w:val="auto"/>
              </w:rPr>
            </w:pP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2,468,296</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2,539,249</w:t>
            </w:r>
          </w:p>
        </w:tc>
      </w:tr>
      <w:tr>
        <w:trPr>
          <w:trHeight w:val="20"/>
        </w:trPr>
        <w:tc>
          <w:tcPr>
            <w:tcW w:w="8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81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210"/>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79,136</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85,845</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 to finance receivables measured at fair value</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(10,350)</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r>
      <w:tr>
        <w:trPr>
          <w:trHeight w:val="210"/>
        </w:trPr>
        <w:tc>
          <w:tcPr>
            <w:tcW w:w="8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70,767</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88,230</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Employee costs</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21,842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19,073</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8,669</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8,174</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26,991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27,290</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3,613</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23,956</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Sales</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4,836</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Occupancy</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1,691</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1,974</w:t>
            </w: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09"/>
        </w:trPr>
        <w:tc>
          <w:tcPr>
            <w:tcW w:w="81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67,655</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85,554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Income before income tax expense (benefit)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8"/>
                <w:szCs w:val="18"/>
                <w:color w:val="auto"/>
              </w:rPr>
            </w:pPr>
          </w:p>
        </w:tc>
      </w:tr>
      <w:tr>
        <w:trPr>
          <w:trHeight w:val="229"/>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(7,680)</w:t>
            </w: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937</w:t>
            </w:r>
          </w:p>
        </w:tc>
      </w:tr>
      <w:tr>
        <w:trPr>
          <w:trHeight w:val="263"/>
        </w:trPr>
        <w:tc>
          <w:tcPr>
            <w:tcW w:w="81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EEEEEE"/>
            </w:tcBorders>
          </w:tcPr>
          <w:p>
            <w:pPr>
              <w:spacing w:after="0"/>
              <w:rPr>
                <w:sz w:val="22"/>
                <w:szCs w:val="22"/>
                <w:color w:val="auto"/>
              </w:rPr>
            </w:pPr>
          </w:p>
        </w:tc>
      </w:tr>
      <w:tr>
        <w:trPr>
          <w:trHeight w:val="197"/>
        </w:trPr>
        <w:tc>
          <w:tcPr>
            <w:tcW w:w="81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0.48</w:t>
            </w:r>
          </w:p>
        </w:tc>
        <w:tc>
          <w:tcPr>
            <w:tcW w:w="620" w:type="dxa"/>
            <w:vAlign w:val="bottom"/>
            <w:gridSpan w:val="2"/>
            <w:shd w:val="clear" w:color="auto" w:fill="EEEEEE"/>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8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22,539</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22,242</w:t>
            </w: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23,879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24,259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8"/>
          </w:tcPr>
          <w:p>
            <w:pPr>
              <w:ind w:left="4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10"/>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10,792</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6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income/(loss); change in funded status of pension plan</w:t>
            </w:r>
          </w:p>
        </w:tc>
        <w:tc>
          <w:tcPr>
            <w:tcW w:w="34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6"/>
          </w:tcPr>
          <w:p>
            <w:pPr>
              <w:jc w:val="right"/>
              <w:ind w:right="661"/>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81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210"/>
        </w:trPr>
        <w:tc>
          <w:tcPr>
            <w:tcW w:w="81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10,792</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1,739</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492</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29,715</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18,767</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251</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2,097</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2,045</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Mark to fair value of finance receivables measured at fair value</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10,350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3,613</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23,956</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638</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Accrued interest receivable</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2,850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10,924</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Deferred tax assets, net</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(8,364)</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907</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1,901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(2,458)</w:t>
            </w:r>
          </w:p>
        </w:tc>
      </w:tr>
      <w:tr>
        <w:trPr>
          <w:trHeight w:val="229"/>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9,855</w:t>
            </w: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1,243</w:t>
            </w:r>
          </w:p>
        </w:tc>
      </w:tr>
      <w:tr>
        <w:trPr>
          <w:trHeight w:val="210"/>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64,054</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58,504</w:t>
            </w:r>
          </w:p>
        </w:tc>
        <w:tc>
          <w:tcPr>
            <w:tcW w:w="100" w:type="dxa"/>
            <w:vAlign w:val="bottom"/>
            <w:tcBorders>
              <w:bottom w:val="single" w:sz="8" w:color="EEEEEE"/>
            </w:tcBorders>
          </w:tcPr>
          <w:p>
            <w:pPr>
              <w:spacing w:after="0"/>
              <w:rPr>
                <w:sz w:val="18"/>
                <w:szCs w:val="18"/>
                <w:color w:val="auto"/>
              </w:rPr>
            </w:pPr>
          </w:p>
        </w:tc>
      </w:tr>
      <w:tr>
        <w:trPr>
          <w:trHeight w:val="209"/>
        </w:trPr>
        <w:tc>
          <w:tcPr>
            <w:tcW w:w="8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94,535</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134,097</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(265,282)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(244,753)</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109,558</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49,500</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(893)</w:t>
            </w:r>
          </w:p>
        </w:tc>
      </w:tr>
      <w:tr>
        <w:trPr>
          <w:trHeight w:val="230"/>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(61,102</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(62,223</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260,000</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254,400</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1,114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397</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(4,701)</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advances of warehouse lines of credit</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6,837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(19,092)</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residual interest financing debt</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(1,658)</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(266,056)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(208,798)</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(1,674)</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(2,808)</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(1,440)</w:t>
            </w:r>
          </w:p>
        </w:tc>
      </w:tr>
      <w:tr>
        <w:trPr>
          <w:trHeight w:val="229"/>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48</w:t>
            </w: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73</w:t>
            </w:r>
          </w:p>
        </w:tc>
      </w:tr>
      <w:tr>
        <w:trPr>
          <w:trHeight w:val="210"/>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18,031</w:t>
            </w:r>
          </w:p>
        </w:tc>
        <w:tc>
          <w:tcPr>
            <w:tcW w:w="100" w:type="dxa"/>
            <w:vAlign w:val="bottom"/>
            <w:tcBorders>
              <w:bottom w:val="single" w:sz="8" w:color="EEEEEE"/>
            </w:tcBorders>
          </w:tcPr>
          <w:p>
            <w:pPr>
              <w:spacing w:after="0"/>
              <w:rPr>
                <w:sz w:val="18"/>
                <w:szCs w:val="18"/>
                <w:color w:val="auto"/>
              </w:rPr>
            </w:pPr>
          </w:p>
        </w:tc>
      </w:tr>
      <w:tr>
        <w:trPr>
          <w:trHeight w:val="210"/>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shd w:val="clear" w:color="auto" w:fill="EEEEEE"/>
          </w:tcPr>
          <w:p>
            <w:pPr>
              <w:spacing w:after="0"/>
              <w:rPr>
                <w:sz w:val="18"/>
                <w:szCs w:val="18"/>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Cash and restricted cash at beginning of period</w:t>
            </w:r>
          </w:p>
        </w:tc>
        <w:tc>
          <w:tcPr>
            <w:tcW w:w="34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140,832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130,110</w:t>
            </w:r>
          </w:p>
        </w:tc>
      </w:tr>
      <w:tr>
        <w:trPr>
          <w:trHeight w:val="223"/>
        </w:trPr>
        <w:tc>
          <w:tcPr>
            <w:tcW w:w="81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restricted cash at end of period</w:t>
            </w: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142,069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144,422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24,739</w:t>
            </w:r>
          </w:p>
        </w:tc>
        <w:tc>
          <w:tcPr>
            <w:tcW w:w="620" w:type="dxa"/>
            <w:vAlign w:val="bottom"/>
            <w:gridSpan w:val="2"/>
            <w:shd w:val="clear" w:color="auto" w:fill="EEEEEE"/>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24,921</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Non-cash financing activities:</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Right-of-use asset,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(21,869)</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Lease liability</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23,327</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Deferred office rent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(1,458)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81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10"/>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 (Shares Outstanding)</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22,531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22,422</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issued upon exercise of options and warrants</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EEEEEE"/>
          </w:tcPr>
          <w:p>
            <w:pPr>
              <w:spacing w:after="0"/>
              <w:rPr>
                <w:sz w:val="18"/>
                <w:szCs w:val="18"/>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(366)</w:t>
            </w:r>
          </w:p>
        </w:tc>
      </w:tr>
      <w:tr>
        <w:trPr>
          <w:trHeight w:val="223"/>
        </w:trPr>
        <w:tc>
          <w:tcPr>
            <w:tcW w:w="81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top w:val="single" w:sz="8" w:color="auto"/>
              <w:bottom w:val="single" w:sz="8" w:color="auto"/>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22,134</w:t>
            </w:r>
          </w:p>
        </w:tc>
        <w:tc>
          <w:tcPr>
            <w:tcW w:w="100" w:type="dxa"/>
            <w:vAlign w:val="bottom"/>
            <w:tcBorders>
              <w:top w:val="single" w:sz="8" w:color="EEEEEE"/>
              <w:bottom w:val="single" w:sz="8" w:color="EEEEEE"/>
            </w:tcBorders>
            <w:gridSpan w:val="2"/>
            <w:shd w:val="clear" w:color="auto" w:fill="EEEEEE"/>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71,257</w:t>
            </w:r>
          </w:p>
        </w:tc>
        <w:tc>
          <w:tcPr>
            <w:tcW w:w="220" w:type="dxa"/>
            <w:vAlign w:val="bottom"/>
          </w:tcPr>
          <w:p>
            <w:pPr>
              <w:spacing w:after="0"/>
              <w:rPr>
                <w:sz w:val="18"/>
                <w:szCs w:val="18"/>
                <w:color w:val="auto"/>
              </w:rPr>
            </w:pP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70,273</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issued upon exercise of options and warrants</w:t>
            </w:r>
          </w:p>
        </w:tc>
        <w:tc>
          <w:tcPr>
            <w:tcW w:w="3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48</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(1,440)</w:t>
            </w:r>
          </w:p>
        </w:tc>
      </w:tr>
      <w:tr>
        <w:trPr>
          <w:trHeight w:val="229"/>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638</w:t>
            </w:r>
          </w:p>
        </w:tc>
      </w:tr>
      <w:tr>
        <w:trPr>
          <w:trHeight w:val="263"/>
        </w:trPr>
        <w:tc>
          <w:tcPr>
            <w:tcW w:w="810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71,792</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69,544</w:t>
            </w:r>
          </w:p>
        </w:tc>
        <w:tc>
          <w:tcPr>
            <w:tcW w:w="100" w:type="dxa"/>
            <w:vAlign w:val="bottom"/>
            <w:tcBorders>
              <w:bottom w:val="single" w:sz="8" w:color="EEEEEE"/>
            </w:tcBorders>
            <w:gridSpan w:val="2"/>
          </w:tcPr>
          <w:p>
            <w:pPr>
              <w:spacing w:after="0"/>
              <w:rPr>
                <w:sz w:val="22"/>
                <w:szCs w:val="22"/>
                <w:color w:val="auto"/>
              </w:rPr>
            </w:pPr>
          </w:p>
        </w:tc>
      </w:tr>
      <w:tr>
        <w:trPr>
          <w:trHeight w:val="196"/>
        </w:trPr>
        <w:tc>
          <w:tcPr>
            <w:tcW w:w="81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139,805</w:t>
            </w:r>
          </w:p>
        </w:tc>
        <w:tc>
          <w:tcPr>
            <w:tcW w:w="2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26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134,399</w:t>
            </w:r>
          </w:p>
        </w:tc>
        <w:tc>
          <w:tcPr>
            <w:tcW w:w="80" w:type="dxa"/>
            <w:vAlign w:val="bottom"/>
            <w:shd w:val="clear" w:color="auto" w:fill="EEEEEE"/>
          </w:tcPr>
          <w:p>
            <w:pPr>
              <w:spacing w:after="0"/>
              <w:rPr>
                <w:sz w:val="18"/>
                <w:szCs w:val="18"/>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Cumulative change in accounting principle (Note 2)</w:t>
            </w:r>
          </w:p>
        </w:tc>
        <w:tc>
          <w:tcPr>
            <w:tcW w:w="3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(92,469)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10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Balance, beginning of period (as adjusted for change in accounting principle)</w:t>
            </w:r>
          </w:p>
        </w:tc>
        <w:tc>
          <w:tcPr>
            <w:tcW w:w="340" w:type="dxa"/>
            <w:vAlign w:val="bottom"/>
            <w:tcBorders>
              <w:top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47,336</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2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134,399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10,792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9"/>
                <w:szCs w:val="19"/>
                <w:color w:val="auto"/>
              </w:rPr>
            </w:pPr>
          </w:p>
        </w:tc>
      </w:tr>
      <w:tr>
        <w:trPr>
          <w:trHeight w:val="223"/>
        </w:trPr>
        <w:tc>
          <w:tcPr>
            <w:tcW w:w="81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58,128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136,138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(8,421)</w:t>
            </w:r>
          </w:p>
        </w:tc>
        <w:tc>
          <w:tcPr>
            <w:tcW w:w="220" w:type="dxa"/>
            <w:vAlign w:val="bottom"/>
          </w:tcPr>
          <w:p>
            <w:pPr>
              <w:spacing w:after="0"/>
              <w:rPr>
                <w:sz w:val="18"/>
                <w:szCs w:val="18"/>
                <w:color w:val="auto"/>
              </w:rPr>
            </w:pP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(7,554)</w:t>
            </w:r>
          </w:p>
        </w:tc>
      </w:tr>
      <w:tr>
        <w:trPr>
          <w:trHeight w:val="230"/>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Pension benefit obligation</w:t>
            </w:r>
          </w:p>
        </w:tc>
        <w:tc>
          <w:tcPr>
            <w:tcW w:w="34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810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81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3"/>
        </w:trPr>
        <w:tc>
          <w:tcPr>
            <w:tcW w:w="81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121,499</w:t>
            </w:r>
          </w:p>
        </w:tc>
        <w:tc>
          <w:tcPr>
            <w:tcW w:w="220" w:type="dxa"/>
            <w:vAlign w:val="bottom"/>
          </w:tcPr>
          <w:p>
            <w:pPr>
              <w:spacing w:after="0"/>
              <w:rPr>
                <w:sz w:val="21"/>
                <w:szCs w:val="21"/>
                <w:color w:val="auto"/>
              </w:rPr>
            </w:pP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198,128</w:t>
            </w:r>
          </w:p>
        </w:tc>
        <w:tc>
          <w:tcPr>
            <w:tcW w:w="80" w:type="dxa"/>
            <w:vAlign w:val="bottom"/>
          </w:tcPr>
          <w:p>
            <w:pPr>
              <w:spacing w:after="0"/>
              <w:rPr>
                <w:sz w:val="21"/>
                <w:szCs w:val="21"/>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4" w:lineRule="exact"/>
        <w:rPr>
          <w:sz w:val="20"/>
          <w:szCs w:val="20"/>
          <w:color w:val="auto"/>
        </w:rPr>
      </w:pPr>
    </w:p>
    <w:p>
      <w:pPr>
        <w:ind w:firstLine="8"/>
        <w:spacing w:after="0" w:line="260"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three-month period ended March 31, 2020 are not necessarily indicative of the operating results to be expected for the full year.</w:t>
      </w:r>
    </w:p>
    <w:p>
      <w:pPr>
        <w:spacing w:after="0" w:line="188"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 Results for the first quarter include the estimated potential impact on credit performance resulting from the COVID-19 pandemic. We recorded a $10.4 million mark down to the carrying value of the portion of the receivables portfolio accounted for at fair value. The mark down is reflected as a reduction in revenue for the quarter.</w:t>
      </w:r>
    </w:p>
    <w:p>
      <w:pPr>
        <w:spacing w:after="0" w:line="187"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primary components of Other Income for the three-month periods ending March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600" w:type="dxa"/>
            <w:vAlign w:val="bottom"/>
            <w:gridSpan w:val="4"/>
          </w:tcPr>
          <w:p>
            <w:pPr>
              <w:jc w:val="center"/>
              <w:ind w:left="478"/>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20" w:type="dxa"/>
            <w:vAlign w:val="bottom"/>
            <w:shd w:val="clear" w:color="auto" w:fill="EEEEEE"/>
          </w:tcPr>
          <w:p>
            <w:pPr>
              <w:jc w:val="right"/>
              <w:ind w:right="75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8"/>
              </w:rPr>
              <w:t>1,183</w:t>
            </w:r>
          </w:p>
        </w:tc>
        <w:tc>
          <w:tcPr>
            <w:tcW w:w="94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3"/>
              </w:rPr>
              <w:t>1,336</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530</w:t>
            </w:r>
          </w:p>
        </w:tc>
        <w:tc>
          <w:tcPr>
            <w:tcW w:w="9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w:t>
            </w:r>
          </w:p>
        </w:tc>
        <w:tc>
          <w:tcPr>
            <w:tcW w:w="9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Sales tax refunds</w:t>
            </w:r>
          </w:p>
        </w:tc>
        <w:tc>
          <w:tcPr>
            <w:tcW w:w="9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9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w:t>
            </w:r>
          </w:p>
        </w:tc>
        <w:tc>
          <w:tcPr>
            <w:tcW w:w="94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2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1,981</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2,385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jc w:val="center"/>
        <w:ind w:right="-110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 2020</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29"/>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 right-of-use assets</w:t>
            </w:r>
          </w:p>
        </w:tc>
        <w:tc>
          <w:tcPr>
            <w:tcW w:w="200" w:type="dxa"/>
            <w:vAlign w:val="bottom"/>
            <w:shd w:val="clear" w:color="auto" w:fill="EEEEEE"/>
          </w:tcPr>
          <w:p>
            <w:pPr>
              <w:spacing w:after="0"/>
              <w:rPr>
                <w:sz w:val="19"/>
                <w:szCs w:val="19"/>
                <w:color w:val="auto"/>
              </w:rPr>
            </w:pPr>
          </w:p>
        </w:tc>
        <w:tc>
          <w:tcPr>
            <w:tcW w:w="1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280" w:type="dxa"/>
            <w:vAlign w:val="bottom"/>
            <w:tcBorders>
              <w:bottom w:val="single" w:sz="8" w:color="EEEEEE"/>
            </w:tcBorders>
          </w:tcPr>
          <w:p>
            <w:pPr>
              <w:spacing w:after="0"/>
              <w:rPr>
                <w:sz w:val="22"/>
                <w:szCs w:val="22"/>
                <w:color w:val="auto"/>
              </w:rPr>
            </w:pPr>
          </w:p>
        </w:tc>
        <w:tc>
          <w:tcPr>
            <w:tcW w:w="86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15,541</w:t>
            </w:r>
          </w:p>
        </w:tc>
        <w:tc>
          <w:tcPr>
            <w:tcW w:w="12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spacing w:after="0" w:line="196" w:lineRule="exact"/>
              <w:rPr>
                <w:sz w:val="20"/>
                <w:szCs w:val="20"/>
                <w:color w:val="auto"/>
              </w:rPr>
            </w:pPr>
            <w:r>
              <w:rPr>
                <w:rFonts w:ascii="Arial" w:cs="Arial" w:eastAsia="Arial" w:hAnsi="Arial"/>
                <w:sz w:val="18"/>
                <w:szCs w:val="18"/>
                <w:color w:val="FFFFFF"/>
              </w:rPr>
              <w:t>$</w:t>
            </w: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(16,892)</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FFFFFF"/>
              </w:rPr>
              <w:t>$</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Finance lease</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45"/>
        </w:trPr>
        <w:tc>
          <w:tcPr>
            <w:tcW w:w="528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200" w:type="dxa"/>
            <w:vAlign w:val="bottom"/>
          </w:tcPr>
          <w:p>
            <w:pPr>
              <w:jc w:val="right"/>
              <w:ind w:right="47"/>
              <w:spacing w:after="0"/>
              <w:rPr>
                <w:sz w:val="20"/>
                <w:szCs w:val="20"/>
                <w:color w:val="auto"/>
              </w:rPr>
            </w:pPr>
            <w:r>
              <w:rPr>
                <w:rFonts w:ascii="Arial" w:cs="Arial" w:eastAsia="Arial" w:hAnsi="Arial"/>
                <w:sz w:val="15"/>
                <w:szCs w:val="15"/>
                <w:color w:val="FFFFFF"/>
                <w:w w:val="71"/>
              </w:rPr>
              <w:t>$</w:t>
            </w:r>
          </w:p>
        </w:tc>
        <w:tc>
          <w:tcPr>
            <w:tcW w:w="1460" w:type="dxa"/>
            <w:vAlign w:val="bottom"/>
            <w:gridSpan w:val="3"/>
            <w:vMerge w:val="restart"/>
          </w:tcPr>
          <w:p>
            <w:pPr>
              <w:jc w:val="center"/>
              <w:ind w:right="42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24"/>
                <w:szCs w:val="24"/>
                <w:color w:val="auto"/>
              </w:rPr>
            </w:pPr>
          </w:p>
        </w:tc>
        <w:tc>
          <w:tcPr>
            <w:tcW w:w="1100" w:type="dxa"/>
            <w:vAlign w:val="bottom"/>
            <w:gridSpan w:val="2"/>
            <w:vMerge w:val="restart"/>
          </w:tcPr>
          <w:p>
            <w:pPr>
              <w:jc w:val="right"/>
              <w:ind w:right="230"/>
              <w:spacing w:after="0"/>
              <w:rPr>
                <w:sz w:val="20"/>
                <w:szCs w:val="20"/>
                <w:color w:val="auto"/>
              </w:rPr>
            </w:pPr>
            <w:r>
              <w:rPr>
                <w:rFonts w:ascii="Arial" w:cs="Arial" w:eastAsia="Arial" w:hAnsi="Arial"/>
                <w:sz w:val="18"/>
                <w:szCs w:val="18"/>
                <w:b w:val="1"/>
                <w:bCs w:val="1"/>
                <w:color w:val="auto"/>
              </w:rPr>
              <w:t>Finance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0" w:type="dxa"/>
            <w:vAlign w:val="bottom"/>
          </w:tcPr>
          <w:p>
            <w:pPr>
              <w:spacing w:after="0"/>
              <w:rPr>
                <w:sz w:val="21"/>
                <w:szCs w:val="21"/>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Lease</w:t>
            </w:r>
          </w:p>
        </w:tc>
        <w:tc>
          <w:tcPr>
            <w:tcW w:w="280" w:type="dxa"/>
            <w:vAlign w:val="bottom"/>
          </w:tcPr>
          <w:p>
            <w:pPr>
              <w:spacing w:after="0"/>
              <w:rPr>
                <w:sz w:val="21"/>
                <w:szCs w:val="21"/>
                <w:color w:val="auto"/>
              </w:rPr>
            </w:pPr>
          </w:p>
        </w:tc>
        <w:tc>
          <w:tcPr>
            <w:tcW w:w="11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Lease</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2020 (excluding the three months ended March 31, 2020)</w:t>
            </w: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5,831</w:t>
            </w:r>
          </w:p>
        </w:tc>
        <w:tc>
          <w:tcPr>
            <w:tcW w:w="2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Borders>
              <w:top w:val="single" w:sz="8" w:color="auto"/>
            </w:tcBorders>
            <w:shd w:val="clear" w:color="auto" w:fill="EEEEE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7,449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6,058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EEEEE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1,389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EEEEE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2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21,416</w:t>
            </w: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Borders>
              <w:top w:val="single" w:sz="8" w:color="EEEEEE"/>
            </w:tcBorders>
            <w:shd w:val="clear" w:color="auto" w:fill="EEEEE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(244)</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16,892</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presents the leases expense included in Occupancy, General and administrative on our Unaudited Condensed Consolidated Statement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2600" w:type="dxa"/>
            <w:vAlign w:val="bottom"/>
            <w:gridSpan w:val="4"/>
          </w:tcPr>
          <w:p>
            <w:pPr>
              <w:jc w:val="center"/>
              <w:ind w:left="478"/>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r>
      <w:tr>
        <w:trPr>
          <w:trHeight w:val="209"/>
        </w:trPr>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EEEEEE"/>
          </w:tcPr>
          <w:p>
            <w:pPr>
              <w:jc w:val="right"/>
              <w:ind w:right="75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8"/>
              </w:rPr>
              <w:t>1,885</w:t>
            </w:r>
          </w:p>
        </w:tc>
        <w:tc>
          <w:tcPr>
            <w:tcW w:w="94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3"/>
              </w:rPr>
              <w:t>1,889</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Finance lease cost</w:t>
            </w:r>
          </w:p>
        </w:tc>
        <w:tc>
          <w:tcPr>
            <w:tcW w:w="9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278</w:t>
            </w:r>
          </w:p>
        </w:tc>
        <w:tc>
          <w:tcPr>
            <w:tcW w:w="9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lease cost</w:t>
            </w:r>
          </w:p>
        </w:tc>
        <w:tc>
          <w:tcPr>
            <w:tcW w:w="920" w:type="dxa"/>
            <w:vAlign w:val="bottom"/>
            <w:tcBorders>
              <w:top w:val="single" w:sz="8" w:color="auto"/>
              <w:bottom w:val="single" w:sz="8" w:color="auto"/>
            </w:tcBorders>
            <w:shd w:val="clear" w:color="auto" w:fill="EEEEEE"/>
          </w:tcPr>
          <w:p>
            <w:pPr>
              <w:jc w:val="right"/>
              <w:ind w:right="75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8"/>
              </w:rPr>
              <w:t>2,163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1,889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600" w:type="dxa"/>
            <w:vAlign w:val="bottom"/>
            <w:gridSpan w:val="3"/>
          </w:tcPr>
          <w:p>
            <w:pPr>
              <w:jc w:val="center"/>
              <w:ind w:left="476"/>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20"/>
                <w:szCs w:val="20"/>
                <w:color w:val="auto"/>
              </w:rPr>
            </w:pPr>
          </w:p>
        </w:tc>
      </w:tr>
      <w:tr>
        <w:trPr>
          <w:trHeight w:val="243"/>
        </w:trPr>
        <w:tc>
          <w:tcPr>
            <w:tcW w:w="52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560" w:type="dxa"/>
            <w:vAlign w:val="bottom"/>
            <w:tcBorders>
              <w:bottom w:val="single" w:sz="8" w:color="auto"/>
            </w:tcBorders>
          </w:tcPr>
          <w:p>
            <w:pPr>
              <w:spacing w:after="0"/>
              <w:rPr>
                <w:sz w:val="21"/>
                <w:szCs w:val="21"/>
                <w:color w:val="auto"/>
              </w:rPr>
            </w:pPr>
          </w:p>
        </w:tc>
      </w:tr>
      <w:tr>
        <w:trPr>
          <w:trHeight w:val="223"/>
        </w:trPr>
        <w:tc>
          <w:tcPr>
            <w:tcW w:w="5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r>
      <w:tr>
        <w:trPr>
          <w:trHeight w:val="209"/>
        </w:trPr>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r>
      <w:tr>
        <w:trPr>
          <w:trHeight w:val="198"/>
        </w:trPr>
        <w:tc>
          <w:tcPr>
            <w:tcW w:w="528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Cash paid for amounts included in the measurement of lease</w:t>
            </w:r>
          </w:p>
        </w:tc>
        <w:tc>
          <w:tcPr>
            <w:tcW w:w="9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r>
      <w:tr>
        <w:trPr>
          <w:trHeight w:val="234"/>
        </w:trPr>
        <w:tc>
          <w:tcPr>
            <w:tcW w:w="5280" w:type="dxa"/>
            <w:vAlign w:val="bottom"/>
            <w:shd w:val="clear" w:color="auto" w:fill="EEEEEE"/>
          </w:tcPr>
          <w:p>
            <w:pPr>
              <w:ind w:left="18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EEEEEE"/>
          </w:tcPr>
          <w:p>
            <w:pPr>
              <w:spacing w:after="0"/>
              <w:rPr>
                <w:sz w:val="20"/>
                <w:szCs w:val="20"/>
                <w:color w:val="auto"/>
              </w:rPr>
            </w:pPr>
          </w:p>
        </w:tc>
        <w:tc>
          <w:tcPr>
            <w:tcW w:w="5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FFFFFF"/>
              </w:rPr>
              <w:t>$</w:t>
            </w:r>
          </w:p>
        </w:tc>
        <w:tc>
          <w:tcPr>
            <w:tcW w:w="110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920" w:type="dxa"/>
            <w:vAlign w:val="bottom"/>
          </w:tcPr>
          <w:p>
            <w:pPr>
              <w:jc w:val="right"/>
              <w:ind w:right="75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1,926</w:t>
            </w:r>
          </w:p>
        </w:tc>
        <w:tc>
          <w:tcPr>
            <w:tcW w:w="11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1,886</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finance leases</w:t>
            </w:r>
          </w:p>
        </w:tc>
        <w:tc>
          <w:tcPr>
            <w:tcW w:w="92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231</w:t>
            </w:r>
          </w:p>
        </w:tc>
        <w:tc>
          <w:tcPr>
            <w:tcW w:w="110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9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10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For the three months ended March 31, 2020 and 2019, we recorded stock-based compensation costs in the amount of $487,000 and $638,000, respectively. As of March 31, 2020, unrecognized stock-based compensation costs to be recognized over future periods equaled $2.6 million. This amount will be recognized as expense over a weighted-average period of 1.9 years.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represents stock option activity for the three months ended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0"/>
        </w:trPr>
        <w:tc>
          <w:tcPr>
            <w:tcW w:w="52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Number of Shares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52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r>
      <w:tr>
        <w:trPr>
          <w:trHeight w:val="210"/>
        </w:trPr>
        <w:tc>
          <w:tcPr>
            <w:tcW w:w="5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44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15,348</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78"/>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4.59</w:t>
            </w:r>
          </w:p>
        </w:tc>
        <w:tc>
          <w:tcPr>
            <w:tcW w:w="2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5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3"/>
        </w:trPr>
        <w:tc>
          <w:tcPr>
            <w:tcW w:w="5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tcBorders>
              <w:top w:val="single" w:sz="8" w:color="EEEEEE"/>
            </w:tcBorders>
            <w:shd w:val="clear" w:color="auto" w:fill="EEEEEE"/>
          </w:tcPr>
          <w:p>
            <w:pPr>
              <w:spacing w:after="0"/>
              <w:rPr>
                <w:sz w:val="19"/>
                <w:szCs w:val="19"/>
                <w:color w:val="auto"/>
              </w:rPr>
            </w:pPr>
          </w:p>
        </w:tc>
        <w:tc>
          <w:tcPr>
            <w:tcW w:w="460" w:type="dxa"/>
            <w:vAlign w:val="bottom"/>
            <w:tcBorders>
              <w:top w:val="single" w:sz="8" w:color="EEEEEE"/>
            </w:tcBorders>
            <w:gridSpan w:val="2"/>
            <w:shd w:val="clear" w:color="auto" w:fill="EEEEEE"/>
          </w:tcPr>
          <w:p>
            <w:pPr>
              <w:jc w:val="right"/>
              <w:ind w:right="78"/>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4.59</w:t>
            </w:r>
          </w:p>
        </w:tc>
        <w:tc>
          <w:tcPr>
            <w:tcW w:w="220" w:type="dxa"/>
            <w:vAlign w:val="bottom"/>
            <w:tcBorders>
              <w:top w:val="single" w:sz="8" w:color="EEEEEE"/>
            </w:tcBorders>
            <w:shd w:val="clear" w:color="auto" w:fill="EEEEEE"/>
          </w:tcPr>
          <w:p>
            <w:pPr>
              <w:spacing w:after="0"/>
              <w:rPr>
                <w:sz w:val="19"/>
                <w:szCs w:val="19"/>
                <w:color w:val="auto"/>
              </w:rPr>
            </w:pPr>
          </w:p>
        </w:tc>
        <w:tc>
          <w:tcPr>
            <w:tcW w:w="148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3.10 years</w:t>
            </w:r>
          </w:p>
        </w:tc>
      </w:tr>
      <w:tr>
        <w:trPr>
          <w:trHeight w:val="20"/>
        </w:trPr>
        <w:tc>
          <w:tcPr>
            <w:tcW w:w="52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3"/>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11,844</w:t>
            </w:r>
          </w:p>
        </w:tc>
        <w:tc>
          <w:tcPr>
            <w:tcW w:w="460" w:type="dxa"/>
            <w:vAlign w:val="bottom"/>
            <w:gridSpan w:val="2"/>
            <w:shd w:val="clear" w:color="auto" w:fill="EEEEEE"/>
          </w:tcPr>
          <w:p>
            <w:pPr>
              <w:jc w:val="right"/>
              <w:ind w:right="7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EEEEEE"/>
          </w:tcPr>
          <w:p>
            <w:pPr>
              <w:spacing w:after="0"/>
              <w:rPr>
                <w:sz w:val="21"/>
                <w:szCs w:val="21"/>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2.50 years</w:t>
            </w:r>
          </w:p>
        </w:tc>
      </w:tr>
      <w:tr>
        <w:trPr>
          <w:trHeight w:val="20"/>
        </w:trPr>
        <w:tc>
          <w:tcPr>
            <w:tcW w:w="52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March 31, 2020, the aggregate intrinsic value of options outstanding and exercisable was $325,000. There were 28,000 options exercised for the three months ended March 31, 2020 compared to 78,000 for the comparable period in 2019. The total intrinsic value of options exercised was $51,000 and $227,000 for the three-month periods ended March 31, 2020 and 2019. There were 1,458,000 shares available for future stock option grants under existing plans as of March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describes the purchase of our common stock for the three-month ended March 31, 2020 and 2019:</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Shares redeemed upon net exercise of stock options Other purchases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gridSpan w:val="7"/>
          </w:tcPr>
          <w:p>
            <w:pPr>
              <w:ind w:left="7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900" w:type="dxa"/>
            <w:vAlign w:val="bottom"/>
            <w:tcBorders>
              <w:bottom w:val="single" w:sz="8" w:color="auto"/>
            </w:tcBorders>
            <w:gridSpan w:val="4"/>
          </w:tcPr>
          <w:p>
            <w:pPr>
              <w:ind w:left="100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Borders>
              <w:bottom w:val="single" w:sz="8" w:color="auto"/>
            </w:tcBorders>
            <w:gridSpan w:val="6"/>
          </w:tcPr>
          <w:p>
            <w:pPr>
              <w:jc w:val="right"/>
              <w:ind w:right="770"/>
              <w:spacing w:after="0"/>
              <w:rPr>
                <w:sz w:val="20"/>
                <w:szCs w:val="20"/>
                <w:color w:val="auto"/>
              </w:rPr>
            </w:pPr>
            <w:r>
              <w:rPr>
                <w:rFonts w:ascii="Arial" w:cs="Arial" w:eastAsia="Arial" w:hAnsi="Arial"/>
                <w:sz w:val="18"/>
                <w:szCs w:val="18"/>
                <w:b w:val="1"/>
                <w:bCs w:val="1"/>
                <w:color w:val="auto"/>
              </w:rPr>
              <w:t>March 31, 2019</w:t>
            </w:r>
          </w:p>
        </w:tc>
        <w:tc>
          <w:tcPr>
            <w:tcW w:w="100" w:type="dxa"/>
            <w:vAlign w:val="bottom"/>
            <w:tcBorders>
              <w:bottom w:val="single" w:sz="8" w:color="auto"/>
            </w:tcBorders>
          </w:tcPr>
          <w:p>
            <w:pPr>
              <w:spacing w:after="0"/>
              <w:rPr>
                <w:sz w:val="20"/>
                <w:szCs w:val="20"/>
                <w:color w:val="auto"/>
              </w:rPr>
            </w:pPr>
          </w:p>
        </w:tc>
      </w:tr>
      <w:tr>
        <w:trPr>
          <w:trHeight w:val="223"/>
        </w:trPr>
        <w:tc>
          <w:tcPr>
            <w:tcW w:w="1480" w:type="dxa"/>
            <w:vAlign w:val="bottom"/>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Avg. Price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3"/>
          </w:tcPr>
          <w:p>
            <w:pPr>
              <w:ind w:left="46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Avg. Price</w:t>
            </w:r>
          </w:p>
        </w:tc>
        <w:tc>
          <w:tcPr>
            <w:tcW w:w="100" w:type="dxa"/>
            <w:vAlign w:val="bottom"/>
          </w:tcPr>
          <w:p>
            <w:pPr>
              <w:spacing w:after="0"/>
              <w:rPr>
                <w:sz w:val="19"/>
                <w:szCs w:val="19"/>
                <w:color w:val="auto"/>
              </w:rPr>
            </w:pPr>
          </w:p>
        </w:tc>
      </w:tr>
      <w:tr>
        <w:trPr>
          <w:trHeight w:val="195"/>
        </w:trPr>
        <w:tc>
          <w:tcPr>
            <w:tcW w:w="1480" w:type="dxa"/>
            <w:vAlign w:val="bottom"/>
            <w:tcBorders>
              <w:top w:val="single" w:sz="8" w:color="auto"/>
            </w:tcBorders>
            <w:gridSpan w:val="2"/>
          </w:tcPr>
          <w:p>
            <w:pPr>
              <w:ind w:left="126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ind w:right="1010"/>
              <w:spacing w:after="0" w:line="195"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100"/>
              <w:spacing w:after="0" w:line="195" w:lineRule="exact"/>
              <w:rPr>
                <w:sz w:val="20"/>
                <w:szCs w:val="20"/>
                <w:color w:val="auto"/>
              </w:rPr>
            </w:pPr>
            <w:r>
              <w:rPr>
                <w:rFonts w:ascii="Arial" w:cs="Arial" w:eastAsia="Arial" w:hAnsi="Arial"/>
                <w:sz w:val="18"/>
                <w:szCs w:val="18"/>
                <w:color w:val="auto"/>
              </w:rPr>
              <w:t>335,546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3.95</w:t>
            </w:r>
          </w:p>
        </w:tc>
        <w:tc>
          <w:tcPr>
            <w:tcW w:w="100" w:type="dxa"/>
            <w:vAlign w:val="bottom"/>
            <w:tcBorders>
              <w:top w:val="single" w:sz="8" w:color="auto"/>
            </w:tcBorders>
          </w:tcPr>
          <w:p>
            <w:pPr>
              <w:spacing w:after="0"/>
              <w:rPr>
                <w:sz w:val="16"/>
                <w:szCs w:val="16"/>
                <w:color w:val="auto"/>
              </w:rPr>
            </w:pPr>
          </w:p>
        </w:tc>
      </w:tr>
      <w:tr>
        <w:trPr>
          <w:trHeight w:val="230"/>
        </w:trPr>
        <w:tc>
          <w:tcPr>
            <w:tcW w:w="14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r>
      <w:tr>
        <w:trPr>
          <w:trHeight w:val="230"/>
        </w:trPr>
        <w:tc>
          <w:tcPr>
            <w:tcW w:w="14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24,500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r>
      <w:tr>
        <w:trPr>
          <w:trHeight w:val="223"/>
        </w:trPr>
        <w:tc>
          <w:tcPr>
            <w:tcW w:w="136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020" w:space="720"/>
            <w:col w:w="6500"/>
          </w:cols>
          <w:pgMar w:left="320" w:top="796" w:right="339" w:bottom="1440" w:gutter="0" w:footer="0" w:header="0"/>
          <w:type w:val="continuous"/>
        </w:sectPr>
      </w:pPr>
    </w:p>
    <w:p>
      <w:pPr>
        <w:spacing w:after="0" w:line="2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2020,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which changes the criteria under which credit losses on financial instruments (such as the Company’s finance receivables) are measured. ASU 2016-3 introduces a new credit reserving model known as the Current Expected Credit Loss (“CECL”) model, which replaces the incurred loss impairment methodology previously used under U.S. GAAP with a methodology that records currently the expected lifetime credit losses on financial instruments. To establish such lifetime credit loss estimates, consideration of a broadened range of reasonable and supportable information to establish credit loss estimates is required. ASU 2016-13 was initially scheduled to become effective for interim and annual reporting periods beginning after December 15, 2019, however on October 16, 2019, the FASB changed the effective date for smaller reporting companies to interim and annual reporting periods beginning after December 15, 2022, with early adoption permitted.</w:t>
      </w:r>
    </w:p>
    <w:p>
      <w:pPr>
        <w:spacing w:after="0" w:line="19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Effective January 1, 2020, the Company adopted the CECL model.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 and not a current period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1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Results for the first quarter include the estimated potential impact on credit performance resulting from the pandemic. We recorded a $3.6 million charge to the provision for credit losses for the legacy portfolio accounted for under CECL and a $10.4 million mark down to the carrying value of the finance receivables measured at fair value.</w:t>
      </w:r>
    </w:p>
    <w:p>
      <w:pPr>
        <w:spacing w:after="0" w:line="1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pandemic itself, if sufficient numbers of people were to be afflicted, could cause obligors under our automobile contracts to be unable to pay their contractual obligations. As the future course of the COVID-19 pandemic is as yet unknown, its direct effect on future obligor payments is likewise uncertain, but we believe it may be material.</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mandatory shutdown of large portions of the United States economy pursuant to emergency restrictions has impaired and will impair the ability of obligors under our automobile contracts to pay their contractual obligations. The extent to which that ability will be impaired, and the extent to which public ameliorative measures such as stimulus payments and enhanced unemployment benefits may restore such ability, cannot be estimated, but we believe it may be material.</w:t>
      </w:r>
    </w:p>
    <w:p>
      <w:pPr>
        <w:spacing w:after="0" w:line="18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significant changes in any of those inputs, which in turn may a significant impact on our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Finance receivables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8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772,851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895,566</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Unearned acquisition fees and originations costs</w:t>
            </w:r>
          </w:p>
        </w:tc>
        <w:tc>
          <w:tcPr>
            <w:tcW w:w="2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1,625</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774,476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897,530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2020 and December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6"/>
          </w:tcPr>
          <w:p>
            <w:pPr>
              <w:ind w:left="8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Delinquency Status</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635,961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698,870</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76,455</w:t>
            </w: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107,951</w:t>
            </w:r>
          </w:p>
        </w:tc>
        <w:tc>
          <w:tcPr>
            <w:tcW w:w="10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5060" w:type="dxa"/>
            <w:vAlign w:val="bottom"/>
          </w:tcPr>
          <w:p>
            <w:pPr>
              <w:ind w:left="20"/>
              <w:spacing w:after="0"/>
              <w:rPr>
                <w:sz w:val="20"/>
                <w:szCs w:val="20"/>
                <w:color w:val="auto"/>
              </w:rPr>
            </w:pPr>
            <w:r>
              <w:rPr>
                <w:rFonts w:ascii="Arial" w:cs="Arial" w:eastAsia="Arial" w:hAnsi="Arial"/>
                <w:sz w:val="18"/>
                <w:szCs w:val="18"/>
                <w:color w:val="auto"/>
              </w:rPr>
              <w:t>- 90 days</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40,089</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57,395</w:t>
            </w:r>
          </w:p>
        </w:tc>
        <w:tc>
          <w:tcPr>
            <w:tcW w:w="100" w:type="dxa"/>
            <w:vAlign w:val="bottom"/>
          </w:tcPr>
          <w:p>
            <w:pPr>
              <w:spacing w:after="0"/>
              <w:rPr>
                <w:sz w:val="18"/>
                <w:szCs w:val="18"/>
                <w:color w:val="auto"/>
              </w:rPr>
            </w:pPr>
          </w:p>
        </w:tc>
      </w:tr>
      <w:tr>
        <w:trPr>
          <w:trHeight w:val="229"/>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20,346</w:t>
            </w: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31,350</w:t>
            </w:r>
          </w:p>
        </w:tc>
        <w:tc>
          <w:tcPr>
            <w:tcW w:w="10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772,851</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895,566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Finance receivables totaling $20.3 million and $31.4 million at March 31, 2020 and December 31, 2019, respectively, including all receivables greater than 90 days delinquent, have been placed on non-accrual status as a result of their delinquency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The data reflects the impact on vintage pools of past events as well as more recent events reflecting current conditions.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impact of such factors into our estimates.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amortized cost basis of our finance receivables by annual vintage as of March 31, 2020 and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80" w:type="dxa"/>
            <w:vAlign w:val="bottom"/>
          </w:tcPr>
          <w:p>
            <w:pPr>
              <w:spacing w:after="0"/>
              <w:rPr>
                <w:sz w:val="19"/>
                <w:szCs w:val="19"/>
                <w:color w:val="auto"/>
              </w:rPr>
            </w:pPr>
          </w:p>
        </w:tc>
        <w:tc>
          <w:tcPr>
            <w:tcW w:w="3700" w:type="dxa"/>
            <w:vAlign w:val="bottom"/>
            <w:gridSpan w:val="3"/>
            <w:vMerge w:val="restart"/>
          </w:tcPr>
          <w:p>
            <w:pPr>
              <w:jc w:val="right"/>
              <w:ind w:right="2127"/>
              <w:spacing w:after="0"/>
              <w:rPr>
                <w:sz w:val="20"/>
                <w:szCs w:val="20"/>
                <w:color w:val="auto"/>
              </w:rPr>
            </w:pPr>
            <w:r>
              <w:rPr>
                <w:rFonts w:ascii="Arial" w:cs="Arial" w:eastAsia="Arial" w:hAnsi="Arial"/>
                <w:sz w:val="18"/>
                <w:szCs w:val="18"/>
                <w:color w:val="auto"/>
                <w:w w:val="90"/>
              </w:rPr>
              <w:t>Annual Vintage Pool</w:t>
            </w:r>
          </w:p>
        </w:tc>
        <w:tc>
          <w:tcPr>
            <w:tcW w:w="2960" w:type="dxa"/>
            <w:vAlign w:val="bottom"/>
            <w:gridSpan w:val="5"/>
          </w:tcPr>
          <w:p>
            <w:pPr>
              <w:ind w:left="8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370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shd w:val="clear" w:color="auto" w:fill="EEEEEE"/>
          </w:tcPr>
          <w:p>
            <w:pPr>
              <w:jc w:val="right"/>
              <w:ind w:right="1330"/>
              <w:spacing w:after="0"/>
              <w:rPr>
                <w:sz w:val="20"/>
                <w:szCs w:val="20"/>
                <w:color w:val="auto"/>
              </w:rPr>
            </w:pPr>
            <w:r>
              <w:rPr>
                <w:rFonts w:ascii="Arial" w:cs="Arial" w:eastAsia="Arial" w:hAnsi="Arial"/>
                <w:sz w:val="18"/>
                <w:szCs w:val="18"/>
                <w:color w:val="auto"/>
                <w:w w:val="84"/>
              </w:rPr>
              <w:t>2012</w:t>
            </w:r>
          </w:p>
        </w:tc>
        <w:tc>
          <w:tcPr>
            <w:tcW w:w="3700" w:type="dxa"/>
            <w:vAlign w:val="bottom"/>
            <w:gridSpan w:val="3"/>
            <w:shd w:val="clear" w:color="auto" w:fill="EEEEEE"/>
          </w:tcPr>
          <w:p>
            <w:pPr>
              <w:jc w:val="right"/>
              <w:ind w:right="4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1,816</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1780" w:type="dxa"/>
            <w:vAlign w:val="bottom"/>
          </w:tcPr>
          <w:p>
            <w:pPr>
              <w:jc w:val="right"/>
              <w:ind w:right="1330"/>
              <w:spacing w:after="0"/>
              <w:rPr>
                <w:sz w:val="20"/>
                <w:szCs w:val="20"/>
                <w:color w:val="auto"/>
              </w:rPr>
            </w:pPr>
            <w:r>
              <w:rPr>
                <w:rFonts w:ascii="Arial" w:cs="Arial" w:eastAsia="Arial" w:hAnsi="Arial"/>
                <w:sz w:val="18"/>
                <w:szCs w:val="18"/>
                <w:color w:val="auto"/>
                <w:w w:val="84"/>
              </w:rPr>
              <w:t>2013</w:t>
            </w: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11,643</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216"/>
        </w:trPr>
        <w:tc>
          <w:tcPr>
            <w:tcW w:w="1780" w:type="dxa"/>
            <w:vAlign w:val="bottom"/>
            <w:shd w:val="clear" w:color="auto" w:fill="EEEEEE"/>
          </w:tcPr>
          <w:p>
            <w:pPr>
              <w:jc w:val="right"/>
              <w:ind w:right="1330"/>
              <w:spacing w:after="0"/>
              <w:rPr>
                <w:sz w:val="20"/>
                <w:szCs w:val="20"/>
                <w:color w:val="auto"/>
              </w:rPr>
            </w:pPr>
            <w:r>
              <w:rPr>
                <w:rFonts w:ascii="Arial" w:cs="Arial" w:eastAsia="Arial" w:hAnsi="Arial"/>
                <w:sz w:val="18"/>
                <w:szCs w:val="18"/>
                <w:color w:val="auto"/>
                <w:w w:val="84"/>
              </w:rPr>
              <w:t>2014</w:t>
            </w:r>
          </w:p>
        </w:tc>
        <w:tc>
          <w:tcPr>
            <w:tcW w:w="15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48,794</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61,290</w:t>
            </w:r>
          </w:p>
        </w:tc>
        <w:tc>
          <w:tcPr>
            <w:tcW w:w="0" w:type="dxa"/>
            <w:vAlign w:val="bottom"/>
          </w:tcPr>
          <w:p>
            <w:pPr>
              <w:spacing w:after="0"/>
              <w:rPr>
                <w:sz w:val="1"/>
                <w:szCs w:val="1"/>
                <w:color w:val="auto"/>
              </w:rPr>
            </w:pPr>
          </w:p>
        </w:tc>
      </w:tr>
      <w:tr>
        <w:trPr>
          <w:trHeight w:val="216"/>
        </w:trPr>
        <w:tc>
          <w:tcPr>
            <w:tcW w:w="1780" w:type="dxa"/>
            <w:vAlign w:val="bottom"/>
          </w:tcPr>
          <w:p>
            <w:pPr>
              <w:jc w:val="right"/>
              <w:ind w:right="1330"/>
              <w:spacing w:after="0"/>
              <w:rPr>
                <w:sz w:val="20"/>
                <w:szCs w:val="20"/>
                <w:color w:val="auto"/>
              </w:rPr>
            </w:pPr>
            <w:r>
              <w:rPr>
                <w:rFonts w:ascii="Arial" w:cs="Arial" w:eastAsia="Arial" w:hAnsi="Arial"/>
                <w:sz w:val="18"/>
                <w:szCs w:val="18"/>
                <w:color w:val="auto"/>
                <w:w w:val="84"/>
              </w:rPr>
              <w:t>2015</w:t>
            </w: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136,679</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162,242</w:t>
            </w:r>
          </w:p>
        </w:tc>
        <w:tc>
          <w:tcPr>
            <w:tcW w:w="0" w:type="dxa"/>
            <w:vAlign w:val="bottom"/>
          </w:tcPr>
          <w:p>
            <w:pPr>
              <w:spacing w:after="0"/>
              <w:rPr>
                <w:sz w:val="1"/>
                <w:szCs w:val="1"/>
                <w:color w:val="auto"/>
              </w:rPr>
            </w:pPr>
          </w:p>
        </w:tc>
      </w:tr>
      <w:tr>
        <w:trPr>
          <w:trHeight w:val="216"/>
        </w:trPr>
        <w:tc>
          <w:tcPr>
            <w:tcW w:w="1780" w:type="dxa"/>
            <w:vAlign w:val="bottom"/>
            <w:shd w:val="clear" w:color="auto" w:fill="EEEEEE"/>
          </w:tcPr>
          <w:p>
            <w:pPr>
              <w:jc w:val="right"/>
              <w:ind w:right="1330"/>
              <w:spacing w:after="0"/>
              <w:rPr>
                <w:sz w:val="20"/>
                <w:szCs w:val="20"/>
                <w:color w:val="auto"/>
              </w:rPr>
            </w:pPr>
            <w:r>
              <w:rPr>
                <w:rFonts w:ascii="Arial" w:cs="Arial" w:eastAsia="Arial" w:hAnsi="Arial"/>
                <w:sz w:val="18"/>
                <w:szCs w:val="18"/>
                <w:color w:val="auto"/>
                <w:w w:val="84"/>
              </w:rPr>
              <w:t>2016</w:t>
            </w:r>
          </w:p>
        </w:tc>
        <w:tc>
          <w:tcPr>
            <w:tcW w:w="15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253,339</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292,360</w:t>
            </w:r>
          </w:p>
        </w:tc>
        <w:tc>
          <w:tcPr>
            <w:tcW w:w="0" w:type="dxa"/>
            <w:vAlign w:val="bottom"/>
          </w:tcPr>
          <w:p>
            <w:pPr>
              <w:spacing w:after="0"/>
              <w:rPr>
                <w:sz w:val="1"/>
                <w:szCs w:val="1"/>
                <w:color w:val="auto"/>
              </w:rPr>
            </w:pPr>
          </w:p>
        </w:tc>
      </w:tr>
      <w:tr>
        <w:trPr>
          <w:trHeight w:val="230"/>
        </w:trPr>
        <w:tc>
          <w:tcPr>
            <w:tcW w:w="1780" w:type="dxa"/>
            <w:vAlign w:val="bottom"/>
          </w:tcPr>
          <w:p>
            <w:pPr>
              <w:jc w:val="right"/>
              <w:ind w:right="1330"/>
              <w:spacing w:after="0"/>
              <w:rPr>
                <w:sz w:val="20"/>
                <w:szCs w:val="20"/>
                <w:color w:val="auto"/>
              </w:rPr>
            </w:pPr>
            <w:r>
              <w:rPr>
                <w:rFonts w:ascii="Arial" w:cs="Arial" w:eastAsia="Arial" w:hAnsi="Arial"/>
                <w:sz w:val="18"/>
                <w:szCs w:val="18"/>
                <w:color w:val="auto"/>
                <w:w w:val="84"/>
              </w:rPr>
              <w:t>2017</w:t>
            </w: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320,580</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361,753</w:t>
            </w:r>
          </w:p>
        </w:tc>
        <w:tc>
          <w:tcPr>
            <w:tcW w:w="0" w:type="dxa"/>
            <w:vAlign w:val="bottom"/>
          </w:tcPr>
          <w:p>
            <w:pPr>
              <w:spacing w:after="0"/>
              <w:rPr>
                <w:sz w:val="1"/>
                <w:szCs w:val="1"/>
                <w:color w:val="auto"/>
              </w:rPr>
            </w:pPr>
          </w:p>
        </w:tc>
      </w:tr>
      <w:tr>
        <w:trPr>
          <w:trHeight w:val="223"/>
        </w:trPr>
        <w:tc>
          <w:tcPr>
            <w:tcW w:w="178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20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772,851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895,566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At the adoption of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For the three-month period ended March 31, 2020, the Company made an additional provision for credit losses on finance receivables of $3.6 million in consideration of the uncertainty associated with the pandemic.</w:t>
      </w:r>
    </w:p>
    <w:p>
      <w:pPr>
        <w:spacing w:after="0" w:line="1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March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11,640</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67,376</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Early adoption of CECL</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127,000</w:t>
            </w:r>
          </w:p>
        </w:tc>
        <w:tc>
          <w:tcPr>
            <w:tcW w:w="5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 on finance receivables</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3,613</w:t>
            </w: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23,956</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Charge-offs</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(34,214)</w:t>
            </w:r>
          </w:p>
        </w:tc>
        <w:tc>
          <w:tcPr>
            <w:tcW w:w="5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(54,344)</w:t>
            </w:r>
          </w:p>
        </w:tc>
      </w:tr>
      <w:tr>
        <w:trPr>
          <w:trHeight w:val="229"/>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3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6,034</w:t>
            </w:r>
          </w:p>
        </w:tc>
        <w:tc>
          <w:tcPr>
            <w:tcW w:w="5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11,208</w:t>
            </w:r>
          </w:p>
        </w:tc>
        <w:tc>
          <w:tcPr>
            <w:tcW w:w="10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114,073</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35,127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28,933</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2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(27,965)</w:t>
            </w: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(21,389)</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7,162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7,544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587"/>
              <w:spacing w:after="0"/>
              <w:rPr>
                <w:sz w:val="20"/>
                <w:szCs w:val="20"/>
                <w:color w:val="auto"/>
              </w:rPr>
            </w:pPr>
            <w:r>
              <w:rPr>
                <w:rFonts w:ascii="Arial" w:cs="Arial" w:eastAsia="Arial" w:hAnsi="Arial"/>
                <w:sz w:val="18"/>
                <w:szCs w:val="18"/>
                <w:b w:val="1"/>
                <w:bCs w:val="1"/>
                <w:color w:val="auto"/>
                <w:w w:val="95"/>
              </w:rPr>
              <w:t>Final</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Receivables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567"/>
              <w:spacing w:after="0"/>
              <w:rPr>
                <w:sz w:val="20"/>
                <w:szCs w:val="20"/>
                <w:color w:val="auto"/>
              </w:rPr>
            </w:pPr>
            <w:r>
              <w:rPr>
                <w:rFonts w:ascii="Arial" w:cs="Arial" w:eastAsia="Arial" w:hAnsi="Arial"/>
                <w:sz w:val="18"/>
                <w:szCs w:val="18"/>
                <w:b w:val="1"/>
                <w:bCs w:val="1"/>
                <w:color w:val="auto"/>
                <w:w w:val="85"/>
              </w:rPr>
              <w:t>Scheduled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Pledged at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Principal at</w:t>
            </w:r>
          </w:p>
        </w:tc>
        <w:tc>
          <w:tcPr>
            <w:tcW w:w="14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Rate at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587"/>
              <w:spacing w:after="0"/>
              <w:rPr>
                <w:sz w:val="20"/>
                <w:szCs w:val="20"/>
                <w:color w:val="auto"/>
              </w:rPr>
            </w:pPr>
            <w:r>
              <w:rPr>
                <w:rFonts w:ascii="Arial" w:cs="Arial" w:eastAsia="Arial" w:hAnsi="Arial"/>
                <w:sz w:val="18"/>
                <w:szCs w:val="18"/>
                <w:b w:val="1"/>
                <w:bCs w:val="1"/>
                <w:color w:val="auto"/>
                <w:w w:val="90"/>
              </w:rPr>
              <w:t>Payment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9"/>
                <w:szCs w:val="19"/>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1600" w:type="dxa"/>
            <w:vAlign w:val="bottom"/>
            <w:gridSpan w:val="3"/>
          </w:tcPr>
          <w:p>
            <w:pPr>
              <w:ind w:left="340"/>
              <w:spacing w:after="0"/>
              <w:rPr>
                <w:sz w:val="20"/>
                <w:szCs w:val="20"/>
                <w:color w:val="auto"/>
              </w:rPr>
            </w:pPr>
            <w:r>
              <w:rPr>
                <w:rFonts w:ascii="Arial" w:cs="Arial" w:eastAsia="Arial" w:hAnsi="Arial"/>
                <w:sz w:val="18"/>
                <w:szCs w:val="18"/>
                <w:b w:val="1"/>
                <w:bCs w:val="1"/>
                <w:color w:val="auto"/>
              </w:rPr>
              <w:t>Series</w:t>
            </w:r>
          </w:p>
        </w:tc>
        <w:tc>
          <w:tcPr>
            <w:tcW w:w="1660" w:type="dxa"/>
            <w:vAlign w:val="bottom"/>
            <w:gridSpan w:val="2"/>
          </w:tcPr>
          <w:p>
            <w:pPr>
              <w:jc w:val="center"/>
              <w:ind w:right="567"/>
              <w:spacing w:after="0"/>
              <w:rPr>
                <w:sz w:val="20"/>
                <w:szCs w:val="20"/>
                <w:color w:val="auto"/>
              </w:rPr>
            </w:pPr>
            <w:r>
              <w:rPr>
                <w:rFonts w:ascii="Arial" w:cs="Arial" w:eastAsia="Arial" w:hAnsi="Arial"/>
                <w:sz w:val="18"/>
                <w:szCs w:val="18"/>
                <w:b w:val="1"/>
                <w:bCs w:val="1"/>
                <w:color w:val="auto"/>
                <w:w w:val="93"/>
              </w:rPr>
              <w:t>Date (1)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2020 (2)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4"/>
              </w:rPr>
              <w:t>(Dollars in thousands)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2014-C</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w w:val="95"/>
              </w:rPr>
              <w:t>December 2021</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273,000</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19,758</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2014-D</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rPr>
              <w:t>March 2022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20,403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267,500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19,476</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23,755</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2015-A</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June 2022</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23,427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245,000</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21,623</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26,713</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2015-B</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w w:val="91"/>
              </w:rPr>
              <w:t>September 2022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30,831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31,032</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36,338</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2015-C</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w w:val="95"/>
              </w:rPr>
              <w:t>December 2022</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45,935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46,354</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53,579</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2016-A</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rPr>
              <w:t>March 2023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60,013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329,460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62,489</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71,599</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2016-B</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June 2023</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73,496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332,690</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72,256</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82,667</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2016-C</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w w:val="91"/>
              </w:rPr>
              <w:t>September 2023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75,038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318,500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73,378</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83,696</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2016-D</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April 2024</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59,088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206,325</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56,965</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65,021</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2017-A</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rPr>
              <w:t>April 2024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64,901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206,320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62,536</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71,450</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2017-B</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w w:val="95"/>
              </w:rPr>
              <w:t>December 2023</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79,576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225,170</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66,160</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76,201</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2017-C</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w w:val="91"/>
              </w:rPr>
              <w:t>September 2024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82,008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224,825</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70,376</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80,315</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2017-D</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June 2024</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83,976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196,300</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74,019</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83,801</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2018-A</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rPr>
              <w:t>March 2025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90,570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190,000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80,840</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91,258</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2018-B</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w w:val="95"/>
              </w:rPr>
              <w:t>December 2024</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105,665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201,823</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98,424</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111,188</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2018-C</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w w:val="91"/>
              </w:rPr>
              <w:t>September 2025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124,843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230,275</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114,360</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130,064</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2018-D</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June 2025</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146,617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233,730</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131,630</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149,470</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2019-A</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rPr>
              <w:t>March 2026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181,893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254,400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166,520</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186,900</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2019-B</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June 2026</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175,677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228,275</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166,846</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184,308</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CPS 2019-C</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w w:val="91"/>
              </w:rPr>
              <w:t>September 2026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204,061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243,513</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196,387</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216,650</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1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2019-D</w:t>
            </w:r>
          </w:p>
        </w:tc>
        <w:tc>
          <w:tcPr>
            <w:tcW w:w="16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w w:val="95"/>
              </w:rPr>
              <w:t>December 2026</w:t>
            </w:r>
          </w:p>
        </w:tc>
        <w:tc>
          <w:tcPr>
            <w:tcW w:w="1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252,186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274,313</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243,816</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265,035</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CPS 2020-A</w:t>
            </w:r>
          </w:p>
        </w:tc>
        <w:tc>
          <w:tcPr>
            <w:tcW w:w="1660" w:type="dxa"/>
            <w:vAlign w:val="bottom"/>
            <w:gridSpan w:val="2"/>
          </w:tcPr>
          <w:p>
            <w:pPr>
              <w:jc w:val="right"/>
              <w:ind w:right="347"/>
              <w:spacing w:after="0"/>
              <w:rPr>
                <w:sz w:val="20"/>
                <w:szCs w:val="20"/>
                <w:color w:val="auto"/>
              </w:rPr>
            </w:pPr>
            <w:r>
              <w:rPr>
                <w:rFonts w:ascii="Arial" w:cs="Arial" w:eastAsia="Arial" w:hAnsi="Arial"/>
                <w:sz w:val="18"/>
                <w:szCs w:val="18"/>
                <w:color w:val="auto"/>
              </w:rPr>
              <w:t>March 2027</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248,762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260,000</w:t>
            </w:r>
          </w:p>
        </w:tc>
        <w:tc>
          <w:tcPr>
            <w:tcW w:w="1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248,223</w:t>
            </w:r>
          </w:p>
        </w:tc>
        <w:tc>
          <w:tcPr>
            <w:tcW w:w="140" w:type="dxa"/>
            <w:vAlign w:val="bottom"/>
          </w:tcPr>
          <w:p>
            <w:pPr>
              <w:spacing w:after="0"/>
              <w:rPr>
                <w:sz w:val="19"/>
                <w:szCs w:val="19"/>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2,228,966</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5,491,419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2,103,710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2,109,766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8"/>
                <w:szCs w:val="18"/>
                <w:color w:val="auto"/>
                <w:w w:val="92"/>
              </w:rPr>
              <w:t>_________________</w:t>
            </w: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0" w:type="dxa"/>
            <w:vAlign w:val="bottom"/>
            <w:gridSpan w:val="3"/>
            <w:vMerge w:val="continue"/>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$609.0 million in 2020, $627.2 million in 2021, $428.3 million in 2022, $308.8 million in 2023, $69.9 million in 2024, $48.6 million in 2025.</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Debt issuance costs of $12.1 million and $12.0 million as of March 31, 2020 and December 31, 2019, respectively, have been excluded from the table above. These debt issuance costs are presented as a direct deduction to the carrying amount of the securitization trust debt on our Unaudited Condensed Consolidated Balance Sheets.</w:t>
      </w:r>
    </w:p>
    <w:p>
      <w:pPr>
        <w:spacing w:after="0" w:line="18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2020, we were in compliance with all such covenants.</w:t>
      </w:r>
    </w:p>
    <w:p>
      <w:pPr>
        <w:spacing w:after="0" w:line="16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2020, restricted cash under the various agreements totaled approximately $137.5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and amounts of our other debt outstanding at March 31, 2020 and December 31, 2019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Amount Outstanding at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80" w:type="dxa"/>
            <w:vAlign w:val="bottom"/>
            <w:gridSpan w:val="2"/>
            <w:vMerge w:val="restart"/>
          </w:tcPr>
          <w:p>
            <w:pPr>
              <w:ind w:left="1160"/>
              <w:spacing w:after="0"/>
              <w:rPr>
                <w:sz w:val="20"/>
                <w:szCs w:val="20"/>
                <w:color w:val="auto"/>
              </w:rPr>
            </w:pPr>
            <w:r>
              <w:rPr>
                <w:rFonts w:ascii="Arial" w:cs="Arial" w:eastAsia="Arial" w:hAnsi="Arial"/>
                <w:sz w:val="18"/>
                <w:szCs w:val="18"/>
                <w:color w:val="auto"/>
              </w:rPr>
              <w:t>Description</w:t>
            </w:r>
          </w:p>
        </w:tc>
        <w:tc>
          <w:tcPr>
            <w:tcW w:w="22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Interest Rate</w:t>
            </w:r>
          </w:p>
        </w:tc>
        <w:tc>
          <w:tcPr>
            <w:tcW w:w="25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6"/>
              </w:rPr>
              <w:t>Maturity</w:t>
            </w:r>
          </w:p>
        </w:tc>
        <w:tc>
          <w:tcPr>
            <w:tcW w:w="200" w:type="dxa"/>
            <w:vAlign w:val="bottom"/>
          </w:tcPr>
          <w:p>
            <w:pPr>
              <w:spacing w:after="0"/>
              <w:rPr>
                <w:sz w:val="19"/>
                <w:szCs w:val="19"/>
                <w:color w:val="auto"/>
              </w:rPr>
            </w:pPr>
          </w:p>
        </w:tc>
        <w:tc>
          <w:tcPr>
            <w:tcW w:w="29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1"/>
        </w:trPr>
        <w:tc>
          <w:tcPr>
            <w:tcW w:w="3380" w:type="dxa"/>
            <w:vAlign w:val="bottom"/>
            <w:gridSpan w:val="2"/>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Warehouse lines of credit</w:t>
            </w:r>
          </w:p>
        </w:tc>
        <w:tc>
          <w:tcPr>
            <w:tcW w:w="22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5.50% over one month</w:t>
            </w:r>
          </w:p>
        </w:tc>
        <w:tc>
          <w:tcPr>
            <w:tcW w:w="25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February 2021</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ind w:right="160"/>
              <w:spacing w:after="0" w:line="201" w:lineRule="exact"/>
              <w:rPr>
                <w:sz w:val="20"/>
                <w:szCs w:val="20"/>
                <w:color w:val="auto"/>
              </w:rPr>
            </w:pPr>
            <w:r>
              <w:rPr>
                <w:rFonts w:ascii="Arial" w:cs="Arial" w:eastAsia="Arial" w:hAnsi="Arial"/>
                <w:sz w:val="18"/>
                <w:szCs w:val="18"/>
                <w:color w:val="auto"/>
              </w:rPr>
              <w:t>50,776</w:t>
            </w:r>
          </w:p>
        </w:tc>
        <w:tc>
          <w:tcPr>
            <w:tcW w:w="300" w:type="dxa"/>
            <w:vAlign w:val="bottom"/>
            <w:gridSpan w:val="2"/>
            <w:shd w:val="clear" w:color="auto" w:fill="EEEEEE"/>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40,558</w:t>
            </w:r>
          </w:p>
        </w:tc>
        <w:tc>
          <w:tcPr>
            <w:tcW w:w="0" w:type="dxa"/>
            <w:vAlign w:val="bottom"/>
          </w:tcPr>
          <w:p>
            <w:pPr>
              <w:spacing w:after="0"/>
              <w:rPr>
                <w:sz w:val="1"/>
                <w:szCs w:val="1"/>
                <w:color w:val="auto"/>
              </w:rPr>
            </w:pPr>
          </w:p>
        </w:tc>
      </w:tr>
      <w:tr>
        <w:trPr>
          <w:trHeight w:val="230"/>
        </w:trPr>
        <w:tc>
          <w:tcPr>
            <w:tcW w:w="3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6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Libor (Minimum 6.50%)</w:t>
            </w:r>
          </w:p>
        </w:tc>
        <w:tc>
          <w:tcPr>
            <w:tcW w:w="22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3.00% over one month</w:t>
            </w:r>
          </w:p>
        </w:tc>
        <w:tc>
          <w:tcPr>
            <w:tcW w:w="25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8"/>
              </w:rPr>
              <w:t>September 2020</w:t>
            </w: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6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Libor (Minimum 3.75%)</w:t>
            </w:r>
          </w:p>
        </w:tc>
        <w:tc>
          <w:tcPr>
            <w:tcW w:w="22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53,411</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96,225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4.00% over a commercial</w:t>
            </w:r>
          </w:p>
        </w:tc>
        <w:tc>
          <w:tcPr>
            <w:tcW w:w="25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8"/>
              </w:rPr>
              <w:t>December 2021</w:t>
            </w: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paper rate (Minimum</w:t>
            </w:r>
          </w:p>
        </w:tc>
        <w:tc>
          <w:tcPr>
            <w:tcW w:w="2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2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EEEEEE"/>
          </w:tcPr>
          <w:p>
            <w:pPr>
              <w:spacing w:after="0"/>
              <w:rPr>
                <w:sz w:val="20"/>
                <w:szCs w:val="20"/>
                <w:color w:val="auto"/>
              </w:rPr>
            </w:pPr>
          </w:p>
        </w:tc>
        <w:tc>
          <w:tcPr>
            <w:tcW w:w="22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39,434</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2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EEEEEE"/>
          </w:tcPr>
          <w:p>
            <w:pPr>
              <w:spacing w:after="0"/>
              <w:rPr>
                <w:sz w:val="18"/>
                <w:szCs w:val="18"/>
                <w:color w:val="auto"/>
              </w:rPr>
            </w:pP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January 2026</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38,342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Subordinated renewable notes</w:t>
            </w:r>
          </w:p>
        </w:tc>
        <w:tc>
          <w:tcPr>
            <w:tcW w:w="22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9"/>
              </w:rPr>
              <w:t>Weighted average rate of</w:t>
            </w:r>
          </w:p>
        </w:tc>
        <w:tc>
          <w:tcPr>
            <w:tcW w:w="25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Weighted average maturity</w:t>
            </w:r>
          </w:p>
        </w:tc>
        <w:tc>
          <w:tcPr>
            <w:tcW w:w="2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160"/>
              <w:spacing w:after="0" w:line="201" w:lineRule="exact"/>
              <w:rPr>
                <w:sz w:val="20"/>
                <w:szCs w:val="20"/>
                <w:color w:val="auto"/>
              </w:rPr>
            </w:pPr>
            <w:r>
              <w:rPr>
                <w:rFonts w:ascii="Arial" w:cs="Arial" w:eastAsia="Arial" w:hAnsi="Arial"/>
                <w:sz w:val="18"/>
                <w:szCs w:val="18"/>
                <w:color w:val="auto"/>
              </w:rPr>
              <w:t>18,322</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16"/>
        </w:trPr>
        <w:tc>
          <w:tcPr>
            <w:tcW w:w="3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9.92% and 9.75% at March</w:t>
            </w: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3"/>
              </w:rPr>
              <w:t>of July 2022 and April</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31, 2020 and December 31,</w:t>
            </w: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2022 at March 31, 2020</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2019, respectively</w:t>
            </w: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and December 31, 2019,</w:t>
            </w: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respectively</w:t>
            </w:r>
          </w:p>
        </w:tc>
        <w:tc>
          <w:tcPr>
            <w:tcW w:w="200" w:type="dxa"/>
            <w:vAlign w:val="bottom"/>
            <w:tcBorders>
              <w:bottom w:val="single" w:sz="8" w:color="auto"/>
            </w:tcBorders>
            <w:shd w:val="clear" w:color="auto" w:fill="EEEEEE"/>
          </w:tcPr>
          <w:p>
            <w:pPr>
              <w:spacing w:after="0"/>
              <w:rPr>
                <w:sz w:val="20"/>
                <w:szCs w:val="20"/>
                <w:color w:val="auto"/>
              </w:rPr>
            </w:pPr>
          </w:p>
        </w:tc>
        <w:tc>
          <w:tcPr>
            <w:tcW w:w="1140" w:type="dxa"/>
            <w:vAlign w:val="bottom"/>
            <w:tcBorders>
              <w:bottom w:val="single" w:sz="8" w:color="auto"/>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 w:type="dxa"/>
            <w:vAlign w:val="bottom"/>
            <w:tcBorders>
              <w:bottom w:val="single" w:sz="8" w:color="auto"/>
            </w:tcBorders>
            <w:shd w:val="clear" w:color="auto" w:fill="EEEEEE"/>
          </w:tcPr>
          <w:p>
            <w:pPr>
              <w:spacing w:after="0"/>
              <w:rPr>
                <w:sz w:val="20"/>
                <w:szCs w:val="20"/>
                <w:color w:val="auto"/>
              </w:rPr>
            </w:pPr>
          </w:p>
        </w:tc>
        <w:tc>
          <w:tcPr>
            <w:tcW w:w="1200" w:type="dxa"/>
            <w:vAlign w:val="bottom"/>
            <w:tcBorders>
              <w:bottom w:val="single" w:sz="8" w:color="auto"/>
            </w:tcBorders>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202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226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200,285</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194,317</w:t>
            </w:r>
          </w:p>
        </w:tc>
        <w:tc>
          <w:tcPr>
            <w:tcW w:w="0" w:type="dxa"/>
            <w:vAlign w:val="bottom"/>
          </w:tcPr>
          <w:p>
            <w:pPr>
              <w:spacing w:after="0"/>
              <w:rPr>
                <w:sz w:val="1"/>
                <w:szCs w:val="1"/>
                <w:color w:val="auto"/>
              </w:rPr>
            </w:pPr>
          </w:p>
        </w:tc>
      </w:tr>
      <w:tr>
        <w:trPr>
          <w:trHeight w:val="20"/>
        </w:trPr>
        <w:tc>
          <w:tcPr>
            <w:tcW w:w="31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2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Unamortized debt issuance costs of $429,000 and $522,000 as of March 31, 2020 and December 31, 2019, respectively, have been excluded from the amount reported above for residual interest financing. Similarly, unamortized debt issuance costs of $1.6 million and $2.0 million as of March 31, 2020 and December 31, 2019,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i w:val="1"/>
                <w:iCs w:val="1"/>
                <w:color w:val="auto"/>
              </w:rPr>
              <w:t>Interest Income and Interest Expense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280" w:type="dxa"/>
            <w:vAlign w:val="bottom"/>
          </w:tcPr>
          <w:p>
            <w:pPr>
              <w:ind w:left="360"/>
              <w:spacing w:after="0"/>
              <w:rPr>
                <w:sz w:val="20"/>
                <w:szCs w:val="20"/>
                <w:color w:val="auto"/>
              </w:rPr>
            </w:pPr>
            <w:r>
              <w:rPr>
                <w:rFonts w:ascii="Arial" w:cs="Arial" w:eastAsia="Arial" w:hAnsi="Arial"/>
                <w:sz w:val="18"/>
                <w:szCs w:val="18"/>
                <w:color w:val="auto"/>
                <w:w w:val="96"/>
              </w:rPr>
              <w:t>The following table presents the components of interest income: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Borders>
              <w:bottom w:val="single" w:sz="8" w:color="auto"/>
            </w:tcBorders>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37,807</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62,290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40,806</w:t>
            </w:r>
          </w:p>
        </w:tc>
        <w:tc>
          <w:tcPr>
            <w:tcW w:w="5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22,815</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(10,350)</w:t>
            </w:r>
          </w:p>
        </w:tc>
        <w:tc>
          <w:tcPr>
            <w:tcW w:w="5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523</w:t>
            </w:r>
          </w:p>
        </w:tc>
        <w:tc>
          <w:tcPr>
            <w:tcW w:w="5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68,786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85,845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components of interest expense:</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Subordinated renewable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8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28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Borders>
              <w:top w:val="single" w:sz="8" w:color="auto"/>
              <w:bottom w:val="single" w:sz="8" w:color="auto"/>
            </w:tcBorders>
          </w:tcPr>
          <w:p>
            <w:pPr>
              <w:spacing w:after="0"/>
              <w:rPr>
                <w:sz w:val="19"/>
                <w:szCs w:val="19"/>
                <w:color w:val="auto"/>
              </w:rPr>
            </w:pPr>
          </w:p>
        </w:tc>
      </w:tr>
      <w:tr>
        <w:trPr>
          <w:trHeight w:val="195"/>
        </w:trPr>
        <w:tc>
          <w:tcPr>
            <w:tcW w:w="320" w:type="dxa"/>
            <w:vAlign w:val="bottom"/>
          </w:tcPr>
          <w:p>
            <w:pPr>
              <w:spacing w:after="0"/>
              <w:rPr>
                <w:sz w:val="16"/>
                <w:szCs w:val="16"/>
                <w:color w:val="auto"/>
              </w:rPr>
            </w:pPr>
          </w:p>
        </w:tc>
        <w:tc>
          <w:tcPr>
            <w:tcW w:w="186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23,798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23,988</w:t>
            </w:r>
          </w:p>
        </w:tc>
        <w:tc>
          <w:tcPr>
            <w:tcW w:w="1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1,763</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938</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492</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r>
      <w:tr>
        <w:trPr>
          <w:trHeight w:val="223"/>
        </w:trPr>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26,991</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27,290</w:t>
            </w:r>
          </w:p>
        </w:tc>
        <w:tc>
          <w:tcPr>
            <w:tcW w:w="12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-736600</wp:posOffset>
            </wp:positionV>
            <wp:extent cx="53492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-462280</wp:posOffset>
            </wp:positionV>
            <wp:extent cx="53492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-179705</wp:posOffset>
            </wp:positionV>
            <wp:extent cx="53492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960"/>
          </w:cols>
          <w:pgMar w:left="320" w:top="796" w:right="339" w:bottom="1440" w:gutter="0" w:footer="0" w:header="0"/>
          <w:type w:val="continuous"/>
        </w:sectPr>
      </w:pPr>
    </w:p>
    <w:p>
      <w:pPr>
        <w:spacing w:after="0" w:line="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Earnings per share for the three-month periods ended March 31, 2020 and 2019 were calculated using the weighted average number of shares outstanding for the related period. The following table reconciles the number of shares used in the computations of basic and diluted earnings per share for the three-month periods ended March 31, 2020 and 2019:</w:t>
      </w:r>
    </w:p>
    <w:p>
      <w:pPr>
        <w:sectPr>
          <w:pgSz w:w="11900" w:h="16838" w:orient="portrait"/>
          <w:cols w:equalWidth="0" w:num="1">
            <w:col w:w="11240"/>
          </w:cols>
          <w:pgMar w:left="320" w:top="7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right="100" w:hanging="179"/>
        <w:spacing w:after="0" w:line="308" w:lineRule="auto"/>
        <w:rPr>
          <w:sz w:val="20"/>
          <w:szCs w:val="20"/>
          <w:color w:val="auto"/>
        </w:rPr>
      </w:pPr>
      <w:r>
        <w:rPr>
          <w:rFonts w:ascii="Arial" w:cs="Arial" w:eastAsia="Arial" w:hAnsi="Arial"/>
          <w:sz w:val="17"/>
          <w:szCs w:val="17"/>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534924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74320"/>
                    </a:xfrm>
                    <a:prstGeom prst="rect">
                      <a:avLst/>
                    </a:prstGeom>
                    <a:noFill/>
                  </pic:spPr>
                </pic:pic>
              </a:graphicData>
            </a:graphic>
          </wp:anchor>
        </w:drawing>
      </w:r>
    </w:p>
    <w:p>
      <w:pPr>
        <w:spacing w:after="0" w:line="126" w:lineRule="exact"/>
        <w:rPr>
          <w:sz w:val="20"/>
          <w:szCs w:val="20"/>
          <w:color w:val="auto"/>
        </w:rPr>
      </w:pPr>
    </w:p>
    <w:p>
      <w:pPr>
        <w:ind w:left="180" w:right="220" w:hanging="179"/>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534924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82575"/>
                    </a:xfrm>
                    <a:prstGeom prst="rect">
                      <a:avLst/>
                    </a:prstGeom>
                    <a:noFill/>
                  </pic:spPr>
                </pic:pic>
              </a:graphicData>
            </a:graphic>
          </wp:anchor>
        </w:drawing>
      </w:r>
    </w:p>
    <w:p>
      <w:pPr>
        <w:spacing w:after="0" w:line="177"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534924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98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1" w:lineRule="exact"/>
        <w:rPr>
          <w:sz w:val="20"/>
          <w:szCs w:val="20"/>
          <w:color w:val="auto"/>
        </w:rPr>
      </w:pPr>
    </w:p>
    <w:p>
      <w:pPr>
        <w:ind w:left="540"/>
        <w:spacing w:after="0"/>
        <w:tabs>
          <w:tab w:leader="none" w:pos="22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98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22,539</w:t>
            </w:r>
          </w:p>
        </w:tc>
        <w:tc>
          <w:tcPr>
            <w:tcW w:w="1360" w:type="dxa"/>
            <w:vAlign w:val="bottom"/>
          </w:tcPr>
          <w:p>
            <w:pPr>
              <w:jc w:val="right"/>
              <w:spacing w:after="0"/>
              <w:rPr>
                <w:sz w:val="20"/>
                <w:szCs w:val="20"/>
                <w:color w:val="auto"/>
              </w:rPr>
            </w:pPr>
            <w:r>
              <w:rPr>
                <w:rFonts w:ascii="Arial" w:cs="Arial" w:eastAsia="Arial" w:hAnsi="Arial"/>
                <w:sz w:val="18"/>
                <w:szCs w:val="18"/>
                <w:color w:val="auto"/>
              </w:rPr>
              <w:t>22,242</w:t>
            </w:r>
          </w:p>
        </w:tc>
      </w:tr>
      <w:tr>
        <w:trPr>
          <w:trHeight w:val="230"/>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FFFFFF"/>
              </w:rPr>
              <w:t>$</w:t>
            </w:r>
          </w:p>
        </w:tc>
        <w:tc>
          <w:tcPr>
            <w:tcW w:w="1360" w:type="dxa"/>
            <w:vAlign w:val="bottom"/>
          </w:tcPr>
          <w:p>
            <w:pPr>
              <w:spacing w:after="0"/>
              <w:rPr>
                <w:sz w:val="20"/>
                <w:szCs w:val="20"/>
                <w:color w:val="auto"/>
              </w:rPr>
            </w:pPr>
          </w:p>
        </w:tc>
      </w:tr>
      <w:tr>
        <w:trPr>
          <w:trHeight w:val="445"/>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1,340</w:t>
            </w:r>
          </w:p>
        </w:tc>
        <w:tc>
          <w:tcPr>
            <w:tcW w:w="13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24"/>
        </w:trPr>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FFFFFF"/>
              </w:rPr>
              <w:t>$</w:t>
            </w:r>
          </w:p>
        </w:tc>
        <w:tc>
          <w:tcPr>
            <w:tcW w:w="3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445"/>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23,879</w:t>
            </w:r>
          </w:p>
        </w:tc>
        <w:tc>
          <w:tcPr>
            <w:tcW w:w="1360" w:type="dxa"/>
            <w:vAlign w:val="bottom"/>
          </w:tcPr>
          <w:p>
            <w:pPr>
              <w:jc w:val="right"/>
              <w:spacing w:after="0"/>
              <w:rPr>
                <w:sz w:val="20"/>
                <w:szCs w:val="20"/>
                <w:color w:val="auto"/>
              </w:rPr>
            </w:pPr>
            <w:r>
              <w:rPr>
                <w:rFonts w:ascii="Arial" w:cs="Arial" w:eastAsia="Arial" w:hAnsi="Arial"/>
                <w:sz w:val="18"/>
                <w:szCs w:val="18"/>
                <w:color w:val="auto"/>
              </w:rPr>
              <w:t>24,259</w:t>
            </w: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20" w:space="280"/>
            <w:col w:w="5940"/>
          </w:cols>
          <w:pgMar w:left="320" w:top="7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three-months ended March 31, 2020 and 2019 would have included an additional 12.9 million and 10.5 million shares, respectively, attributable to the exercise of outstanding options and warrants.</w:t>
      </w:r>
    </w:p>
    <w:p>
      <w:pPr>
        <w:spacing w:after="0" w:line="18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adopted, providing wide ranging economic relief for individuals and businesses. One component of the CARES Act provides the Company with an opportunity to carry back net operating losses (“NOLs”) arising from 2018, 2019 and 2020 to the prior five tax years. The Company has such NOLs reflected on its balance sheet as a portion of deferred tax assets. The Company has previously valued its NOLs at the federal corporate income tax rate of 21%. However, the provisions of the CARES Act provide for NOL carryback claims to be calculated based on a rate of 35%, which was the federal corporate tax rate in effect for the carryback years. Consequently, effective March 31, 2020, the Company has revalued the benefit from its NOLs to reflect a 35% tax rate. The result of the revaluation of NOLs and other tax adjustments is a net tax benefit of $8.8 million, which is reflected in income taxes for the quarter ended March 31, 2020.</w:t>
      </w:r>
    </w:p>
    <w:p>
      <w:pPr>
        <w:spacing w:after="0" w:line="166"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As of March 31, 2020, and December 31, 2019,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9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$58.4 million as of March 31, 2020 is more likely than not based on forecasted future net earnings. Our net deferred tax asset of $58.4 million consists of approximately $46.8 million of net U.S. federal deferred tax assets and $11.6 million of net state deferred tax assets.</w:t>
      </w:r>
    </w:p>
    <w:p>
      <w:pPr>
        <w:spacing w:after="0" w:line="19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Income tax benefit was $7.7 million for the three months ended March 31, 2020, which includes net tax benefits of $8.8 million. Excluding the tax benefit, income tax expense would have been $1.1 million, representing an effective income tax rate of 36%. For the prior year period, income tax expense was $937,000, which represents an effective income tax rate of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i w:val="1"/>
          <w:iCs w:val="1"/>
          <w:color w:val="auto"/>
        </w:rPr>
        <w:t>Consumer Litigation</w:t>
      </w:r>
      <w:r>
        <w:rPr>
          <w:rFonts w:ascii="Arial" w:cs="Arial" w:eastAsia="Arial" w:hAnsi="Arial"/>
          <w:sz w:val="18"/>
          <w:szCs w:val="18"/>
          <w:color w:val="auto"/>
        </w:rPr>
        <w:t>. 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March 31, 2020,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March 31, 2020 is immaterial, and that the range of reasonably possible losses for the legal proceedings and contingencies we face, including those described or referenced above, as of March 31, 2020 does not exceed $3 million.</w:t>
      </w:r>
    </w:p>
    <w:p>
      <w:pPr>
        <w:spacing w:after="0" w:line="19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225" w:lineRule="exact"/>
        <w:rPr>
          <w:sz w:val="20"/>
          <w:szCs w:val="20"/>
          <w:color w:val="auto"/>
        </w:rPr>
      </w:pPr>
    </w:p>
    <w:p>
      <w:pPr>
        <w:jc w:val="both"/>
        <w:ind w:right="20" w:firstLine="360"/>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w:t>
      </w:r>
    </w:p>
    <w:p>
      <w:pPr>
        <w:spacing w:after="0" w:line="170"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Arial" w:cs="Arial" w:eastAsia="Arial" w:hAnsi="Arial"/>
          <w:sz w:val="18"/>
          <w:szCs w:val="18"/>
          <w:color w:val="323232"/>
        </w:rPr>
        <w:t>Significant changes in any of those inputs in isolation would have a significant impact on our fair value</w:t>
      </w:r>
      <w:r>
        <w:rPr>
          <w:rFonts w:ascii="Arial" w:cs="Arial" w:eastAsia="Arial" w:hAnsi="Arial"/>
          <w:sz w:val="18"/>
          <w:szCs w:val="18"/>
          <w:color w:val="auto"/>
        </w:rPr>
        <w:t xml:space="preserve"> </w:t>
      </w:r>
      <w:r>
        <w:rPr>
          <w:rFonts w:ascii="Arial" w:cs="Arial" w:eastAsia="Arial" w:hAnsi="Arial"/>
          <w:sz w:val="18"/>
          <w:szCs w:val="18"/>
          <w:color w:val="323232"/>
        </w:rPr>
        <w:t>measurement.</w:t>
      </w:r>
    </w:p>
    <w:p>
      <w:pPr>
        <w:spacing w:after="0" w:line="1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For the period ended March 31, 2020, the Company considered the impact of the pandemic on the portfolio of finance receivables carried at fair value and recorded a mark down to that portfolio of $10.4 million.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 inputs: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1,444,038</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821,066</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265,282</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244,753</w:t>
            </w: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(109,558)</w:t>
            </w:r>
          </w:p>
        </w:tc>
        <w:tc>
          <w:tcPr>
            <w:tcW w:w="5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(49,500)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(29,715)</w:t>
            </w:r>
          </w:p>
        </w:tc>
        <w:tc>
          <w:tcPr>
            <w:tcW w:w="5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(18,767)</w:t>
            </w:r>
          </w:p>
        </w:tc>
      </w:tr>
      <w:tr>
        <w:trPr>
          <w:trHeight w:val="230"/>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3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(10,350)</w:t>
            </w:r>
          </w:p>
        </w:tc>
        <w:tc>
          <w:tcPr>
            <w:tcW w:w="52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1,559,697</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997,552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2020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December 31, 2019</w:t>
            </w:r>
          </w:p>
        </w:tc>
      </w:tr>
      <w:tr>
        <w:trPr>
          <w:trHeight w:val="205"/>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5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660" w:type="dxa"/>
            <w:vAlign w:val="bottom"/>
          </w:tcPr>
          <w:p>
            <w:pPr>
              <w:spacing w:after="0"/>
              <w:rPr>
                <w:sz w:val="17"/>
                <w:szCs w:val="17"/>
                <w:color w:val="auto"/>
              </w:rPr>
            </w:pPr>
          </w:p>
        </w:tc>
        <w:tc>
          <w:tcPr>
            <w:tcW w:w="980" w:type="dxa"/>
            <w:vAlign w:val="bottom"/>
          </w:tcPr>
          <w:p>
            <w:pPr>
              <w:jc w:val="center"/>
              <w:ind w:right="410"/>
              <w:spacing w:after="0" w:line="205"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1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60" w:type="dxa"/>
            <w:vAlign w:val="bottom"/>
          </w:tcPr>
          <w:p>
            <w:pPr>
              <w:spacing w:after="0"/>
              <w:rPr>
                <w:sz w:val="17"/>
                <w:szCs w:val="17"/>
                <w:color w:val="auto"/>
              </w:rPr>
            </w:pPr>
          </w:p>
        </w:tc>
        <w:tc>
          <w:tcPr>
            <w:tcW w:w="1140" w:type="dxa"/>
            <w:vAlign w:val="bottom"/>
          </w:tcPr>
          <w:p>
            <w:pPr>
              <w:jc w:val="center"/>
              <w:ind w:right="210"/>
              <w:spacing w:after="0" w:line="205" w:lineRule="exact"/>
              <w:rPr>
                <w:sz w:val="20"/>
                <w:szCs w:val="20"/>
                <w:color w:val="auto"/>
              </w:rPr>
            </w:pPr>
            <w:r>
              <w:rPr>
                <w:rFonts w:ascii="Arial" w:cs="Arial" w:eastAsia="Arial" w:hAnsi="Arial"/>
                <w:sz w:val="18"/>
                <w:szCs w:val="18"/>
                <w:b w:val="1"/>
                <w:bCs w:val="1"/>
                <w:color w:val="auto"/>
                <w:w w:val="96"/>
              </w:rPr>
              <w:t>Fair</w:t>
            </w:r>
          </w:p>
        </w:tc>
      </w:tr>
      <w:tr>
        <w:trPr>
          <w:trHeight w:val="234"/>
        </w:trPr>
        <w:tc>
          <w:tcPr>
            <w:tcW w:w="4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Balance</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Balance</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Value</w:t>
            </w:r>
          </w:p>
        </w:tc>
      </w:tr>
      <w:tr>
        <w:trPr>
          <w:trHeight w:val="228"/>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0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1,628,557</w:t>
            </w:r>
          </w:p>
        </w:tc>
        <w:tc>
          <w:tcPr>
            <w:tcW w:w="66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1,559,697</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1,492,803</w:t>
            </w:r>
          </w:p>
        </w:tc>
        <w:tc>
          <w:tcPr>
            <w:tcW w:w="46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1,444,038</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Pr>
          <w:p>
            <w:pPr>
              <w:spacing w:after="0"/>
              <w:rPr>
                <w:sz w:val="20"/>
                <w:szCs w:val="20"/>
                <w:color w:val="auto"/>
              </w:rPr>
            </w:pPr>
          </w:p>
        </w:tc>
        <w:tc>
          <w:tcPr>
            <w:tcW w:w="204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9"/>
              </w:rPr>
              <w:t>Fair Values as of</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2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March 31,</w:t>
            </w:r>
          </w:p>
        </w:tc>
        <w:tc>
          <w:tcPr>
            <w:tcW w:w="1640" w:type="dxa"/>
            <w:vAlign w:val="bottom"/>
            <w:tcBorders>
              <w:top w:val="single" w:sz="8" w:color="auto"/>
            </w:tcBorders>
            <w:gridSpan w:val="2"/>
          </w:tcPr>
          <w:p>
            <w:pPr>
              <w:jc w:val="center"/>
              <w:ind w:left="9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top w:val="single" w:sz="8" w:color="auto"/>
            </w:tcBorders>
            <w:gridSpan w:val="2"/>
          </w:tcPr>
          <w:p>
            <w:pPr>
              <w:ind w:left="320"/>
              <w:spacing w:after="0" w:line="205" w:lineRule="exact"/>
              <w:rPr>
                <w:sz w:val="20"/>
                <w:szCs w:val="20"/>
                <w:color w:val="auto"/>
              </w:rPr>
            </w:pPr>
            <w:r>
              <w:rPr>
                <w:rFonts w:ascii="Arial" w:cs="Arial" w:eastAsia="Arial" w:hAnsi="Arial"/>
                <w:sz w:val="18"/>
                <w:szCs w:val="18"/>
                <w:b w:val="1"/>
                <w:bCs w:val="1"/>
                <w:color w:val="auto"/>
              </w:rPr>
              <w:t>March 31,</w:t>
            </w:r>
          </w:p>
        </w:tc>
        <w:tc>
          <w:tcPr>
            <w:tcW w:w="1440" w:type="dxa"/>
            <w:vAlign w:val="bottom"/>
            <w:tcBorders>
              <w:top w:val="single" w:sz="8" w:color="auto"/>
            </w:tcBorders>
          </w:tcPr>
          <w:p>
            <w:pPr>
              <w:jc w:val="right"/>
              <w:ind w:right="110"/>
              <w:spacing w:after="0" w:line="205"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8"/>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2"/>
          </w:tcPr>
          <w:p>
            <w:pPr>
              <w:jc w:val="center"/>
              <w:ind w:left="61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1,559,697</w:t>
            </w:r>
          </w:p>
        </w:tc>
        <w:tc>
          <w:tcPr>
            <w:tcW w:w="72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99"/>
              </w:rPr>
              <w:t>1,444,038</w:t>
            </w:r>
          </w:p>
        </w:tc>
        <w:tc>
          <w:tcPr>
            <w:tcW w:w="22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Discount rate</w:t>
            </w:r>
          </w:p>
        </w:tc>
        <w:tc>
          <w:tcPr>
            <w:tcW w:w="1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8.9% - 11.1%</w:t>
            </w:r>
          </w:p>
        </w:tc>
        <w:tc>
          <w:tcPr>
            <w:tcW w:w="220" w:type="dxa"/>
            <w:vAlign w:val="bottom"/>
            <w:shd w:val="clear" w:color="auto" w:fill="EEEEEE"/>
          </w:tcPr>
          <w:p>
            <w:pPr>
              <w:spacing w:after="0"/>
              <w:rPr>
                <w:sz w:val="20"/>
                <w:szCs w:val="20"/>
                <w:color w:val="auto"/>
              </w:rPr>
            </w:pPr>
          </w:p>
        </w:tc>
        <w:tc>
          <w:tcPr>
            <w:tcW w:w="1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8.9% - 11.1%</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Cumulative net</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2"/>
              </w:rPr>
              <w:t>losses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15.0% - 18.4%</w:t>
            </w:r>
          </w:p>
        </w:tc>
        <w:tc>
          <w:tcPr>
            <w:tcW w:w="2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15.0% - 16.1%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summarizes the delinquency status of these finance receivables measured at fair value as of March 31, 2020 and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200" w:type="dxa"/>
            <w:vAlign w:val="bottom"/>
          </w:tcPr>
          <w:p>
            <w:pPr>
              <w:spacing w:after="0"/>
              <w:rPr>
                <w:sz w:val="19"/>
                <w:szCs w:val="19"/>
                <w:color w:val="auto"/>
              </w:rPr>
            </w:pPr>
          </w:p>
        </w:tc>
        <w:tc>
          <w:tcPr>
            <w:tcW w:w="2960" w:type="dxa"/>
            <w:vAlign w:val="bottom"/>
            <w:gridSpan w:val="6"/>
          </w:tcPr>
          <w:p>
            <w:pPr>
              <w:ind w:left="8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5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1,498,296</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1,344,883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5060" w:type="dxa"/>
            <w:vAlign w:val="bottom"/>
          </w:tcPr>
          <w:p>
            <w:pPr>
              <w:ind w:left="20"/>
              <w:spacing w:after="0"/>
              <w:rPr>
                <w:sz w:val="20"/>
                <w:szCs w:val="20"/>
                <w:color w:val="auto"/>
              </w:rPr>
            </w:pPr>
            <w:r>
              <w:rPr>
                <w:rFonts w:ascii="Arial" w:cs="Arial" w:eastAsia="Arial" w:hAnsi="Arial"/>
                <w:sz w:val="18"/>
                <w:szCs w:val="18"/>
                <w:color w:val="auto"/>
              </w:rPr>
              <w:t>- 60 days</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67,294</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81,262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29,275</w:t>
            </w: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34,280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5060" w:type="dxa"/>
            <w:vAlign w:val="bottom"/>
          </w:tcPr>
          <w:p>
            <w:pPr>
              <w:ind w:left="20"/>
              <w:spacing w:after="0"/>
              <w:rPr>
                <w:sz w:val="20"/>
                <w:szCs w:val="20"/>
                <w:color w:val="auto"/>
              </w:rPr>
            </w:pPr>
            <w:r>
              <w:rPr>
                <w:rFonts w:ascii="Arial" w:cs="Arial" w:eastAsia="Arial" w:hAnsi="Arial"/>
                <w:sz w:val="18"/>
                <w:szCs w:val="18"/>
                <w:color w:val="auto"/>
              </w:rPr>
              <w:t>+ days</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14,470</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Repo</w:t>
            </w: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19,222</w:t>
            </w: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17,211</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1,628,557</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1,492,803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March 31, 2020 the finance receivables related to the repossessed vehicles in inventory totaled $35.1 million. We have applied a valuation adjustment, or loss allowance, of $28.0 million, which is based on a recovery rate of approximately 26%, resulting in an estimated fair value and carrying amount of $7.1 million. The fair value and carrying amount of the repossessed inventory at December 31, 2019 was $7.5 million after applying a valuation adjustment of $21.4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transfers in or out of level 1, level 2 or level 3 assets and liabilities for the three months ended March 30, 2020 and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values of financial assets and liabilities at March 31, 2020 and December 31, 2019,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As of March 31, 2020</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40" w:type="dxa"/>
            <w:vAlign w:val="bottom"/>
          </w:tcPr>
          <w:p>
            <w:pPr>
              <w:spacing w:after="0"/>
              <w:rPr>
                <w:sz w:val="19"/>
                <w:szCs w:val="19"/>
                <w:color w:val="auto"/>
              </w:rPr>
            </w:pPr>
          </w:p>
        </w:tc>
        <w:tc>
          <w:tcPr>
            <w:tcW w:w="12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3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06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4,546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4,546</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137,523</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137,523</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137,523</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660,403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606,077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606,077</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8,795</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8,795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141,988</w:t>
            </w:r>
          </w:p>
        </w:tc>
        <w:tc>
          <w:tcPr>
            <w:tcW w:w="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141,988</w:t>
            </w: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141,988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37,913</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37,913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37,913</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2,091,642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1,900,451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1,900,451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18,322</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18,322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18,322</w:t>
            </w:r>
          </w:p>
        </w:tc>
        <w:tc>
          <w:tcPr>
            <w:tcW w:w="0" w:type="dxa"/>
            <w:vAlign w:val="bottom"/>
          </w:tcPr>
          <w:p>
            <w:pPr>
              <w:spacing w:after="0"/>
              <w:rPr>
                <w:sz w:val="1"/>
                <w:szCs w:val="1"/>
                <w:color w:val="auto"/>
              </w:rPr>
            </w:pPr>
          </w:p>
        </w:tc>
      </w:tr>
      <w:tr>
        <w:trPr>
          <w:trHeight w:val="446"/>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As of December 31, 2019</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40" w:type="dxa"/>
            <w:vAlign w:val="bottom"/>
          </w:tcPr>
          <w:p>
            <w:pPr>
              <w:spacing w:after="0"/>
              <w:rPr>
                <w:sz w:val="19"/>
                <w:szCs w:val="19"/>
                <w:color w:val="auto"/>
              </w:rPr>
            </w:pPr>
          </w:p>
        </w:tc>
        <w:tc>
          <w:tcPr>
            <w:tcW w:w="12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3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06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5,295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5,295</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135,537</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135,537</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135,537</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885,890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841,160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841,160</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11,645</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11,645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134,791</w:t>
            </w:r>
          </w:p>
        </w:tc>
        <w:tc>
          <w:tcPr>
            <w:tcW w:w="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134,791</w:t>
            </w: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134,791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39,478</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39,478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39,478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2,097,728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2,116,520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2,116,520</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17,534</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17,534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March 31, 2020, we have originated a total of approximately $16.5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53"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5840" w:type="dxa"/>
            <w:vAlign w:val="bottom"/>
            <w:gridSpan w:val="4"/>
          </w:tcPr>
          <w:p>
            <w:pPr>
              <w:ind w:left="1480"/>
              <w:spacing w:after="0"/>
              <w:rPr>
                <w:sz w:val="20"/>
                <w:szCs w:val="20"/>
                <w:color w:val="auto"/>
              </w:rPr>
            </w:pPr>
            <w:r>
              <w:rPr>
                <w:rFonts w:ascii="Arial" w:cs="Arial" w:eastAsia="Arial" w:hAnsi="Arial"/>
                <w:sz w:val="18"/>
                <w:szCs w:val="18"/>
                <w:b w:val="1"/>
                <w:bCs w:val="1"/>
                <w:color w:val="auto"/>
                <w:w w:val="90"/>
              </w:rPr>
              <w:t>Contract Purchases and Outstanding Managed Portfolio</w:t>
            </w:r>
          </w:p>
        </w:tc>
        <w:tc>
          <w:tcPr>
            <w:tcW w:w="1440" w:type="dxa"/>
            <w:vAlign w:val="bottom"/>
          </w:tcPr>
          <w:p>
            <w:pPr>
              <w:spacing w:after="0"/>
              <w:rPr>
                <w:sz w:val="20"/>
                <w:szCs w:val="20"/>
                <w:color w:val="auto"/>
              </w:rPr>
            </w:pPr>
          </w:p>
        </w:tc>
      </w:tr>
      <w:tr>
        <w:trPr>
          <w:trHeight w:val="230"/>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Contracts</w:t>
            </w:r>
          </w:p>
        </w:tc>
        <w:tc>
          <w:tcPr>
            <w:tcW w:w="144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Purchased in</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90"/>
              </w:rPr>
              <w:t>Managed Portfolio</w:t>
            </w:r>
          </w:p>
        </w:tc>
      </w:tr>
      <w:tr>
        <w:trPr>
          <w:trHeight w:val="234"/>
        </w:trPr>
        <w:tc>
          <w:tcPr>
            <w:tcW w:w="4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at Period End</w:t>
            </w:r>
          </w:p>
        </w:tc>
      </w:tr>
      <w:tr>
        <w:trPr>
          <w:trHeight w:val="209"/>
        </w:trPr>
        <w:tc>
          <w:tcPr>
            <w:tcW w:w="39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1,060,538</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2,031,136</w:t>
            </w:r>
          </w:p>
        </w:tc>
      </w:tr>
      <w:tr>
        <w:trPr>
          <w:trHeight w:val="216"/>
        </w:trPr>
        <w:tc>
          <w:tcPr>
            <w:tcW w:w="3940" w:type="dxa"/>
            <w:vAlign w:val="bottom"/>
          </w:tcPr>
          <w:p>
            <w:pPr>
              <w:jc w:val="center"/>
              <w:spacing w:after="0"/>
              <w:rPr>
                <w:sz w:val="20"/>
                <w:szCs w:val="20"/>
                <w:color w:val="auto"/>
              </w:rPr>
            </w:pPr>
            <w:r>
              <w:rPr>
                <w:rFonts w:ascii="Arial" w:cs="Arial" w:eastAsia="Arial" w:hAnsi="Arial"/>
                <w:sz w:val="18"/>
                <w:szCs w:val="18"/>
                <w:color w:val="333333"/>
                <w:w w:val="89"/>
              </w:rPr>
              <w:t>2016</w:t>
            </w:r>
          </w:p>
        </w:tc>
        <w:tc>
          <w:tcPr>
            <w:tcW w:w="2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1,088,785</w:t>
            </w:r>
          </w:p>
        </w:tc>
        <w:tc>
          <w:tcPr>
            <w:tcW w:w="2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2,308,070</w:t>
            </w:r>
          </w:p>
        </w:tc>
      </w:tr>
      <w:tr>
        <w:trPr>
          <w:trHeight w:val="216"/>
        </w:trPr>
        <w:tc>
          <w:tcPr>
            <w:tcW w:w="3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2017</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859,069</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2,333,530</w:t>
            </w:r>
          </w:p>
        </w:tc>
      </w:tr>
      <w:tr>
        <w:trPr>
          <w:trHeight w:val="216"/>
        </w:trPr>
        <w:tc>
          <w:tcPr>
            <w:tcW w:w="3940" w:type="dxa"/>
            <w:vAlign w:val="bottom"/>
          </w:tcPr>
          <w:p>
            <w:pPr>
              <w:jc w:val="center"/>
              <w:spacing w:after="0"/>
              <w:rPr>
                <w:sz w:val="20"/>
                <w:szCs w:val="20"/>
                <w:color w:val="auto"/>
              </w:rPr>
            </w:pPr>
            <w:r>
              <w:rPr>
                <w:rFonts w:ascii="Arial" w:cs="Arial" w:eastAsia="Arial" w:hAnsi="Arial"/>
                <w:sz w:val="18"/>
                <w:szCs w:val="18"/>
                <w:color w:val="333333"/>
                <w:w w:val="89"/>
              </w:rPr>
              <w:t>2018</w:t>
            </w:r>
          </w:p>
        </w:tc>
        <w:tc>
          <w:tcPr>
            <w:tcW w:w="2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902,416</w:t>
            </w:r>
          </w:p>
        </w:tc>
        <w:tc>
          <w:tcPr>
            <w:tcW w:w="2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2,380,847</w:t>
            </w:r>
          </w:p>
        </w:tc>
      </w:tr>
      <w:tr>
        <w:trPr>
          <w:trHeight w:val="216"/>
        </w:trPr>
        <w:tc>
          <w:tcPr>
            <w:tcW w:w="3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2019</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1,002,782</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2,416,042</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Three months ended March 31, 2020</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266,002</w:t>
            </w:r>
          </w:p>
        </w:tc>
        <w:tc>
          <w:tcPr>
            <w:tcW w:w="2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2,435,074</w:t>
            </w:r>
          </w:p>
        </w:tc>
      </w:tr>
    </w:tbl>
    <w:p>
      <w:pPr>
        <w:spacing w:after="0" w:line="1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Since approximately April 1, 2020, due to the onset of the pandemic, we have seen a decrease of roughly 50% in the rate at which we purchase automobile contracts.</w:t>
      </w:r>
    </w:p>
    <w:p>
      <w:pPr>
        <w:spacing w:after="0" w:line="17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61"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Since 1994 we have conducted 85 term securitizations of automobile contracts that we originated. As of March 31, 2020, 21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560" w:type="dxa"/>
            <w:vAlign w:val="bottom"/>
            <w:gridSpan w:val="3"/>
          </w:tcPr>
          <w:p>
            <w:pPr>
              <w:spacing w:after="0"/>
              <w:rPr>
                <w:sz w:val="20"/>
                <w:szCs w:val="20"/>
                <w:color w:val="auto"/>
              </w:rPr>
            </w:pPr>
            <w:r>
              <w:rPr>
                <w:rFonts w:ascii="Arial" w:cs="Arial" w:eastAsia="Arial" w:hAnsi="Arial"/>
                <w:sz w:val="18"/>
                <w:szCs w:val="18"/>
                <w:color w:val="auto"/>
                <w:w w:val="93"/>
              </w:rPr>
              <w:t>Our recent history of term securitizations is summarized in the table below:</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1"/>
        </w:trPr>
        <w:tc>
          <w:tcPr>
            <w:tcW w:w="1620" w:type="dxa"/>
            <w:vAlign w:val="bottom"/>
          </w:tcPr>
          <w:p>
            <w:pPr>
              <w:spacing w:after="0"/>
              <w:rPr>
                <w:sz w:val="24"/>
                <w:szCs w:val="24"/>
                <w:color w:val="auto"/>
              </w:rPr>
            </w:pPr>
          </w:p>
        </w:tc>
        <w:tc>
          <w:tcPr>
            <w:tcW w:w="5700" w:type="dxa"/>
            <w:vAlign w:val="bottom"/>
            <w:gridSpan w:val="4"/>
          </w:tcPr>
          <w:p>
            <w:pPr>
              <w:ind w:left="2020"/>
              <w:spacing w:after="0"/>
              <w:rPr>
                <w:sz w:val="20"/>
                <w:szCs w:val="20"/>
                <w:color w:val="auto"/>
              </w:rPr>
            </w:pPr>
            <w:r>
              <w:rPr>
                <w:rFonts w:ascii="Arial" w:cs="Arial" w:eastAsia="Arial" w:hAnsi="Arial"/>
                <w:sz w:val="18"/>
                <w:szCs w:val="18"/>
                <w:b w:val="1"/>
                <w:bCs w:val="1"/>
                <w:color w:val="auto"/>
                <w:w w:val="99"/>
              </w:rPr>
              <w:t>Recent Asset-Backed Term Securitizations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0"/>
        </w:trPr>
        <w:tc>
          <w:tcPr>
            <w:tcW w:w="16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6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5"/>
              </w:rPr>
              <w:t>Receivables Pledged</w:t>
            </w:r>
          </w:p>
        </w:tc>
      </w:tr>
      <w:tr>
        <w:trPr>
          <w:trHeight w:val="216"/>
        </w:trPr>
        <w:tc>
          <w:tcPr>
            <w:tcW w:w="16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Number of Term</w:t>
            </w: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in Term</w:t>
            </w:r>
          </w:p>
        </w:tc>
      </w:tr>
      <w:tr>
        <w:trPr>
          <w:trHeight w:val="234"/>
        </w:trPr>
        <w:tc>
          <w:tcPr>
            <w:tcW w:w="1620" w:type="dxa"/>
            <w:vAlign w:val="bottom"/>
          </w:tcPr>
          <w:p>
            <w:pPr>
              <w:spacing w:after="0"/>
              <w:rPr>
                <w:sz w:val="20"/>
                <w:szCs w:val="20"/>
                <w:color w:val="auto"/>
              </w:rPr>
            </w:pPr>
          </w:p>
        </w:tc>
        <w:tc>
          <w:tcPr>
            <w:tcW w:w="3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Securitizations</w:t>
            </w: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1620" w:type="dxa"/>
            <w:vAlign w:val="bottom"/>
          </w:tcPr>
          <w:p>
            <w:pPr>
              <w:spacing w:after="0"/>
              <w:rPr>
                <w:sz w:val="18"/>
                <w:szCs w:val="18"/>
                <w:color w:val="auto"/>
              </w:rPr>
            </w:pPr>
          </w:p>
        </w:tc>
        <w:tc>
          <w:tcPr>
            <w:tcW w:w="37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0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795,000</w:t>
            </w:r>
          </w:p>
        </w:tc>
      </w:tr>
      <w:tr>
        <w:trPr>
          <w:trHeight w:val="216"/>
        </w:trPr>
        <w:tc>
          <w:tcPr>
            <w:tcW w:w="16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333333"/>
                <w:w w:val="89"/>
              </w:rPr>
              <w:t>2016</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1,214,997</w:t>
            </w:r>
          </w:p>
        </w:tc>
      </w:tr>
      <w:tr>
        <w:trPr>
          <w:trHeight w:val="216"/>
        </w:trPr>
        <w:tc>
          <w:tcPr>
            <w:tcW w:w="1620" w:type="dxa"/>
            <w:vAlign w:val="bottom"/>
          </w:tcPr>
          <w:p>
            <w:pPr>
              <w:spacing w:after="0"/>
              <w:rPr>
                <w:sz w:val="18"/>
                <w:szCs w:val="18"/>
                <w:color w:val="auto"/>
              </w:rPr>
            </w:pPr>
          </w:p>
        </w:tc>
        <w:tc>
          <w:tcPr>
            <w:tcW w:w="3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2017</w:t>
            </w:r>
          </w:p>
        </w:tc>
        <w:tc>
          <w:tcPr>
            <w:tcW w:w="20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870,000</w:t>
            </w:r>
          </w:p>
        </w:tc>
      </w:tr>
      <w:tr>
        <w:trPr>
          <w:trHeight w:val="216"/>
        </w:trPr>
        <w:tc>
          <w:tcPr>
            <w:tcW w:w="16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333333"/>
                <w:w w:val="89"/>
              </w:rPr>
              <w:t>2018</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883,452</w:t>
            </w:r>
          </w:p>
        </w:tc>
      </w:tr>
      <w:tr>
        <w:trPr>
          <w:trHeight w:val="216"/>
        </w:trPr>
        <w:tc>
          <w:tcPr>
            <w:tcW w:w="1620" w:type="dxa"/>
            <w:vAlign w:val="bottom"/>
          </w:tcPr>
          <w:p>
            <w:pPr>
              <w:spacing w:after="0"/>
              <w:rPr>
                <w:sz w:val="18"/>
                <w:szCs w:val="18"/>
                <w:color w:val="auto"/>
              </w:rPr>
            </w:pPr>
          </w:p>
        </w:tc>
        <w:tc>
          <w:tcPr>
            <w:tcW w:w="3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2019</w:t>
            </w:r>
          </w:p>
        </w:tc>
        <w:tc>
          <w:tcPr>
            <w:tcW w:w="20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1,014,124</w:t>
            </w:r>
          </w:p>
        </w:tc>
      </w:tr>
      <w:tr>
        <w:trPr>
          <w:trHeight w:val="230"/>
        </w:trPr>
        <w:tc>
          <w:tcPr>
            <w:tcW w:w="16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Three months ended March 31, 2020</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260,000</w:t>
            </w:r>
          </w:p>
        </w:tc>
      </w:tr>
    </w:tbl>
    <w:p>
      <w:pPr>
        <w:spacing w:after="0" w:line="187"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with an optional amortization period through September 2021.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and again in December 2019, extending the revolving period to December 2021, followed by an amortization period to December 2023.</w:t>
      </w:r>
    </w:p>
    <w:p>
      <w:pPr>
        <w:spacing w:after="0" w:line="19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360"/>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2020, we were in compliance with all such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March 31, 2020 with the three months ended March 31, 2019</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March 31, 2020, our revenues were $70.8 million, a decrease of $17.5 million, or 19.8%,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$88.2 million. The primary reason for the decrease in revenues is a decrease in interest income and a mark down to the carrying value of the portion of the receivables portfolio accounted for at fair value. Interest income for the three months ended March 31, 2020 decreased $6.7 million, or 7.8%, to $79.1 million from $85.8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average balances and interest yields of our loan portfolio for the three months ended March 31,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8"/>
                <w:szCs w:val="18"/>
                <w:b w:val="1"/>
                <w:bCs w:val="1"/>
                <w:color w:val="auto"/>
                <w:w w:val="92"/>
              </w:rPr>
              <w:t>Three Months Ended March 31,</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7"/>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34"/>
        </w:trPr>
        <w:tc>
          <w:tcPr>
            <w:tcW w:w="350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20"/>
                <w:szCs w:val="20"/>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Yield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Interest</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Yield</w:t>
            </w:r>
          </w:p>
        </w:tc>
        <w:tc>
          <w:tcPr>
            <w:tcW w:w="0" w:type="dxa"/>
            <w:vAlign w:val="bottom"/>
          </w:tcPr>
          <w:p>
            <w:pPr>
              <w:spacing w:after="0"/>
              <w:rPr>
                <w:sz w:val="1"/>
                <w:szCs w:val="1"/>
                <w:color w:val="auto"/>
              </w:rPr>
            </w:pPr>
          </w:p>
        </w:tc>
      </w:tr>
      <w:tr>
        <w:trPr>
          <w:trHeight w:val="209"/>
        </w:trPr>
        <w:tc>
          <w:tcPr>
            <w:tcW w:w="350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845,727</w:t>
            </w:r>
          </w:p>
        </w:tc>
        <w:tc>
          <w:tcPr>
            <w:tcW w:w="280" w:type="dxa"/>
            <w:vAlign w:val="bottom"/>
            <w:tcBorders>
              <w:top w:val="single" w:sz="8" w:color="EEEEEE"/>
            </w:tcBorders>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38,330</w:t>
            </w:r>
          </w:p>
        </w:tc>
        <w:tc>
          <w:tcPr>
            <w:tcW w:w="1280" w:type="dxa"/>
            <w:vAlign w:val="bottom"/>
            <w:tcBorders>
              <w:top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Borders>
              <w:top w:val="single" w:sz="8" w:color="EEEEEE"/>
            </w:tcBorders>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EEEEEE"/>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1,401,047</w:t>
            </w:r>
          </w:p>
        </w:tc>
        <w:tc>
          <w:tcPr>
            <w:tcW w:w="1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EEEEEE"/>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63,030</w:t>
            </w:r>
          </w:p>
        </w:tc>
        <w:tc>
          <w:tcPr>
            <w:tcW w:w="10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1,580,468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40,806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955,566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22,815</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350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2,426,195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79,136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2,356,613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85,845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Revenues for the first quarter of 2020 include a $10.4 million mark down to the carrying value of the finance receivables measured at fair value, due to the uncertainty associated with the pandemic. The mark down is an estimate based on our evaluation of credit characteristics of each of the monthly pools that compose the portfolio carried at fair value and our assessment of potential additional future net losses arising from the pandemic.</w:t>
      </w:r>
    </w:p>
    <w:p>
      <w:pPr>
        <w:spacing w:after="0" w:line="16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the three months ended March 31, 2020, other income of $2.0 million decreased by $404,000, or 16.9% compared to the prior year. The three-month period ended March 31, 2020 includes a decrease of $153,000 in revenues associated with direct mail and other related products and services that we offer to our dealers and a decrease of $170,000 in payments from third-party providers of convenience fees paid by our customers for web based and other electronic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spacing w:after="0" w:line="289"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carrying value applicable to such receivables). Interest expense is significantly affected by the volume of automobile contracts we purchased during the trailing 12-month period and the use of our warehouse facilities and asset-backed securitizations to finance those contracts. Due to the onset of the pandemic, we have not completed a securitization in April 2020 as we normally would and therefore will incur greater interest expense on contracts that remain in our warehouse facilities that would have otherwise been included in a securitization.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right="20" w:firstLine="360"/>
        <w:spacing w:after="0" w:line="263" w:lineRule="auto"/>
        <w:rPr>
          <w:sz w:val="20"/>
          <w:szCs w:val="20"/>
          <w:color w:val="auto"/>
        </w:rPr>
      </w:pPr>
      <w:r>
        <w:rPr>
          <w:rFonts w:ascii="Arial" w:cs="Arial" w:eastAsia="Arial" w:hAnsi="Arial"/>
          <w:sz w:val="18"/>
          <w:szCs w:val="18"/>
          <w:color w:val="auto"/>
        </w:rPr>
        <w:t>Total operating expenses were $67.7 million for the three months ended March 31, 2020, compared to $85.6 million for the prior period, a decrease of $17.9 million, or 20.9%. The decrease is primarily due to a decrease in provision for credit losses, offsetting increases in employee costs and general and administrative expenses.</w:t>
      </w:r>
    </w:p>
    <w:p>
      <w:pPr>
        <w:spacing w:after="0" w:line="18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Employee costs increased by $2.8 million or 14.5%, to $21.8 million during the three months ended March 31, 2020, representing 32.3% of total operating expenses, from $19.1 million for the prior year, or 22.3% of total operating expenses. The table below summarizes our employees by category as well as contract purchases and units in our managed portfolio as of, and for the three-month periods ended, March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Pr>
          <w:p>
            <w:pPr>
              <w:spacing w:after="0"/>
              <w:rPr>
                <w:sz w:val="20"/>
                <w:szCs w:val="20"/>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March 31, 2019</w:t>
            </w:r>
          </w:p>
        </w:tc>
      </w:tr>
      <w:tr>
        <w:trPr>
          <w:trHeight w:val="209"/>
        </w:trPr>
        <w:tc>
          <w:tcPr>
            <w:tcW w:w="5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7"/>
          </w:tcPr>
          <w:p>
            <w:pPr>
              <w:ind w:left="940"/>
              <w:spacing w:after="0"/>
              <w:rPr>
                <w:sz w:val="20"/>
                <w:szCs w:val="20"/>
                <w:color w:val="auto"/>
              </w:rPr>
            </w:pPr>
            <w:r>
              <w:rPr>
                <w:rFonts w:ascii="Arial" w:cs="Arial" w:eastAsia="Arial" w:hAnsi="Arial"/>
                <w:sz w:val="18"/>
                <w:szCs w:val="18"/>
                <w:b w:val="1"/>
                <w:bCs w:val="1"/>
                <w:color w:val="auto"/>
              </w:rPr>
              <w:t>($ in millions)</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266.0</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14,747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2,435.1</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2,393.2</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179,253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176,916</w:t>
            </w: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$8.7 million, an increase from $8.2 million in the previous year and represented 12.8% of total operating expenses.</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Interest expense for the three months ended March 31, 2020 were $27.0 million and represented 39.9% of total operating expenses, compared to $27.3 million in the previous year, when it was 31.9%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jc w:val="both"/>
        <w:ind w:firstLine="360"/>
        <w:spacing w:after="0" w:line="291" w:lineRule="auto"/>
        <w:rPr>
          <w:sz w:val="20"/>
          <w:szCs w:val="20"/>
          <w:color w:val="auto"/>
        </w:rPr>
      </w:pPr>
      <w:r>
        <w:rPr>
          <w:rFonts w:ascii="Arial" w:cs="Arial" w:eastAsia="Arial" w:hAnsi="Arial"/>
          <w:sz w:val="16"/>
          <w:szCs w:val="16"/>
          <w:color w:val="auto"/>
        </w:rPr>
        <w:t>Interest on securitization trust debt decreased by $190,000 for the three months ended March 31, 2020 compared to the prior period. The average balance of securitization trust debt decreased to $2,186.3 million for the three months ended March 31, 2020 compared to $2,193.5 million for the three months ended March 31, 2019. The blended interest rates on new term securitizations have generally increased in 2017 and 2018 before declining in 2019.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28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January 2017</w:t>
            </w:r>
          </w:p>
        </w:tc>
        <w:tc>
          <w:tcPr>
            <w:tcW w:w="220" w:type="dxa"/>
            <w:vAlign w:val="bottom"/>
            <w:tcBorders>
              <w:top w:val="single" w:sz="8" w:color="EEEEEE"/>
            </w:tcBorders>
            <w:shd w:val="clear" w:color="auto" w:fill="EEEEEE"/>
          </w:tcPr>
          <w:p>
            <w:pPr>
              <w:spacing w:after="0"/>
              <w:rPr>
                <w:sz w:val="18"/>
                <w:szCs w:val="18"/>
                <w:color w:val="auto"/>
              </w:rPr>
            </w:pPr>
          </w:p>
        </w:tc>
        <w:tc>
          <w:tcPr>
            <w:tcW w:w="28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2017</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2017</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2017</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2018</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2018</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2018</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2018</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2019</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2019</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2019</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2019</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2020</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bl>
    <w:p>
      <w:pPr>
        <w:spacing w:after="0" w:line="20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annualized average rate on our securitization trust debt was 4.4% for the three months ended March 31, 2020 and 2019.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Interest expense on subordinated renewable notes increased by $167,000. The average balance of the outstanding subordinated debt increased 25.5% to $18.1 million for the three months ended March 31, 2020 compared to $14.4 million for the three months ended March 31, 2019. The average yield of subordinated notes increased to 10.9% in the three-month period ended March 31, 2020 compared to 9.1% in the prior period.</w:t>
      </w:r>
    </w:p>
    <w:p>
      <w:pPr>
        <w:spacing w:after="0" w:line="165"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Interest expense on warehouse debt decreased by $258,000, or 12.8%, for the three months ended March 31, 2020 compared to the prior period. The average rate on the debt decreased to 9.7% in the three-month period ended March 31, 2020 compared to 10.3% in the prior period.</w:t>
      </w:r>
    </w:p>
    <w:p>
      <w:pPr>
        <w:spacing w:after="0" w:line="146"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On May 16, 2018, we completed a $40.0 million securitization of residual interests from previously issued securitizations. Interest expense on this residual interest financing was $938,000 for the three months ended March 31, 2020 compared to $956,000 in the prior year period.</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8"/>
                <w:szCs w:val="18"/>
                <w:b w:val="1"/>
                <w:bCs w:val="1"/>
                <w:color w:val="auto"/>
                <w:w w:val="92"/>
              </w:rPr>
              <w:t>Three Months Ended March 31,</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6"/>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Balance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Yield/Rate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Interest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89"/>
        </w:trPr>
        <w:tc>
          <w:tcPr>
            <w:tcW w:w="66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Arial" w:cs="Arial" w:eastAsia="Arial" w:hAnsi="Arial"/>
                <w:sz w:val="18"/>
                <w:szCs w:val="18"/>
                <w:b w:val="1"/>
                <w:bCs w:val="1"/>
                <w:color w:val="auto"/>
                <w:w w:val="89"/>
              </w:rPr>
              <w:t>Interest Earning Assets</w:t>
            </w:r>
          </w:p>
        </w:tc>
        <w:tc>
          <w:tcPr>
            <w:tcW w:w="90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106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20" w:type="dxa"/>
            <w:vAlign w:val="bottom"/>
            <w:tcBorders>
              <w:top w:val="single" w:sz="8" w:color="EEEEEE"/>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84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20" w:type="dxa"/>
            <w:vAlign w:val="bottom"/>
            <w:tcBorders>
              <w:top w:val="single" w:sz="8" w:color="EEEEEE"/>
              <w:bottom w:val="single" w:sz="8" w:color="EEEEEE"/>
            </w:tcBorders>
            <w:shd w:val="clear" w:color="auto" w:fill="EEEEEE"/>
          </w:tcPr>
          <w:p>
            <w:pPr>
              <w:spacing w:after="0"/>
              <w:rPr>
                <w:sz w:val="16"/>
                <w:szCs w:val="16"/>
                <w:color w:val="auto"/>
              </w:rPr>
            </w:pPr>
          </w:p>
        </w:tc>
        <w:tc>
          <w:tcPr>
            <w:tcW w:w="116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1060" w:type="dxa"/>
            <w:vAlign w:val="bottom"/>
            <w:tcBorders>
              <w:top w:val="single" w:sz="8" w:color="auto"/>
              <w:bottom w:val="single" w:sz="8" w:color="EEEEEE"/>
            </w:tcBorders>
            <w:shd w:val="clear" w:color="auto" w:fill="EEEEEE"/>
          </w:tcPr>
          <w:p>
            <w:pPr>
              <w:spacing w:after="0"/>
              <w:rPr>
                <w:sz w:val="16"/>
                <w:szCs w:val="16"/>
                <w:color w:val="auto"/>
              </w:rPr>
            </w:pPr>
          </w:p>
        </w:tc>
        <w:tc>
          <w:tcPr>
            <w:tcW w:w="12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820" w:type="dxa"/>
            <w:vAlign w:val="bottom"/>
            <w:tcBorders>
              <w:top w:val="single" w:sz="8" w:color="auto"/>
              <w:bottom w:val="single" w:sz="8" w:color="EEEEEE"/>
            </w:tcBorders>
            <w:shd w:val="clear" w:color="auto" w:fill="EEEEEE"/>
          </w:tcPr>
          <w:p>
            <w:pPr>
              <w:spacing w:after="0"/>
              <w:rPr>
                <w:sz w:val="16"/>
                <w:szCs w:val="16"/>
                <w:color w:val="auto"/>
              </w:rPr>
            </w:pPr>
          </w:p>
        </w:tc>
        <w:tc>
          <w:tcPr>
            <w:tcW w:w="12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1160" w:type="dxa"/>
            <w:vAlign w:val="bottom"/>
            <w:tcBorders>
              <w:top w:val="single" w:sz="8" w:color="auto"/>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845,727</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38,330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1,401,047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63,030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3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6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1,580,468</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40,806</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955,566</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22,815</w:t>
            </w:r>
          </w:p>
        </w:tc>
        <w:tc>
          <w:tcPr>
            <w:tcW w:w="100" w:type="dxa"/>
            <w:vAlign w:val="bottom"/>
            <w:shd w:val="clear" w:color="auto" w:fill="EEEEEE"/>
          </w:tcPr>
          <w:p>
            <w:pPr>
              <w:spacing w:after="0"/>
              <w:rPr>
                <w:sz w:val="19"/>
                <w:szCs w:val="19"/>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79,136</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2,356,613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840" w:type="dxa"/>
            <w:vAlign w:val="bottom"/>
            <w:gridSpan w:val="4"/>
          </w:tcPr>
          <w:p>
            <w:pPr>
              <w:jc w:val="center"/>
              <w:ind w:right="78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tcPr>
          <w:p>
            <w:pPr>
              <w:spacing w:after="0"/>
              <w:rPr>
                <w:sz w:val="15"/>
                <w:szCs w:val="15"/>
                <w:color w:val="auto"/>
              </w:rPr>
            </w:pPr>
          </w:p>
        </w:tc>
        <w:tc>
          <w:tcPr>
            <w:tcW w:w="11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FFFFFF"/>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72,684</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1,762</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79,819</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50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38,895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2,186,833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23,798</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2,193,486</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23,988</w:t>
            </w: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50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EEEEE"/>
          </w:tcPr>
          <w:p>
            <w:pPr>
              <w:spacing w:after="0" w:line="20" w:lineRule="exact"/>
              <w:rPr>
                <w:sz w:val="1"/>
                <w:szCs w:val="1"/>
                <w:color w:val="auto"/>
              </w:rPr>
            </w:pPr>
          </w:p>
        </w:tc>
        <w:tc>
          <w:tcPr>
            <w:tcW w:w="1280" w:type="dxa"/>
            <w:vAlign w:val="bottom"/>
            <w:gridSpan w:val="2"/>
            <w:vMerge w:val="restart"/>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EEEEEE"/>
          </w:tcPr>
          <w:p>
            <w:pPr>
              <w:spacing w:after="0" w:line="20" w:lineRule="exact"/>
              <w:rPr>
                <w:sz w:val="1"/>
                <w:szCs w:val="1"/>
                <w:color w:val="auto"/>
              </w:rPr>
            </w:pPr>
          </w:p>
        </w:tc>
        <w:tc>
          <w:tcPr>
            <w:tcW w:w="100" w:type="dxa"/>
            <w:vAlign w:val="bottom"/>
            <w:vMerge w:val="restart"/>
            <w:shd w:val="clear" w:color="auto" w:fill="EEEEEE"/>
          </w:tcPr>
          <w:p>
            <w:pPr>
              <w:spacing w:after="0" w:line="20" w:lineRule="exact"/>
              <w:rPr>
                <w:sz w:val="1"/>
                <w:szCs w:val="1"/>
                <w:color w:val="auto"/>
              </w:rPr>
            </w:pPr>
          </w:p>
        </w:tc>
        <w:tc>
          <w:tcPr>
            <w:tcW w:w="116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36"/>
        </w:trPr>
        <w:tc>
          <w:tcPr>
            <w:tcW w:w="6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2,316,465</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26,991</w:t>
            </w:r>
          </w:p>
        </w:tc>
        <w:tc>
          <w:tcPr>
            <w:tcW w:w="100" w:type="dxa"/>
            <w:vAlign w:val="bottom"/>
            <w:vMerge w:val="continue"/>
            <w:shd w:val="clear" w:color="auto" w:fill="EEEEEE"/>
          </w:tcPr>
          <w:p>
            <w:pPr>
              <w:spacing w:after="0"/>
              <w:rPr>
                <w:sz w:val="20"/>
                <w:szCs w:val="20"/>
                <w:color w:val="auto"/>
              </w:rPr>
            </w:pPr>
          </w:p>
        </w:tc>
        <w:tc>
          <w:tcPr>
            <w:tcW w:w="1280" w:type="dxa"/>
            <w:vAlign w:val="bottom"/>
            <w:gridSpan w:val="2"/>
            <w:vMerge w:val="continue"/>
            <w:shd w:val="clear" w:color="auto" w:fill="EEEEEE"/>
          </w:tcPr>
          <w:p>
            <w:pPr>
              <w:spacing w:after="0"/>
              <w:rPr>
                <w:sz w:val="20"/>
                <w:szCs w:val="20"/>
                <w:color w:val="auto"/>
              </w:rPr>
            </w:pP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2,327,689</w:t>
            </w:r>
          </w:p>
        </w:tc>
        <w:tc>
          <w:tcPr>
            <w:tcW w:w="1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27,290</w:t>
            </w:r>
          </w:p>
        </w:tc>
        <w:tc>
          <w:tcPr>
            <w:tcW w:w="120" w:type="dxa"/>
            <w:vAlign w:val="bottom"/>
            <w:vMerge w:val="continue"/>
            <w:shd w:val="clear" w:color="auto" w:fill="EEEEEE"/>
          </w:tcPr>
          <w:p>
            <w:pPr>
              <w:spacing w:after="0"/>
              <w:rPr>
                <w:sz w:val="20"/>
                <w:szCs w:val="20"/>
                <w:color w:val="auto"/>
              </w:rPr>
            </w:pPr>
          </w:p>
        </w:tc>
        <w:tc>
          <w:tcPr>
            <w:tcW w:w="100" w:type="dxa"/>
            <w:vAlign w:val="bottom"/>
            <w:vMerge w:val="continue"/>
            <w:shd w:val="clear" w:color="auto" w:fill="EEEEEE"/>
          </w:tcPr>
          <w:p>
            <w:pPr>
              <w:spacing w:after="0"/>
              <w:rPr>
                <w:sz w:val="20"/>
                <w:szCs w:val="20"/>
                <w:color w:val="auto"/>
              </w:rPr>
            </w:pPr>
          </w:p>
        </w:tc>
        <w:tc>
          <w:tcPr>
            <w:tcW w:w="1160" w:type="dxa"/>
            <w:vAlign w:val="bottom"/>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bottom w:val="single" w:sz="8" w:color="EEEEEE"/>
            </w:tcBorders>
            <w:vMerge w:val="restart"/>
          </w:tcPr>
          <w:p>
            <w:pPr>
              <w:jc w:val="right"/>
              <w:ind w:right="70"/>
              <w:spacing w:after="0"/>
              <w:rPr>
                <w:sz w:val="20"/>
                <w:szCs w:val="20"/>
                <w:color w:val="auto"/>
              </w:rPr>
            </w:pPr>
            <w:r>
              <w:rPr>
                <w:rFonts w:ascii="Arial" w:cs="Arial" w:eastAsia="Arial" w:hAnsi="Arial"/>
                <w:sz w:val="18"/>
                <w:szCs w:val="18"/>
                <w:color w:val="FFFFFF"/>
              </w:rPr>
              <w:t>$</w:t>
            </w:r>
          </w:p>
        </w:tc>
        <w:tc>
          <w:tcPr>
            <w:tcW w:w="0" w:type="dxa"/>
            <w:vAlign w:val="bottom"/>
          </w:tcPr>
          <w:p>
            <w:pPr>
              <w:spacing w:after="0" w:line="20" w:lineRule="exact"/>
              <w:rPr>
                <w:sz w:val="1"/>
                <w:szCs w:val="1"/>
                <w:color w:val="auto"/>
              </w:rPr>
            </w:pPr>
          </w:p>
        </w:tc>
      </w:tr>
      <w:tr>
        <w:trPr>
          <w:trHeight w:val="204"/>
        </w:trPr>
        <w:tc>
          <w:tcPr>
            <w:tcW w:w="6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7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0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Borders>
              <w:bottom w:val="single" w:sz="8" w:color="EEEEEE"/>
            </w:tcBorders>
            <w:shd w:val="clear" w:color="auto" w:fill="EEEEEE"/>
          </w:tcPr>
          <w:p>
            <w:pPr>
              <w:jc w:val="right"/>
              <w:ind w:right="7"/>
              <w:spacing w:after="0"/>
              <w:rPr>
                <w:sz w:val="20"/>
                <w:szCs w:val="20"/>
                <w:color w:val="auto"/>
              </w:rPr>
            </w:pPr>
            <w:r>
              <w:rPr>
                <w:rFonts w:ascii="Arial" w:cs="Arial" w:eastAsia="Arial" w:hAnsi="Arial"/>
                <w:sz w:val="15"/>
                <w:szCs w:val="15"/>
                <w:color w:val="FFFFFF"/>
                <w:w w:val="71"/>
              </w:rPr>
              <w:t>$</w:t>
            </w:r>
          </w:p>
        </w:tc>
        <w:tc>
          <w:tcPr>
            <w:tcW w:w="1160" w:type="dxa"/>
            <w:vAlign w:val="bottom"/>
            <w:tcBorders>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1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52,145</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EEEEEE"/>
            </w:tcBorders>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280" w:type="dxa"/>
            <w:vAlign w:val="bottom"/>
            <w:tcBorders>
              <w:bottom w:val="single" w:sz="8" w:color="EEEEEE"/>
            </w:tcBorders>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58,555</w:t>
            </w:r>
          </w:p>
        </w:tc>
        <w:tc>
          <w:tcPr>
            <w:tcW w:w="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EEEEEE"/>
            </w:tcBorders>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Net interest yield (3)</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FFFFFF"/>
                <w:w w:val="71"/>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97"/>
        </w:trPr>
        <w:tc>
          <w:tcPr>
            <w:tcW w:w="3500" w:type="dxa"/>
            <w:vAlign w:val="bottom"/>
            <w:gridSpan w:val="5"/>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Ratio of average interest earning assets to</w:t>
            </w:r>
          </w:p>
        </w:tc>
        <w:tc>
          <w:tcPr>
            <w:tcW w:w="1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average interest bearing liabilities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FFFFFF"/>
                <w:w w:val="71"/>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10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28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4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2"/>
              </w:rPr>
              <w:t>Three Months Ended March 31, 2020</w:t>
            </w:r>
          </w:p>
        </w:tc>
      </w:tr>
      <w:tr>
        <w:trPr>
          <w:trHeight w:val="234"/>
        </w:trPr>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left="890"/>
              <w:spacing w:after="0"/>
              <w:rPr>
                <w:sz w:val="20"/>
                <w:szCs w:val="20"/>
                <w:color w:val="auto"/>
              </w:rPr>
            </w:pPr>
            <w:r>
              <w:rPr>
                <w:rFonts w:ascii="Arial" w:cs="Arial" w:eastAsia="Arial" w:hAnsi="Arial"/>
                <w:sz w:val="18"/>
                <w:szCs w:val="18"/>
                <w:b w:val="1"/>
                <w:bCs w:val="1"/>
                <w:color w:val="auto"/>
                <w:w w:val="91"/>
              </w:rPr>
              <w:t>Compared to March 31, 2019</w:t>
            </w: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5"/>
        </w:trPr>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641"/>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540" w:type="dxa"/>
            <w:vAlign w:val="bottom"/>
            <w:gridSpan w:val="2"/>
          </w:tcPr>
          <w:p>
            <w:pPr>
              <w:jc w:val="center"/>
              <w:ind w:right="281"/>
              <w:spacing w:after="0" w:line="205" w:lineRule="exact"/>
              <w:rPr>
                <w:sz w:val="20"/>
                <w:szCs w:val="20"/>
                <w:color w:val="auto"/>
              </w:rPr>
            </w:pPr>
            <w:r>
              <w:rPr>
                <w:rFonts w:ascii="Arial" w:cs="Arial" w:eastAsia="Arial" w:hAnsi="Arial"/>
                <w:sz w:val="18"/>
                <w:szCs w:val="18"/>
                <w:b w:val="1"/>
                <w:bCs w:val="1"/>
                <w:color w:val="auto"/>
                <w:w w:val="89"/>
              </w:rPr>
              <w:t>Change Due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ind w:right="260"/>
              <w:spacing w:after="0" w:line="205" w:lineRule="exact"/>
              <w:rPr>
                <w:sz w:val="20"/>
                <w:szCs w:val="20"/>
                <w:color w:val="auto"/>
              </w:rPr>
            </w:pPr>
            <w:r>
              <w:rPr>
                <w:rFonts w:ascii="Arial" w:cs="Arial" w:eastAsia="Arial" w:hAnsi="Arial"/>
                <w:sz w:val="18"/>
                <w:szCs w:val="18"/>
                <w:b w:val="1"/>
                <w:bCs w:val="1"/>
                <w:color w:val="auto"/>
                <w:w w:val="91"/>
              </w:rPr>
              <w:t>Change Due</w:t>
            </w:r>
          </w:p>
        </w:tc>
      </w:tr>
      <w:tr>
        <w:trPr>
          <w:trHeight w:val="234"/>
        </w:trPr>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541"/>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281"/>
              <w:spacing w:after="0"/>
              <w:rPr>
                <w:sz w:val="20"/>
                <w:szCs w:val="20"/>
                <w:color w:val="auto"/>
              </w:rPr>
            </w:pPr>
            <w:r>
              <w:rPr>
                <w:rFonts w:ascii="Arial" w:cs="Arial" w:eastAsia="Arial" w:hAnsi="Arial"/>
                <w:sz w:val="18"/>
                <w:szCs w:val="18"/>
                <w:b w:val="1"/>
                <w:bCs w:val="1"/>
                <w:color w:val="auto"/>
                <w:w w:val="89"/>
              </w:rPr>
              <w:t>to Volume</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rPr>
              <w:t>to Rate</w:t>
            </w:r>
          </w:p>
        </w:tc>
      </w:tr>
      <w:tr>
        <w:trPr>
          <w:trHeight w:val="210"/>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5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840" w:type="dxa"/>
            <w:vAlign w:val="bottom"/>
            <w:tcBorders>
              <w:bottom w:val="single" w:sz="8" w:color="EEEEEE"/>
            </w:tcBorders>
            <w:gridSpan w:val="2"/>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08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2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5300" w:type="dxa"/>
            <w:vAlign w:val="bottom"/>
            <w:gridSpan w:val="5"/>
          </w:tcPr>
          <w:p>
            <w:pPr>
              <w:spacing w:after="0"/>
              <w:rPr>
                <w:sz w:val="20"/>
                <w:szCs w:val="20"/>
                <w:color w:val="auto"/>
              </w:rPr>
            </w:pPr>
            <w:r>
              <w:rPr>
                <w:rFonts w:ascii="Arial" w:cs="Arial" w:eastAsia="Arial" w:hAnsi="Arial"/>
                <w:sz w:val="18"/>
                <w:szCs w:val="18"/>
                <w:color w:val="auto"/>
              </w:rPr>
              <w:t>Finance receivables gross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(24,700)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(24,911)</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211</w:t>
            </w:r>
          </w:p>
        </w:tc>
      </w:tr>
      <w:tr>
        <w:trPr>
          <w:trHeight w:val="230"/>
        </w:trPr>
        <w:tc>
          <w:tcPr>
            <w:tcW w:w="53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26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17,991</w:t>
            </w:r>
          </w:p>
        </w:tc>
        <w:tc>
          <w:tcPr>
            <w:tcW w:w="1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15,225</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2,766</w:t>
            </w:r>
          </w:p>
        </w:tc>
        <w:tc>
          <w:tcPr>
            <w:tcW w:w="80" w:type="dxa"/>
            <w:vAlign w:val="bottom"/>
            <w:shd w:val="clear" w:color="auto" w:fill="EEEEEE"/>
          </w:tcPr>
          <w:p>
            <w:pPr>
              <w:spacing w:after="0"/>
              <w:rPr>
                <w:sz w:val="19"/>
                <w:szCs w:val="19"/>
                <w:color w:val="auto"/>
              </w:rPr>
            </w:pPr>
          </w:p>
        </w:tc>
      </w:tr>
      <w:tr>
        <w:trPr>
          <w:trHeight w:val="209"/>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1520" w:type="dxa"/>
            <w:vAlign w:val="bottom"/>
            <w:shd w:val="clear" w:color="auto" w:fill="EEEEEE"/>
          </w:tcPr>
          <w:p>
            <w:pPr>
              <w:spacing w:after="0"/>
              <w:rPr>
                <w:sz w:val="15"/>
                <w:szCs w:val="15"/>
                <w:color w:val="auto"/>
              </w:rPr>
            </w:pPr>
          </w:p>
        </w:tc>
        <w:tc>
          <w:tcPr>
            <w:tcW w:w="3780" w:type="dxa"/>
            <w:vAlign w:val="bottom"/>
            <w:gridSpan w:val="4"/>
            <w:shd w:val="clear" w:color="auto" w:fill="EEEEEE"/>
          </w:tcPr>
          <w:p>
            <w:pPr>
              <w:jc w:val="center"/>
              <w:ind w:right="172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6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2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r>
      <w:tr>
        <w:trPr>
          <w:trHeight w:val="20"/>
        </w:trPr>
        <w:tc>
          <w:tcPr>
            <w:tcW w:w="15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r>
        <w:trPr>
          <w:trHeight w:val="216"/>
        </w:trPr>
        <w:tc>
          <w:tcPr>
            <w:tcW w:w="530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26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53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(18)</w:t>
            </w:r>
          </w:p>
        </w:tc>
        <w:tc>
          <w:tcPr>
            <w:tcW w:w="1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(18)</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260" w:type="dxa"/>
            <w:vAlign w:val="bottom"/>
          </w:tcPr>
          <w:p>
            <w:pPr>
              <w:spacing w:after="0"/>
              <w:rPr>
                <w:sz w:val="18"/>
                <w:szCs w:val="18"/>
                <w:color w:val="auto"/>
              </w:rPr>
            </w:pP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6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86</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shd w:val="clear" w:color="auto" w:fill="EEEEEE"/>
          </w:tcPr>
          <w:p>
            <w:pPr>
              <w:spacing w:after="0"/>
              <w:rPr>
                <w:sz w:val="19"/>
                <w:szCs w:val="19"/>
                <w:color w:val="auto"/>
              </w:rPr>
            </w:pPr>
          </w:p>
        </w:tc>
      </w:tr>
      <w:tr>
        <w:trPr>
          <w:trHeight w:val="209"/>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gridSpan w:val="2"/>
          </w:tcPr>
          <w:p>
            <w:pPr>
              <w:spacing w:after="0"/>
              <w:rPr>
                <w:sz w:val="18"/>
                <w:szCs w:val="18"/>
                <w:color w:val="auto"/>
              </w:rPr>
            </w:pPr>
          </w:p>
        </w:tc>
      </w:tr>
      <w:tr>
        <w:trPr>
          <w:trHeight w:val="230"/>
        </w:trPr>
        <w:tc>
          <w:tcPr>
            <w:tcW w:w="15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20" w:type="dxa"/>
            <w:vAlign w:val="bottom"/>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1080" w:type="dxa"/>
            <w:vAlign w:val="bottom"/>
            <w:tcBorders>
              <w:bottom w:val="single" w:sz="8" w:color="auto"/>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530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1" w:name="page32"/>
    <w:bookmarkEnd w:id="31"/>
    <w:p>
      <w:pPr>
        <w:jc w:val="both"/>
        <w:ind w:firstLine="360"/>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three months ended March 31, 2020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$1,580.5 million for the three months ended March 31, 2020 compared to $955.6 million in the prior year period.</w:t>
      </w:r>
    </w:p>
    <w:p>
      <w:pPr>
        <w:spacing w:after="0" w:line="18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Provision for credit losses was $3.6 million for the three months ended March 31, 2020, a decrease of $20.3 million, or 84.9% compared to the prior year and represented 5.3% of total operating expenses. The provision represents our estimate of additional losses that may be incurred on the portfolio of finance receivables resulting from the pandemic. Such losses were not considered in our initial estimate of remaining lifetime losses that we recorded with the adoption of CECL in January 2020.</w:t>
      </w:r>
    </w:p>
    <w:p>
      <w:pPr>
        <w:spacing w:after="0" w:line="18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decreased by $405,000 to $4.4 million during the three months ended March 31, 2020 and represented 6.5% of total operating expenses. Our sales staff was lower as of March 31, 2020 compared to March 31, 2019.</w:t>
      </w:r>
    </w:p>
    <w:p>
      <w:pPr>
        <w:spacing w:after="0" w:line="15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Occupancy expenses decreased by $283,000 or 14.3%, to $1.7 million compared to $2.0 million in the previous year and represented 2.6% of total operating expenses.</w:t>
      </w:r>
    </w:p>
    <w:p>
      <w:pPr>
        <w:spacing w:after="0" w:line="1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Depreciation and amortization expenses increased to $419,000 compared to $251,000 in the previous year and represented 0.6% of total operating expenses.</w:t>
      </w:r>
    </w:p>
    <w:p>
      <w:pPr>
        <w:spacing w:after="0" w:line="1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Income tax benefit was $7.7 million for the three months ended March 31, 2020, which includes an $8.8 million tax benefit.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$8.8 million. Excluding the tax benefit, income tax expense would have been $1.1 million, representing an effective income tax rate of 36%. For the prior year period, income tax expense was $937,000, which represents an effective income tax rate of 35%.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pandemic will likely have a negative effect on our delinquency and charge off experience in the future, which is not yet reflected in the tables below. The tables do not include the experience of third party originated and owned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520" w:type="dxa"/>
            <w:vAlign w:val="bottom"/>
            <w:gridSpan w:val="7"/>
          </w:tcPr>
          <w:p>
            <w:pPr>
              <w:ind w:left="620"/>
              <w:spacing w:after="0"/>
              <w:rPr>
                <w:sz w:val="20"/>
                <w:szCs w:val="20"/>
                <w:color w:val="auto"/>
              </w:rPr>
            </w:pPr>
            <w:r>
              <w:rPr>
                <w:rFonts w:ascii="Arial" w:cs="Arial" w:eastAsia="Arial" w:hAnsi="Arial"/>
                <w:sz w:val="18"/>
                <w:szCs w:val="18"/>
                <w:b w:val="1"/>
                <w:bCs w:val="1"/>
                <w:color w:val="auto"/>
              </w:rPr>
              <w:t>March 31, 2020</w:t>
            </w:r>
          </w:p>
        </w:tc>
        <w:tc>
          <w:tcPr>
            <w:tcW w:w="25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March 31, 2019</w:t>
            </w: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200"/>
              <w:spacing w:after="0" w:line="205" w:lineRule="exact"/>
              <w:rPr>
                <w:sz w:val="20"/>
                <w:szCs w:val="20"/>
                <w:color w:val="auto"/>
              </w:rPr>
            </w:pPr>
            <w:r>
              <w:rPr>
                <w:rFonts w:ascii="Arial" w:cs="Arial" w:eastAsia="Arial" w:hAnsi="Arial"/>
                <w:sz w:val="18"/>
                <w:szCs w:val="18"/>
                <w:b w:val="1"/>
                <w:bCs w:val="1"/>
                <w:color w:val="auto"/>
              </w:rPr>
              <w:t>Number of</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rPr>
              <w:t>Number of</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rPr>
              <w:t>Number of</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Contracts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Contracts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Contracts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9"/>
              </w:rPr>
              <w:t>(Dollars in thousands)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179,253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2,435,074</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176,916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2,393,165</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177,604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2,416,042</w:t>
            </w:r>
          </w:p>
        </w:tc>
        <w:tc>
          <w:tcPr>
            <w:tcW w:w="0" w:type="dxa"/>
            <w:vAlign w:val="bottom"/>
          </w:tcPr>
          <w:p>
            <w:pPr>
              <w:spacing w:after="0"/>
              <w:rPr>
                <w:sz w:val="1"/>
                <w:szCs w:val="1"/>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31-60 days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10,465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143,749</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10,718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150,214</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13,737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189,214</w:t>
            </w:r>
          </w:p>
        </w:tc>
        <w:tc>
          <w:tcPr>
            <w:tcW w:w="0" w:type="dxa"/>
            <w:vAlign w:val="bottom"/>
          </w:tcPr>
          <w:p>
            <w:pPr>
              <w:spacing w:after="0"/>
              <w:rPr>
                <w:sz w:val="1"/>
                <w:szCs w:val="1"/>
                <w:color w:val="auto"/>
              </w:rPr>
            </w:pPr>
          </w:p>
        </w:tc>
      </w:tr>
      <w:tr>
        <w:trPr>
          <w:trHeight w:val="216"/>
        </w:trPr>
        <w:tc>
          <w:tcPr>
            <w:tcW w:w="3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61-90 days</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5,077</w:t>
            </w: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69,364</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4,938</w:t>
            </w:r>
          </w:p>
        </w:tc>
        <w:tc>
          <w:tcPr>
            <w:tcW w:w="1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66,779</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6,695</w:t>
            </w:r>
          </w:p>
        </w:tc>
        <w:tc>
          <w:tcPr>
            <w:tcW w:w="1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91,675</w:t>
            </w: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91+ days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34,816</w:t>
            </w: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2,581</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31,692</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3,530</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46,516</w:t>
            </w:r>
          </w:p>
        </w:tc>
        <w:tc>
          <w:tcPr>
            <w:tcW w:w="0" w:type="dxa"/>
            <w:vAlign w:val="bottom"/>
          </w:tcPr>
          <w:p>
            <w:pPr>
              <w:spacing w:after="0"/>
              <w:rPr>
                <w:sz w:val="1"/>
                <w:szCs w:val="1"/>
                <w:color w:val="auto"/>
              </w:rPr>
            </w:pPr>
          </w:p>
        </w:tc>
      </w:tr>
      <w:tr>
        <w:trPr>
          <w:trHeight w:val="210"/>
        </w:trPr>
        <w:tc>
          <w:tcPr>
            <w:tcW w:w="3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18,471</w:t>
            </w:r>
          </w:p>
        </w:tc>
        <w:tc>
          <w:tcPr>
            <w:tcW w:w="2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247,929</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18,237</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248,685</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23,962</w:t>
            </w:r>
          </w:p>
        </w:tc>
        <w:tc>
          <w:tcPr>
            <w:tcW w:w="2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327,405</w:t>
            </w:r>
          </w:p>
        </w:tc>
        <w:tc>
          <w:tcPr>
            <w:tcW w:w="16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54,349</w:t>
            </w: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41,410</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3,779</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46,144</w:t>
            </w:r>
          </w:p>
        </w:tc>
        <w:tc>
          <w:tcPr>
            <w:tcW w:w="0" w:type="dxa"/>
            <w:vAlign w:val="bottom"/>
          </w:tcPr>
          <w:p>
            <w:pPr>
              <w:spacing w:after="0"/>
              <w:rPr>
                <w:sz w:val="1"/>
                <w:szCs w:val="1"/>
                <w:color w:val="auto"/>
              </w:rPr>
            </w:pPr>
          </w:p>
        </w:tc>
      </w:tr>
      <w:tr>
        <w:trPr>
          <w:trHeight w:val="182"/>
        </w:trPr>
        <w:tc>
          <w:tcPr>
            <w:tcW w:w="376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7"/>
              </w:rPr>
              <w:t>Total delinquencies and amount in repossession</w:t>
            </w:r>
          </w:p>
        </w:tc>
        <w:tc>
          <w:tcPr>
            <w:tcW w:w="98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6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82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00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82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000" w:type="dxa"/>
            <w:vAlign w:val="bottom"/>
            <w:tcBorders>
              <w:top w:val="single" w:sz="8" w:color="auto"/>
            </w:tcBorders>
            <w:shd w:val="clear" w:color="auto" w:fill="EEEEEE"/>
          </w:tcPr>
          <w:p>
            <w:pPr>
              <w:spacing w:after="0"/>
              <w:rPr>
                <w:sz w:val="15"/>
                <w:szCs w:val="15"/>
                <w:color w:val="auto"/>
              </w:rPr>
            </w:pPr>
          </w:p>
        </w:tc>
        <w:tc>
          <w:tcPr>
            <w:tcW w:w="28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82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22,982</w:t>
            </w:r>
          </w:p>
        </w:tc>
        <w:tc>
          <w:tcPr>
            <w:tcW w:w="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302,278</w:t>
            </w:r>
          </w:p>
        </w:tc>
        <w:tc>
          <w:tcPr>
            <w:tcW w:w="100" w:type="dxa"/>
            <w:vAlign w:val="bottom"/>
            <w:shd w:val="clear" w:color="auto" w:fill="EEEEEE"/>
          </w:tcPr>
          <w:p>
            <w:pPr>
              <w:spacing w:after="0"/>
              <w:rPr>
                <w:sz w:val="22"/>
                <w:szCs w:val="22"/>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21,479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290,095</w:t>
            </w:r>
          </w:p>
        </w:tc>
        <w:tc>
          <w:tcPr>
            <w:tcW w:w="100" w:type="dxa"/>
            <w:vAlign w:val="bottom"/>
            <w:shd w:val="clear" w:color="auto" w:fill="EEEEEE"/>
          </w:tcPr>
          <w:p>
            <w:pPr>
              <w:spacing w:after="0"/>
              <w:rPr>
                <w:sz w:val="22"/>
                <w:szCs w:val="22"/>
                <w:color w:val="auto"/>
              </w:rPr>
            </w:pP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27,741</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373,549</w:t>
            </w:r>
          </w:p>
        </w:tc>
        <w:tc>
          <w:tcPr>
            <w:tcW w:w="0" w:type="dxa"/>
            <w:vAlign w:val="bottom"/>
          </w:tcPr>
          <w:p>
            <w:pPr>
              <w:spacing w:after="0"/>
              <w:rPr>
                <w:sz w:val="1"/>
                <w:szCs w:val="1"/>
                <w:color w:val="auto"/>
              </w:rPr>
            </w:pPr>
          </w:p>
        </w:tc>
      </w:tr>
      <w:tr>
        <w:trPr>
          <w:trHeight w:val="20"/>
        </w:trPr>
        <w:tc>
          <w:tcPr>
            <w:tcW w:w="37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Delinquencies as a percentage of gross servicing</w:t>
            </w: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portfolio</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1"/>
              </w:rPr>
              <w:t>Total delinquencies and amount in repossession as</w:t>
            </w: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 percentage of gross servicing portfolio</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Contracts with one extension, accruing</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29,683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397,622</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25,928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346,724</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27,677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385,673</w:t>
            </w:r>
          </w:p>
        </w:tc>
        <w:tc>
          <w:tcPr>
            <w:tcW w:w="0" w:type="dxa"/>
            <w:vAlign w:val="bottom"/>
          </w:tcPr>
          <w:p>
            <w:pPr>
              <w:spacing w:after="0"/>
              <w:rPr>
                <w:sz w:val="1"/>
                <w:szCs w:val="1"/>
                <w:color w:val="auto"/>
              </w:rPr>
            </w:pPr>
          </w:p>
        </w:tc>
      </w:tr>
      <w:tr>
        <w:trPr>
          <w:trHeight w:val="230"/>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w w:val="97"/>
              </w:rPr>
              <w:t>Contracts with two or more extensions, accruing</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58,254</w:t>
            </w:r>
          </w:p>
        </w:tc>
        <w:tc>
          <w:tcPr>
            <w:tcW w:w="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794,789</w:t>
            </w:r>
          </w:p>
        </w:tc>
        <w:tc>
          <w:tcPr>
            <w:tcW w:w="1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60,391</w:t>
            </w:r>
          </w:p>
        </w:tc>
        <w:tc>
          <w:tcPr>
            <w:tcW w:w="18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793,634</w:t>
            </w:r>
          </w:p>
        </w:tc>
        <w:tc>
          <w:tcPr>
            <w:tcW w:w="1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54,440</w:t>
            </w:r>
          </w:p>
        </w:tc>
        <w:tc>
          <w:tcPr>
            <w:tcW w:w="18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673,918</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87,937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1,192,411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86,319</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1,140,358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82,117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1,059,591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Contracts with one extension, non-accrual (4)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9,958</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14,528</w:t>
            </w:r>
          </w:p>
        </w:tc>
        <w:tc>
          <w:tcPr>
            <w:tcW w:w="0" w:type="dxa"/>
            <w:vAlign w:val="bottom"/>
          </w:tcPr>
          <w:p>
            <w:pPr>
              <w:spacing w:after="0"/>
              <w:rPr>
                <w:sz w:val="1"/>
                <w:szCs w:val="1"/>
                <w:color w:val="auto"/>
              </w:rPr>
            </w:pPr>
          </w:p>
        </w:tc>
      </w:tr>
      <w:tr>
        <w:trPr>
          <w:trHeight w:val="202"/>
        </w:trPr>
        <w:tc>
          <w:tcPr>
            <w:tcW w:w="3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 non-</w:t>
            </w: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accrual (4)</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2,558</w:t>
            </w:r>
          </w:p>
        </w:tc>
        <w:tc>
          <w:tcPr>
            <w:tcW w:w="6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33,133</w:t>
            </w:r>
          </w:p>
        </w:tc>
        <w:tc>
          <w:tcPr>
            <w:tcW w:w="10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4,013</w:t>
            </w:r>
          </w:p>
        </w:tc>
        <w:tc>
          <w:tcPr>
            <w:tcW w:w="18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51,932</w:t>
            </w:r>
          </w:p>
        </w:tc>
        <w:tc>
          <w:tcPr>
            <w:tcW w:w="10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4,441</w:t>
            </w:r>
          </w:p>
        </w:tc>
        <w:tc>
          <w:tcPr>
            <w:tcW w:w="18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55,436</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2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43,091</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2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62,025</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28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69,964</w:t>
            </w:r>
          </w:p>
        </w:tc>
        <w:tc>
          <w:tcPr>
            <w:tcW w:w="16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91,328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1,235,502</w:t>
            </w: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91,174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1,202,383</w:t>
            </w:r>
          </w:p>
        </w:tc>
        <w:tc>
          <w:tcPr>
            <w:tcW w:w="1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87,688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1,129,555</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7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6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9"/>
              </w:rPr>
              <w:t>Finance Receivables Portfolio</w:t>
            </w:r>
          </w:p>
        </w:tc>
      </w:tr>
      <w:tr>
        <w:trPr>
          <w:trHeight w:val="229"/>
        </w:trPr>
        <w:tc>
          <w:tcPr>
            <w:tcW w:w="4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300" w:type="dxa"/>
            <w:vAlign w:val="bottom"/>
          </w:tcPr>
          <w:p>
            <w:pPr>
              <w:spacing w:after="0"/>
              <w:rPr>
                <w:sz w:val="18"/>
                <w:szCs w:val="18"/>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0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845,727</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1,436,646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1,192,484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Annualized net charge-offs as a percentage of</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FFFFFF"/>
              </w:rPr>
              <w:t>$</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(2)</w:t>
            </w: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10.3%</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w:t>
            </w:r>
          </w:p>
        </w:tc>
      </w:tr>
      <w:tr>
        <w:trPr>
          <w:trHeight w:val="414"/>
        </w:trPr>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89"/>
              </w:rPr>
              <w:t>Fair Value Receivables Portfolio</w:t>
            </w:r>
          </w:p>
        </w:tc>
      </w:tr>
      <w:tr>
        <w:trPr>
          <w:trHeight w:val="229"/>
        </w:trPr>
        <w:tc>
          <w:tcPr>
            <w:tcW w:w="4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Pr>
          <w:p>
            <w:pPr>
              <w:spacing w:after="0"/>
              <w:rPr>
                <w:sz w:val="19"/>
                <w:szCs w:val="19"/>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300" w:type="dxa"/>
            <w:vAlign w:val="bottom"/>
          </w:tcPr>
          <w:p>
            <w:pPr>
              <w:spacing w:after="0"/>
              <w:rPr>
                <w:sz w:val="18"/>
                <w:szCs w:val="18"/>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0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1,580,468</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955,566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1,212,226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Annualized net charge-offs as a percentage of</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FFFFFF"/>
              </w:rPr>
              <w:t>$</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(2)</w:t>
            </w: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5.2%</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r>
      <w:tr>
        <w:trPr>
          <w:trHeight w:val="414"/>
        </w:trPr>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w w:val="92"/>
              </w:rPr>
              <w:t>Total Managed Portfolio</w:t>
            </w:r>
          </w:p>
        </w:tc>
      </w:tr>
      <w:tr>
        <w:trPr>
          <w:trHeight w:val="230"/>
        </w:trPr>
        <w:tc>
          <w:tcPr>
            <w:tcW w:w="4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Pr>
          <w:p>
            <w:pPr>
              <w:spacing w:after="0"/>
              <w:rPr>
                <w:sz w:val="19"/>
                <w:szCs w:val="19"/>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300" w:type="dxa"/>
            <w:vAlign w:val="bottom"/>
          </w:tcPr>
          <w:p>
            <w:pPr>
              <w:spacing w:after="0"/>
              <w:rPr>
                <w:sz w:val="18"/>
                <w:szCs w:val="18"/>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0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2,426,195</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2,392,212</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2,404,710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Annualized net charge-offs as a percentage of</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FFFFFF"/>
              </w:rPr>
              <w:t>$</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(2)</w:t>
            </w: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7.0%</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w:t>
      </w:r>
    </w:p>
    <w:p>
      <w:pPr>
        <w:spacing w:after="0" w:line="23" w:lineRule="exact"/>
        <w:rPr>
          <w:sz w:val="20"/>
          <w:szCs w:val="20"/>
          <w:color w:val="auto"/>
        </w:rPr>
      </w:pPr>
    </w:p>
    <w:p>
      <w:pPr>
        <w:ind w:firstLine="8"/>
        <w:spacing w:after="0" w:line="250" w:lineRule="auto"/>
        <w:tabs>
          <w:tab w:leader="none" w:pos="271"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57"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2020 and March 31, 2019 percentages represent three months ended March 31, 2020 and March 31, 2019 annualized. December 31, 2019 represents 12 months ended December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firstLine="360"/>
        <w:spacing w:after="0" w:line="254" w:lineRule="auto"/>
        <w:rPr>
          <w:sz w:val="20"/>
          <w:szCs w:val="20"/>
          <w:color w:val="auto"/>
        </w:rPr>
      </w:pPr>
      <w:r>
        <w:rPr>
          <w:rFonts w:ascii="Arial" w:cs="Arial" w:eastAsia="Arial" w:hAnsi="Arial"/>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92"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6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March 31, 2020, for accounts that received extensions from 2008 through 2018 (2019 extension data are not included at this time due to insufficient passage of time for meaningful evaluation of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Avg</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 Charged</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Months</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Active or Paid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 Active or</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Charged Off &gt; 6</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 Charged Off &gt;</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Charged Off &lt;=</w:t>
            </w: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Off &lt;= 6</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to Charge</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Period of</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 Extensions</w:t>
            </w:r>
          </w:p>
        </w:tc>
        <w:tc>
          <w:tcPr>
            <w:tcW w:w="1400" w:type="dxa"/>
            <w:vAlign w:val="bottom"/>
            <w:gridSpan w:val="2"/>
          </w:tcPr>
          <w:p>
            <w:pPr>
              <w:spacing w:after="0"/>
              <w:rPr>
                <w:sz w:val="20"/>
                <w:szCs w:val="20"/>
                <w:color w:val="auto"/>
              </w:rPr>
            </w:pPr>
            <w:r>
              <w:rPr>
                <w:rFonts w:ascii="Arial" w:cs="Arial" w:eastAsia="Arial" w:hAnsi="Arial"/>
                <w:sz w:val="18"/>
                <w:szCs w:val="18"/>
                <w:color w:val="auto"/>
              </w:rPr>
              <w:t>Off at March 31,</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Paid Off at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Months After</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6 Months After</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6 Months After</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Months After</w:t>
            </w: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Off Post</w:t>
            </w:r>
          </w:p>
        </w:tc>
      </w:tr>
      <w:tr>
        <w:trPr>
          <w:trHeight w:val="230"/>
        </w:trPr>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Granted</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March 31, 2020</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Extension</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Extension</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Extension</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Extension</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Extension</w:t>
            </w:r>
          </w:p>
        </w:tc>
      </w:tr>
      <w:tr>
        <w:trPr>
          <w:trHeight w:val="209"/>
        </w:trPr>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35,588</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10,710</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20,059</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4,819</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32,226</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10,274</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16,168</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5,783</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26,167</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12,165</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12,003</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1,999</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2011</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18,786</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10,975</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6,879</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18,783</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11,328</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6,659</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23,398</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11,245</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11,177</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976</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25,773</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10,887</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14,060</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826</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53,319</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24,381</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27,856</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1,082</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80,897</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43,046</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35,918</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1,933</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133,881</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77,128</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49,793</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6,926</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121,531</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86,061</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29,463</w:t>
            </w: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6,007</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jc w:val="both"/>
        <w:ind w:firstLine="360"/>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60.3% were either paid in full or active and performing at March 31, 2020.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10"/>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3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7,118</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5,983</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jc w:val="right"/>
              <w:ind w:right="70"/>
              <w:spacing w:after="0"/>
              <w:rPr>
                <w:sz w:val="20"/>
                <w:szCs w:val="20"/>
                <w:color w:val="auto"/>
              </w:rPr>
            </w:pPr>
            <w:r>
              <w:rPr>
                <w:rFonts w:ascii="Arial" w:cs="Arial" w:eastAsia="Arial" w:hAnsi="Arial"/>
                <w:sz w:val="18"/>
                <w:szCs w:val="18"/>
                <w:color w:val="auto"/>
              </w:rPr>
              <w:t>5,962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178,570</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176,616</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jc w:val="right"/>
              <w:ind w:right="70"/>
              <w:spacing w:after="0"/>
              <w:rPr>
                <w:sz w:val="20"/>
                <w:szCs w:val="20"/>
                <w:color w:val="auto"/>
              </w:rPr>
            </w:pPr>
            <w:r>
              <w:rPr>
                <w:rFonts w:ascii="Arial" w:cs="Arial" w:eastAsia="Arial" w:hAnsi="Arial"/>
                <w:sz w:val="18"/>
                <w:szCs w:val="18"/>
                <w:color w:val="auto"/>
              </w:rPr>
              <w:t>177,256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2"/>
              </w:rPr>
              <w:t>Average monthly extensions as % of average outstandings</w:t>
            </w: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______________________</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60" w:type="dxa"/>
            <w:vAlign w:val="bottom"/>
            <w:gridSpan w:val="8"/>
          </w:tcPr>
          <w:p>
            <w:pPr>
              <w:spacing w:after="0"/>
              <w:rPr>
                <w:sz w:val="20"/>
                <w:szCs w:val="20"/>
                <w:color w:val="auto"/>
              </w:rPr>
            </w:pPr>
            <w:r>
              <w:rPr>
                <w:rFonts w:ascii="Arial" w:cs="Arial" w:eastAsia="Arial" w:hAnsi="Arial"/>
                <w:sz w:val="18"/>
                <w:szCs w:val="18"/>
                <w:i w:val="1"/>
                <w:iCs w:val="1"/>
                <w:color w:val="auto"/>
                <w:w w:val="99"/>
              </w:rPr>
              <w:t>Note: Table excludes portfolios originated and owned by third parties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620" w:type="dxa"/>
            <w:vAlign w:val="bottom"/>
          </w:tcPr>
          <w:p>
            <w:pPr>
              <w:spacing w:after="0"/>
              <w:rPr>
                <w:sz w:val="24"/>
                <w:szCs w:val="24"/>
                <w:color w:val="auto"/>
              </w:rPr>
            </w:pPr>
          </w:p>
        </w:tc>
        <w:tc>
          <w:tcPr>
            <w:tcW w:w="2840" w:type="dxa"/>
            <w:vAlign w:val="bottom"/>
            <w:gridSpan w:val="7"/>
          </w:tcPr>
          <w:p>
            <w:pPr>
              <w:ind w:left="820"/>
              <w:spacing w:after="0"/>
              <w:rPr>
                <w:sz w:val="20"/>
                <w:szCs w:val="20"/>
                <w:color w:val="auto"/>
              </w:rPr>
            </w:pPr>
            <w:r>
              <w:rPr>
                <w:rFonts w:ascii="Arial" w:cs="Arial" w:eastAsia="Arial" w:hAnsi="Arial"/>
                <w:sz w:val="18"/>
                <w:szCs w:val="18"/>
                <w:b w:val="1"/>
                <w:bCs w:val="1"/>
                <w:color w:val="auto"/>
              </w:rPr>
              <w:t>March 31, 2020</w:t>
            </w:r>
          </w:p>
        </w:tc>
        <w:tc>
          <w:tcPr>
            <w:tcW w:w="100" w:type="dxa"/>
            <w:vAlign w:val="bottom"/>
          </w:tcPr>
          <w:p>
            <w:pPr>
              <w:spacing w:after="0"/>
              <w:rPr>
                <w:sz w:val="24"/>
                <w:szCs w:val="24"/>
                <w:color w:val="auto"/>
              </w:rPr>
            </w:pPr>
          </w:p>
        </w:tc>
        <w:tc>
          <w:tcPr>
            <w:tcW w:w="3000" w:type="dxa"/>
            <w:vAlign w:val="bottom"/>
            <w:gridSpan w:val="9"/>
          </w:tcPr>
          <w:p>
            <w:pPr>
              <w:ind w:left="800"/>
              <w:spacing w:after="0"/>
              <w:rPr>
                <w:sz w:val="20"/>
                <w:szCs w:val="20"/>
                <w:color w:val="auto"/>
              </w:rPr>
            </w:pPr>
            <w:r>
              <w:rPr>
                <w:rFonts w:ascii="Arial" w:cs="Arial" w:eastAsia="Arial" w:hAnsi="Arial"/>
                <w:sz w:val="18"/>
                <w:szCs w:val="18"/>
                <w:b w:val="1"/>
                <w:bCs w:val="1"/>
                <w:color w:val="auto"/>
              </w:rPr>
              <w:t>March 31, 2019</w:t>
            </w:r>
          </w:p>
        </w:tc>
        <w:tc>
          <w:tcPr>
            <w:tcW w:w="2680" w:type="dxa"/>
            <w:vAlign w:val="bottom"/>
            <w:gridSpan w:val="7"/>
          </w:tcPr>
          <w:p>
            <w:pPr>
              <w:ind w:left="560"/>
              <w:spacing w:after="0"/>
              <w:rPr>
                <w:sz w:val="20"/>
                <w:szCs w:val="20"/>
                <w:color w:val="auto"/>
              </w:rPr>
            </w:pPr>
            <w:r>
              <w:rPr>
                <w:rFonts w:ascii="Arial" w:cs="Arial" w:eastAsia="Arial" w:hAnsi="Arial"/>
                <w:sz w:val="18"/>
                <w:szCs w:val="18"/>
                <w:b w:val="1"/>
                <w:bCs w:val="1"/>
                <w:color w:val="auto"/>
              </w:rPr>
              <w:t>December 31, 2019</w:t>
            </w:r>
          </w:p>
        </w:tc>
      </w:tr>
      <w:tr>
        <w:trPr>
          <w:trHeight w:val="191"/>
        </w:trPr>
        <w:tc>
          <w:tcPr>
            <w:tcW w:w="26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1"/>
              </w:rPr>
              <w:t>Number of</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Contracts</w:t>
            </w:r>
          </w:p>
        </w:tc>
        <w:tc>
          <w:tcPr>
            <w:tcW w:w="22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4"/>
          </w:tcPr>
          <w:p>
            <w:pPr>
              <w:ind w:left="12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Contracts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r>
      <w:tr>
        <w:trPr>
          <w:trHeight w:val="209"/>
        </w:trPr>
        <w:tc>
          <w:tcPr>
            <w:tcW w:w="2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top w:val="single" w:sz="8" w:color="auto"/>
            </w:tcBorders>
            <w:gridSpan w:val="7"/>
          </w:tcPr>
          <w:p>
            <w:pPr>
              <w:jc w:val="right"/>
              <w:ind w:right="54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30,516</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407,580</w:t>
            </w:r>
          </w:p>
        </w:tc>
        <w:tc>
          <w:tcPr>
            <w:tcW w:w="14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26,770</w:t>
            </w:r>
          </w:p>
        </w:tc>
        <w:tc>
          <w:tcPr>
            <w:tcW w:w="380" w:type="dxa"/>
            <w:vAlign w:val="bottom"/>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356,817</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28,807</w:t>
            </w:r>
          </w:p>
        </w:tc>
        <w:tc>
          <w:tcPr>
            <w:tcW w:w="8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400,202</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22,794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310,711</w:t>
            </w: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19,930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262,752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17,895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229,555</w:t>
            </w:r>
          </w:p>
        </w:tc>
      </w:tr>
      <w:tr>
        <w:trPr>
          <w:trHeight w:val="216"/>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17,058</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235,319</w:t>
            </w:r>
          </w:p>
        </w:tc>
        <w:tc>
          <w:tcPr>
            <w:tcW w:w="14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16,476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219,077</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14,423</w:t>
            </w: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181,896</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11,282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155,514</w:t>
            </w: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13,536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180,695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12,367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153,170</w:t>
            </w:r>
          </w:p>
        </w:tc>
      </w:tr>
      <w:tr>
        <w:trPr>
          <w:trHeight w:val="216"/>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6,332</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84,695</w:t>
            </w:r>
          </w:p>
        </w:tc>
        <w:tc>
          <w:tcPr>
            <w:tcW w:w="14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9,218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119,463</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8,742</w:t>
            </w: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103,989</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41,682</w:t>
            </w: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5,244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63,579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60,743</w:t>
            </w:r>
          </w:p>
        </w:tc>
      </w:tr>
      <w:tr>
        <w:trPr>
          <w:trHeight w:val="223"/>
        </w:trPr>
        <w:tc>
          <w:tcPr>
            <w:tcW w:w="262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91,328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1,235,501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91,174</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1,202,383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87,688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1,129,555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6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originated and owned by 3rd</w:t>
            </w: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26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parties)</w:t>
            </w: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179,253</w:t>
            </w: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2,435,074</w:t>
            </w:r>
          </w:p>
        </w:tc>
        <w:tc>
          <w:tcPr>
            <w:tcW w:w="14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176,916</w:t>
            </w:r>
          </w:p>
        </w:tc>
        <w:tc>
          <w:tcPr>
            <w:tcW w:w="380" w:type="dxa"/>
            <w:vAlign w:val="bottom"/>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2,393,165</w:t>
            </w:r>
          </w:p>
        </w:tc>
        <w:tc>
          <w:tcPr>
            <w:tcW w:w="1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177,604</w:t>
            </w:r>
          </w:p>
        </w:tc>
        <w:tc>
          <w:tcPr>
            <w:tcW w:w="80" w:type="dxa"/>
            <w:vAlign w:val="bottom"/>
            <w:shd w:val="clear" w:color="auto" w:fill="EEEEEE"/>
          </w:tcPr>
          <w:p>
            <w:pPr>
              <w:spacing w:after="0"/>
              <w:rPr>
                <w:sz w:val="20"/>
                <w:szCs w:val="20"/>
                <w:color w:val="auto"/>
              </w:rPr>
            </w:pPr>
          </w:p>
        </w:tc>
        <w:tc>
          <w:tcPr>
            <w:tcW w:w="22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2,416,042</w:t>
            </w:r>
          </w:p>
        </w:tc>
      </w:tr>
      <w:tr>
        <w:trPr>
          <w:trHeight w:val="218"/>
        </w:trPr>
        <w:tc>
          <w:tcPr>
            <w:tcW w:w="262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 Since January of 2019, we have attempted to reduce extensions by working with our servicing staff to be more selective in granting extensions including, where appropriate, to exhaust all possibilities of payment by the customer before granting an extension. However, since March 31, 2020 we have increased our rate of extensions, due to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9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Net cash provided by operating activities for the three-month period ended March 31, 2020 was $64.1 million, an increase of $5.6 million, compared to net cash provided by operating activities for the three-month period ended March 31, 2019 of $58.5 million. Net cash from operating activities is generally provided by net income from operations adjusted for significant non-cash items such as our provision for credit losses and interest accretion on fair value receivables.</w:t>
      </w:r>
    </w:p>
    <w:p>
      <w:pPr>
        <w:spacing w:after="0" w:line="18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Net cash used in investing activities for the three-month period ended March 31, 2020 was $61.1 million compared to net cash used in investing activities of $62.2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$266.0 million and $243.0 million during the first three months of 2020 and 2019, respectively.</w:t>
      </w:r>
    </w:p>
    <w:p>
      <w:pPr>
        <w:spacing w:after="0" w:line="17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Net cash used in financing activities for the three months ended March 31, 2020 was $1.7 million compared to net cash provided by financing activities of $18.0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2020, we issued $260.0 million in new securitization trust debt compared to $254.4 million in the same period of 2019. We repaid $266.1 million in securitization trust debt in the three months ended March 31, 2020 compared to repayments of securitization trust debt of $208.8 million in the prior year period. In the three months ended March 31, 2020, we had net advances on warehouse lines of credit of $6.8 million, compared to net repayments of $19.1 million in the prior year’s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ind w:firstLine="360"/>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57"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 Since approximately April 1, 2020, due to the onset of the pandemic, we have seen a decrease in the number of purchased contracts.</w:t>
      </w:r>
    </w:p>
    <w:p>
      <w:pPr>
        <w:spacing w:after="0" w:line="164"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March 31, 2020, we had unrestricted cash of $4.5 million and $156.4 million aggregate available borrowings under our three warehouse credit facilities (assuming the availability of sufficient eligible collateral). As of March 31, 2020, we had approximately $21.3 million of such eligible collateral. Our plans to manage our liquidity include maintaining our rate of automobile contract purchases at a level that matches our available capital, and, as appropriate, minimizing our operating costs. During the three-month period ended March 31, 2020, we completed one securitization aggregating $260.0 million of notes sold. We generally complete one securitization each calendar quarter and have completed four securitizations every year since 2012, except for 2015 in which we completed three. We had planned to complete a securitization in April 2020 but chose not to complete one since the market for asset-backed securities had been significantly interrupted due to the pandemic. We intend to continue to monitor the market for asset-backed securities with the intention of completing a securitization when we find terms to be acceptable. There is no assurance that we will be able to complete a securitization on acceptable terms. If we are unable to complete such securitizations, we may be required to further reduce our automobile contract purchases, in which case our interest income and other portfolio related income would decrease.</w:t>
      </w:r>
    </w:p>
    <w:p>
      <w:pPr>
        <w:spacing w:after="0" w:line="18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2020, we were in compliance with all such financial covenants.</w:t>
      </w:r>
    </w:p>
    <w:p>
      <w:pPr>
        <w:spacing w:after="0" w:line="17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and will continue to have a substantial amount of indebtedness. At March 31, 2020, we had approximately $2,289.9 million of debt outstanding. Such debt consisted primarily of $2,091.6 million of securitization trust debt and $142.0 million of debt from warehouse lines of credit. Our securitization trust debt has decreased by $17.4 million while our warehouse lines of credit debt has increased by $24.9 million since March 31, 2019 (each net of deferred financing costs). Since 2005, we have offered renewable subordinated notes to the public on a continuous basis, and such notes have maturities that range from six months to 10 years. We had $18.3 million and $13.0 million in subordinated renewable notes outstanding at March 31, 2020 and 2019, respectively. On May 16, 2018, we completed a $40.0 million securitization of residual interests from previously issued securitizations. At March 31, 2020, $38.3 million of this residual interest financing debt remains outstanding ($37.9 million net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p>
      <w:pPr>
        <w:jc w:val="both"/>
        <w:ind w:firstLine="360"/>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16, 2020. Where we are aware of material changes to such risk factors as previously disclosed, we set forth below an updated discussion of such risks. The reader should note that the other risks identified in our report on Form 10-K remain applicable.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COVID-19 pandemic and public authorities’ responses to the pandemic have materially and adversely affected our business, and the continuation or intensification of the pandemic or of public authorities’ responses may materially affect our financial condition, liquidity and results of operations.</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An outbreak of a novel strain of coronavirus (“</w:t>
      </w:r>
      <w:r>
        <w:rPr>
          <w:rFonts w:ascii="Arial" w:cs="Arial" w:eastAsia="Arial" w:hAnsi="Arial"/>
          <w:sz w:val="17"/>
          <w:szCs w:val="17"/>
          <w:b w:val="1"/>
          <w:bCs w:val="1"/>
          <w:color w:val="auto"/>
        </w:rPr>
        <w:t>COVID-19</w:t>
      </w:r>
      <w:r>
        <w:rPr>
          <w:rFonts w:ascii="Arial" w:cs="Arial" w:eastAsia="Arial" w:hAnsi="Arial"/>
          <w:sz w:val="17"/>
          <w:szCs w:val="17"/>
          <w:color w:val="auto"/>
        </w:rPr>
        <w:t>”) has spread throughout the world, including in the United States. The outbreak has been declared a pandemic by the World Health Organization, the president of the United States has declared a national emergency, and governments in a substantial majority of the states of the United States have imposed emergency restrictions, of varying kind and detail, on economic activity. Such restrictions have included outright bans on the conduct of business not deemed essential by the respective governments.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pandemic itself, if sufficient numbers of people were to be afflicted, could cause obligors under our automobile contracts to be unable to pay their contractual obligations. As the future course of the COVID-19 pandemic is as yet unknown, its direct effect on future obligor payments is likewise uncertain, but we believe it may be material.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mandatory shutdown of large portions of the United States economy pursuant to emergency restrictions has impaired and will impair the ability of obligors under our automobile contracts to pay their contractual obligations. The extent to which that ability will be impaired, and the extent to which public ameliorative measures such as stimulus payments and enhanced unemployment benefits may restore such ability, cannot be estimated, but we believe it may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Obligors’ willingness to pay may be impaired as a result of any combination of the following:</w:t>
      </w:r>
    </w:p>
    <w:p>
      <w:pPr>
        <w:spacing w:after="0" w:line="225" w:lineRule="exact"/>
        <w:rPr>
          <w:sz w:val="20"/>
          <w:szCs w:val="20"/>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losses of income, resulting from emergency shutdowns, or general economic conditions, or both</w:t>
      </w:r>
    </w:p>
    <w:p>
      <w:pPr>
        <w:spacing w:after="0" w:line="2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obligors’ perception of increased risk that they may suffer a loss of income in the future</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encouragement on the part of officials and others to expect deferrals and other accommodations from creditors</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emergency or permanent limitations on our ability to enforce our automobile contracts.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to which these or other factors may increase obligors’ refusal to pay in accordance with the terms of our automobile contracts cannot be estimated, but we believe it may be material.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Emergency regulations in many states mandate that we refrain from enforcing our automobile contacts by repossession or by legal process. The effective dates of such mandates vary from state to state, and we expect that the effective dates will change in the future. In addition to the emergency regulations in effect as of the date of this report, federal and state governments may impose further restrictions on servicing practices, such as requiring forbearance for affected borrowers or prohibiting repossession. The effect of existing emergency mandates, and the extent and effect of any such further restrictions is uncertain, but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The pandemic itself (if sufficient numbers of people are afflicted) may adversely affect, and actions taken in response to the pandemic on a national and local level by governmental authorities have adversely affected, general and local economic conditions. We expect that such adverse effects on the economy generally will have an adverse effect on payments that we will receive in the future on our automobile contracts. Such adverse effect may be material.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a general decline in economic activity, should it occur, may adversely affect the availability of automobile contracts for our purchase. We have seen a material decrease in the availability of contracts for purchase since April 2020. We are unable to predict the extent to which such a decrease may reverse, intensify or persist, nor whether or when such a decrease may end. A material and continued decrease would cause the size of our portfolio of automobile contracts to be reduced, which in turn would decrease the revenue that we may receive in the future from our portfolio of automobile contracts, in an amount that we cannot estimate at this time, but which may be material.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pandemic has resulted in unsettled conditions in financial markets, which has caused us to defer an April 2020 securitization transaction that would have reduced our carrying cost for a material portion of our automobile contracts, and would have provided material liquidity to us. We cannot predict the time and extent to which such unsettled conditions may persist, but continuing inability to securitize would reduce our ability to purchase automobile contracts, which would cause the size of our portfolio of automobile contracts to be reduced, which in turn would decrease the revenue that we may receive in the future from our portfolio of automobile contracts. We cannot estimate the amount of any such decrease at this time, but the decrease in revenue may be material.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w:t>
      </w:r>
      <w:r>
        <w:rPr>
          <w:rFonts w:ascii="Arial" w:cs="Arial" w:eastAsia="Arial" w:hAnsi="Arial"/>
          <w:sz w:val="18"/>
          <w:szCs w:val="18"/>
          <w:color w:val="323232"/>
        </w:rPr>
        <w:t>ignificant changes in any of those inputs, which in turn may a significant impact on</w:t>
      </w:r>
      <w:r>
        <w:rPr>
          <w:rFonts w:ascii="Arial" w:cs="Arial" w:eastAsia="Arial" w:hAnsi="Arial"/>
          <w:sz w:val="18"/>
          <w:szCs w:val="18"/>
          <w:color w:val="auto"/>
        </w:rPr>
        <w:t xml:space="preserve"> </w:t>
      </w:r>
      <w:r>
        <w:rPr>
          <w:rFonts w:ascii="Arial" w:cs="Arial" w:eastAsia="Arial" w:hAnsi="Arial"/>
          <w:sz w:val="18"/>
          <w:szCs w:val="18"/>
          <w:color w:val="323232"/>
        </w:rPr>
        <w:t>our fair value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and will continue to have a substantial amount of indebtedness. At March 31, 2020, we had approximately $2,289.9 million of debt outstanding. Such debt consisted primarily of $2,091.6 million of securitization trust debt and $142.0 million of debt from warehouse lines of credit. Our securitization trust debt has decreased by $17.4 million while our warehouse lines of credit debt has increased by $24.9 million since March 31, 2019 (each net of deferred financing costs). Since 2005, we have offered renewable subordinated notes to the public on a continuous basis, and such notes have maturities that range from six months to 10 years. We had $18.3 million and $13.0 million in subordinated renewable notes outstanding at March 31, 2020 and 2019, respectively. On May 16, 2018, we completed a $40.0 million securitization of residual interests from previously issued securitizations. At March 31, 2020, $38.3 million of this residual interest financing debt remains outstanding ($37.9 million net of deferred financing costs). Our substantial indebtedness could adversely affect our financial condition by, among other things:</w:t>
      </w:r>
    </w:p>
    <w:p>
      <w:pPr>
        <w:spacing w:after="0" w:line="178" w:lineRule="exact"/>
        <w:rPr>
          <w:sz w:val="20"/>
          <w:szCs w:val="20"/>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780" w:hanging="259"/>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Forward-looking statements in this report also include our recorded figures representing allowances for remaining expected lifetime credit losses, our markdown of carrying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COVID-19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we did not repurchase shares in the open market.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2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Announced Plans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9"/>
                <w:szCs w:val="19"/>
                <w:color w:val="auto"/>
              </w:rPr>
            </w:pPr>
          </w:p>
        </w:tc>
        <w:tc>
          <w:tcPr>
            <w:tcW w:w="1700" w:type="dxa"/>
            <w:vAlign w:val="bottom"/>
            <w:gridSpan w:val="4"/>
          </w:tcPr>
          <w:p>
            <w:pPr>
              <w:ind w:left="20"/>
              <w:spacing w:after="0"/>
              <w:rPr>
                <w:sz w:val="20"/>
                <w:szCs w:val="20"/>
                <w:color w:val="auto"/>
              </w:rPr>
            </w:pPr>
            <w:r>
              <w:rPr>
                <w:rFonts w:ascii="Arial" w:cs="Arial" w:eastAsia="Arial" w:hAnsi="Arial"/>
                <w:sz w:val="18"/>
                <w:szCs w:val="18"/>
                <w:b w:val="1"/>
                <w:bCs w:val="1"/>
                <w:color w:val="auto"/>
              </w:rPr>
              <w:t>Average Price Paid</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or</w:t>
            </w:r>
          </w:p>
        </w:tc>
        <w:tc>
          <w:tcPr>
            <w:tcW w:w="0" w:type="dxa"/>
            <w:vAlign w:val="bottom"/>
          </w:tcPr>
          <w:p>
            <w:pPr>
              <w:spacing w:after="0"/>
              <w:rPr>
                <w:sz w:val="1"/>
                <w:szCs w:val="1"/>
                <w:color w:val="auto"/>
              </w:rPr>
            </w:pPr>
          </w:p>
        </w:tc>
      </w:tr>
      <w:tr>
        <w:trPr>
          <w:trHeight w:val="234"/>
        </w:trPr>
        <w:tc>
          <w:tcPr>
            <w:tcW w:w="4740" w:type="dxa"/>
            <w:vAlign w:val="bottom"/>
            <w:gridSpan w:val="2"/>
          </w:tcPr>
          <w:p>
            <w:pPr>
              <w:ind w:left="1900"/>
              <w:spacing w:after="0"/>
              <w:rPr>
                <w:sz w:val="20"/>
                <w:szCs w:val="20"/>
                <w:color w:val="auto"/>
              </w:rPr>
            </w:pPr>
            <w:r>
              <w:rPr>
                <w:rFonts w:ascii="Arial" w:cs="Arial" w:eastAsia="Arial" w:hAnsi="Arial"/>
                <w:sz w:val="18"/>
                <w:szCs w:val="18"/>
                <w:b w:val="1"/>
                <w:bCs w:val="1"/>
                <w:color w:val="auto"/>
              </w:rPr>
              <w:t>Period(1)</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per Share</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January 2020</w:t>
            </w:r>
          </w:p>
        </w:tc>
        <w:tc>
          <w:tcPr>
            <w:tcW w:w="24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gridSpan w:val="2"/>
            <w:shd w:val="clear" w:color="auto" w:fill="EEEEEE"/>
          </w:tcPr>
          <w:p>
            <w:pPr>
              <w:ind w:left="12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EEEEEE"/>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tcBorders>
            <w:gridSpan w:val="2"/>
            <w:shd w:val="clear" w:color="auto" w:fill="EEEEEE"/>
          </w:tcPr>
          <w:p>
            <w:pPr>
              <w:ind w:left="12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February 2020</w:t>
            </w:r>
          </w:p>
        </w:tc>
        <w:tc>
          <w:tcPr>
            <w:tcW w:w="14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2020</w:t>
            </w:r>
          </w:p>
        </w:tc>
        <w:tc>
          <w:tcPr>
            <w:tcW w:w="1480" w:type="dxa"/>
            <w:vAlign w:val="bottom"/>
            <w:gridSpan w:val="2"/>
            <w:shd w:val="clear" w:color="auto" w:fill="EEEEEE"/>
          </w:tcPr>
          <w:p>
            <w:pPr>
              <w:ind w:left="1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60" w:type="dxa"/>
            <w:vAlign w:val="bottom"/>
            <w:gridSpan w:val="3"/>
            <w:shd w:val="clear" w:color="auto" w:fill="EEEEEE"/>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Through March 31, 2020,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6"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4.14</w:t>
            </w:r>
          </w:p>
        </w:tc>
        <w:tc>
          <w:tcPr>
            <w:tcW w:w="10400" w:type="dxa"/>
            <w:vAlign w:val="bottom"/>
          </w:tcPr>
          <w:p>
            <w:pPr>
              <w:ind w:left="520"/>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w:t>
            </w:r>
          </w:p>
        </w:tc>
      </w:tr>
      <w:tr>
        <w:trPr>
          <w:trHeight w:val="216"/>
        </w:trPr>
        <w:tc>
          <w:tcPr>
            <w:tcW w:w="840" w:type="dxa"/>
            <w:vAlign w:val="bottom"/>
          </w:tcPr>
          <w:p>
            <w:pPr>
              <w:spacing w:after="0"/>
              <w:rPr>
                <w:sz w:val="18"/>
                <w:szCs w:val="18"/>
                <w:color w:val="auto"/>
              </w:rPr>
            </w:pPr>
          </w:p>
        </w:tc>
        <w:tc>
          <w:tcPr>
            <w:tcW w:w="10400" w:type="dxa"/>
            <w:vAlign w:val="bottom"/>
          </w:tcPr>
          <w:p>
            <w:pPr>
              <w:ind w:left="520"/>
              <w:spacing w:after="0"/>
              <w:rPr>
                <w:sz w:val="20"/>
                <w:szCs w:val="20"/>
                <w:color w:val="auto"/>
              </w:rPr>
            </w:pPr>
            <w:r>
              <w:rPr>
                <w:rFonts w:ascii="Arial" w:cs="Arial" w:eastAsia="Arial" w:hAnsi="Arial"/>
                <w:sz w:val="18"/>
                <w:szCs w:val="18"/>
                <w:color w:val="auto"/>
                <w:w w:val="93"/>
              </w:rPr>
              <w:t>the exclusion set forth in subdivisions (b)(iv)(iii)(A) and (b)(v) of Item 601 of Regulation S-K (17 CFR 229.601). The registrant agrees</w:t>
            </w:r>
          </w:p>
        </w:tc>
      </w:tr>
      <w:tr>
        <w:trPr>
          <w:trHeight w:val="216"/>
        </w:trPr>
        <w:tc>
          <w:tcPr>
            <w:tcW w:w="840" w:type="dxa"/>
            <w:vAlign w:val="bottom"/>
          </w:tcPr>
          <w:p>
            <w:pPr>
              <w:spacing w:after="0"/>
              <w:rPr>
                <w:sz w:val="18"/>
                <w:szCs w:val="18"/>
                <w:color w:val="auto"/>
              </w:rPr>
            </w:pPr>
          </w:p>
        </w:tc>
        <w:tc>
          <w:tcPr>
            <w:tcW w:w="10400" w:type="dxa"/>
            <w:vAlign w:val="bottom"/>
          </w:tcPr>
          <w:p>
            <w:pPr>
              <w:ind w:left="520"/>
              <w:spacing w:after="0"/>
              <w:rPr>
                <w:sz w:val="20"/>
                <w:szCs w:val="20"/>
                <w:color w:val="auto"/>
              </w:rPr>
            </w:pPr>
            <w:r>
              <w:rPr>
                <w:rFonts w:ascii="Arial" w:cs="Arial" w:eastAsia="Arial" w:hAnsi="Arial"/>
                <w:sz w:val="18"/>
                <w:szCs w:val="18"/>
                <w:color w:val="auto"/>
              </w:rPr>
              <w:t>to provide copies of such instruments to the United States Securities and Exchange Commission upon request.</w:t>
            </w:r>
          </w:p>
        </w:tc>
      </w:tr>
      <w:tr>
        <w:trPr>
          <w:trHeight w:val="216"/>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31.1</w:t>
            </w:r>
          </w:p>
        </w:tc>
        <w:tc>
          <w:tcPr>
            <w:tcW w:w="10400" w:type="dxa"/>
            <w:vAlign w:val="bottom"/>
          </w:tcPr>
          <w:p>
            <w:pPr>
              <w:ind w:left="5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Rule 13a-14(a) Certification of the Chief Executive Officer of the registrant.</w:t>
              </w:r>
            </w:hyperlink>
          </w:p>
        </w:tc>
      </w:tr>
      <w:tr>
        <w:trPr>
          <w:trHeight w:val="230"/>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31.2</w:t>
            </w:r>
          </w:p>
        </w:tc>
        <w:tc>
          <w:tcPr>
            <w:tcW w:w="10400" w:type="dxa"/>
            <w:vAlign w:val="bottom"/>
          </w:tcPr>
          <w:p>
            <w:pPr>
              <w:ind w:left="5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Rule 13a-14(a) Certification of the Chief Financial Officer of the registrant.</w:t>
              </w:r>
            </w:hyperlink>
          </w:p>
        </w:tc>
      </w:tr>
    </w:tbl>
    <w:p>
      <w:pPr>
        <w:ind w:left="1360" w:hanging="1352"/>
        <w:spacing w:after="0"/>
        <w:tabs>
          <w:tab w:leader="none" w:pos="1360" w:val="left"/>
        </w:tabs>
        <w:numPr>
          <w:ilvl w:val="0"/>
          <w:numId w:val="18"/>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Section 1350 Certifications.*</w:t>
        </w:r>
      </w:hyperlink>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820" w:type="dxa"/>
            <w:vAlign w:val="bottom"/>
          </w:tcPr>
          <w:p>
            <w:pPr>
              <w:ind w:left="340"/>
              <w:spacing w:after="0"/>
              <w:rPr>
                <w:sz w:val="20"/>
                <w:szCs w:val="20"/>
                <w:color w:val="auto"/>
              </w:rPr>
            </w:pPr>
            <w:r>
              <w:rPr>
                <w:rFonts w:ascii="Arial" w:cs="Arial" w:eastAsia="Arial" w:hAnsi="Arial"/>
                <w:sz w:val="18"/>
                <w:szCs w:val="18"/>
                <w:color w:val="auto"/>
              </w:rPr>
              <w:t>XBRL Instances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82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4820" w:type="dxa"/>
            <w:vAlign w:val="bottom"/>
          </w:tcPr>
          <w:p>
            <w:pPr>
              <w:ind w:left="3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4820" w:type="dxa"/>
            <w:vAlign w:val="bottom"/>
          </w:tcPr>
          <w:p>
            <w:pPr>
              <w:ind w:left="3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482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4820" w:type="dxa"/>
            <w:vAlign w:val="bottom"/>
          </w:tcPr>
          <w:p>
            <w:pPr>
              <w:ind w:left="3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2" w:lineRule="exact"/>
        <w:rPr>
          <w:sz w:val="20"/>
          <w:szCs w:val="20"/>
          <w:color w:val="auto"/>
        </w:rPr>
      </w:pPr>
    </w:p>
    <w:p>
      <w:pPr>
        <w:jc w:val="both"/>
        <w:ind w:left="260" w:firstLine="318"/>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5340" w:type="dxa"/>
            <w:vAlign w:val="bottom"/>
            <w:gridSpan w:val="2"/>
          </w:tcPr>
          <w:p>
            <w:pPr>
              <w:ind w:left="1020"/>
              <w:spacing w:after="0" w:line="184" w:lineRule="exact"/>
              <w:rPr>
                <w:sz w:val="20"/>
                <w:szCs w:val="20"/>
                <w:color w:val="auto"/>
              </w:rPr>
            </w:pPr>
            <w:r>
              <w:rPr>
                <w:rFonts w:ascii="Arial" w:cs="Arial" w:eastAsia="Arial" w:hAnsi="Arial"/>
                <w:sz w:val="18"/>
                <w:szCs w:val="18"/>
                <w:color w:val="auto"/>
              </w:rPr>
              <w:t>By: /s/  CHARLES E. BRADLEY, JR.</w:t>
            </w:r>
          </w:p>
        </w:tc>
      </w:tr>
      <w:tr>
        <w:trPr>
          <w:trHeight w:val="20"/>
        </w:trPr>
        <w:tc>
          <w:tcPr>
            <w:tcW w:w="240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22"/>
        </w:trPr>
        <w:tc>
          <w:tcPr>
            <w:tcW w:w="2400" w:type="dxa"/>
            <w:vAlign w:val="bottom"/>
          </w:tcPr>
          <w:p>
            <w:pPr>
              <w:spacing w:after="0"/>
              <w:rPr>
                <w:sz w:val="19"/>
                <w:szCs w:val="19"/>
                <w:color w:val="auto"/>
              </w:rPr>
            </w:pPr>
          </w:p>
        </w:tc>
        <w:tc>
          <w:tcPr>
            <w:tcW w:w="5340" w:type="dxa"/>
            <w:vAlign w:val="bottom"/>
            <w:gridSpan w:val="2"/>
          </w:tcPr>
          <w:p>
            <w:pPr>
              <w:ind w:left="1020"/>
              <w:spacing w:after="0"/>
              <w:rPr>
                <w:sz w:val="20"/>
                <w:szCs w:val="20"/>
                <w:color w:val="auto"/>
              </w:rPr>
            </w:pPr>
            <w:r>
              <w:rPr>
                <w:rFonts w:ascii="Arial" w:cs="Arial" w:eastAsia="Arial" w:hAnsi="Arial"/>
                <w:sz w:val="18"/>
                <w:szCs w:val="18"/>
                <w:color w:val="auto"/>
              </w:rPr>
              <w:t>Charles E. Bradley, Jr.</w:t>
            </w:r>
          </w:p>
        </w:tc>
      </w:tr>
      <w:tr>
        <w:trPr>
          <w:trHeight w:val="216"/>
        </w:trPr>
        <w:tc>
          <w:tcPr>
            <w:tcW w:w="2400" w:type="dxa"/>
            <w:vAlign w:val="bottom"/>
          </w:tcPr>
          <w:p>
            <w:pPr>
              <w:spacing w:after="0"/>
              <w:rPr>
                <w:sz w:val="18"/>
                <w:szCs w:val="18"/>
                <w:color w:val="auto"/>
              </w:rPr>
            </w:pPr>
          </w:p>
        </w:tc>
        <w:tc>
          <w:tcPr>
            <w:tcW w:w="5340" w:type="dxa"/>
            <w:vAlign w:val="bottom"/>
            <w:gridSpan w:val="2"/>
          </w:tcPr>
          <w:p>
            <w:pPr>
              <w:ind w:left="10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2400" w:type="dxa"/>
            <w:vAlign w:val="bottom"/>
          </w:tcPr>
          <w:p>
            <w:pPr>
              <w:spacing w:after="0"/>
              <w:rPr>
                <w:sz w:val="20"/>
                <w:szCs w:val="20"/>
                <w:color w:val="auto"/>
              </w:rPr>
            </w:pPr>
          </w:p>
        </w:tc>
        <w:tc>
          <w:tcPr>
            <w:tcW w:w="5340" w:type="dxa"/>
            <w:vAlign w:val="bottom"/>
            <w:gridSpan w:val="2"/>
          </w:tcPr>
          <w:p>
            <w:pPr>
              <w:ind w:left="1020"/>
              <w:spacing w:after="0"/>
              <w:rPr>
                <w:sz w:val="20"/>
                <w:szCs w:val="20"/>
                <w:color w:val="auto"/>
              </w:rPr>
            </w:pPr>
            <w:r>
              <w:rPr>
                <w:rFonts w:ascii="Arial" w:cs="Arial" w:eastAsia="Arial" w:hAnsi="Arial"/>
                <w:sz w:val="18"/>
                <w:szCs w:val="18"/>
                <w:color w:val="auto"/>
              </w:rPr>
              <w:t>(Principal Executive Officer)</w:t>
            </w:r>
          </w:p>
        </w:tc>
      </w:tr>
      <w:tr>
        <w:trPr>
          <w:trHeight w:val="391"/>
        </w:trPr>
        <w:tc>
          <w:tcPr>
            <w:tcW w:w="2400" w:type="dxa"/>
            <w:vAlign w:val="bottom"/>
          </w:tcPr>
          <w:p>
            <w:pPr>
              <w:spacing w:after="0"/>
              <w:rPr>
                <w:sz w:val="20"/>
                <w:szCs w:val="20"/>
                <w:color w:val="auto"/>
              </w:rPr>
            </w:pPr>
            <w:r>
              <w:rPr>
                <w:rFonts w:ascii="Arial" w:cs="Arial" w:eastAsia="Arial" w:hAnsi="Arial"/>
                <w:sz w:val="18"/>
                <w:szCs w:val="18"/>
                <w:color w:val="auto"/>
              </w:rPr>
              <w:t>Date: May 5, 2020</w:t>
            </w:r>
          </w:p>
        </w:tc>
        <w:tc>
          <w:tcPr>
            <w:tcW w:w="5340" w:type="dxa"/>
            <w:vAlign w:val="bottom"/>
            <w:gridSpan w:val="2"/>
          </w:tcPr>
          <w:p>
            <w:pPr>
              <w:ind w:left="1020"/>
              <w:spacing w:after="0"/>
              <w:rPr>
                <w:sz w:val="20"/>
                <w:szCs w:val="20"/>
                <w:color w:val="auto"/>
              </w:rPr>
            </w:pPr>
            <w:r>
              <w:rPr>
                <w:rFonts w:ascii="Arial" w:cs="Arial" w:eastAsia="Arial" w:hAnsi="Arial"/>
                <w:sz w:val="18"/>
                <w:szCs w:val="18"/>
                <w:color w:val="auto"/>
              </w:rPr>
              <w:t>By: /s/  JEFFREY P. FRITZ</w:t>
            </w:r>
          </w:p>
        </w:tc>
      </w:tr>
      <w:tr>
        <w:trPr>
          <w:trHeight w:val="20"/>
        </w:trPr>
        <w:tc>
          <w:tcPr>
            <w:tcW w:w="2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22"/>
        </w:trPr>
        <w:tc>
          <w:tcPr>
            <w:tcW w:w="2400" w:type="dxa"/>
            <w:vAlign w:val="bottom"/>
          </w:tcPr>
          <w:p>
            <w:pPr>
              <w:spacing w:after="0"/>
              <w:rPr>
                <w:sz w:val="19"/>
                <w:szCs w:val="19"/>
                <w:color w:val="auto"/>
              </w:rPr>
            </w:pPr>
          </w:p>
        </w:tc>
        <w:tc>
          <w:tcPr>
            <w:tcW w:w="5340" w:type="dxa"/>
            <w:vAlign w:val="bottom"/>
            <w:gridSpan w:val="2"/>
          </w:tcPr>
          <w:p>
            <w:pPr>
              <w:ind w:left="1020"/>
              <w:spacing w:after="0"/>
              <w:rPr>
                <w:sz w:val="20"/>
                <w:szCs w:val="20"/>
                <w:color w:val="auto"/>
              </w:rPr>
            </w:pPr>
            <w:r>
              <w:rPr>
                <w:rFonts w:ascii="Arial" w:cs="Arial" w:eastAsia="Arial" w:hAnsi="Arial"/>
                <w:sz w:val="18"/>
                <w:szCs w:val="18"/>
                <w:color w:val="auto"/>
              </w:rPr>
              <w:t>Jeffrey P. Fritz</w:t>
            </w:r>
          </w:p>
        </w:tc>
      </w:tr>
      <w:tr>
        <w:trPr>
          <w:trHeight w:val="216"/>
        </w:trPr>
        <w:tc>
          <w:tcPr>
            <w:tcW w:w="2400" w:type="dxa"/>
            <w:vAlign w:val="bottom"/>
          </w:tcPr>
          <w:p>
            <w:pPr>
              <w:spacing w:after="0"/>
              <w:rPr>
                <w:sz w:val="18"/>
                <w:szCs w:val="18"/>
                <w:color w:val="auto"/>
              </w:rPr>
            </w:pPr>
          </w:p>
        </w:tc>
        <w:tc>
          <w:tcPr>
            <w:tcW w:w="5340" w:type="dxa"/>
            <w:vAlign w:val="bottom"/>
            <w:gridSpan w:val="2"/>
          </w:tcPr>
          <w:p>
            <w:pPr>
              <w:ind w:left="10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400" w:type="dxa"/>
            <w:vAlign w:val="bottom"/>
          </w:tcPr>
          <w:p>
            <w:pPr>
              <w:spacing w:after="0"/>
              <w:rPr>
                <w:sz w:val="20"/>
                <w:szCs w:val="20"/>
                <w:color w:val="auto"/>
              </w:rPr>
            </w:pPr>
          </w:p>
        </w:tc>
        <w:tc>
          <w:tcPr>
            <w:tcW w:w="5340" w:type="dxa"/>
            <w:vAlign w:val="bottom"/>
            <w:gridSpan w:val="2"/>
          </w:tcPr>
          <w:p>
            <w:pPr>
              <w:ind w:left="10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March 31, 2020,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332"/>
        <w:spacing w:after="0" w:line="500" w:lineRule="auto"/>
        <w:tabs>
          <w:tab w:leader="none" w:pos="6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5,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lowerRoman"/>
      <w:start w:val="3"/>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2020-05-05T14:00:02Z</dcterms:created>
  <dcterms:modified xsi:type="dcterms:W3CDTF">2020-05-05T14:00:02Z</dcterms:modified>
</cp:coreProperties>
</file>