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3"/>
          <w:szCs w:val="13"/>
          <w:u w:val="single" w:color="auto"/>
          <w:color w:val="0000EE"/>
        </w:rPr>
      </w:pPr>
      <w:r>
        <w:rPr>
          <w:rFonts w:ascii="Arial" w:cs="Arial" w:eastAsia="Arial" w:hAnsi="Arial"/>
          <w:sz w:val="13"/>
          <w:szCs w:val="13"/>
          <w:u w:val="single" w:color="auto"/>
          <w:color w:val="0000EE"/>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hyperlink w:anchor="page2">
        <w:r>
          <w:rPr>
            <w:rFonts w:ascii="Arial" w:cs="Arial" w:eastAsia="Arial" w:hAnsi="Arial"/>
            <w:sz w:val="13"/>
            <w:szCs w:val="13"/>
            <w:u w:val="single" w:color="auto"/>
            <w:color w:val="0000EE"/>
          </w:rPr>
          <w:t>Table of Contents</w:t>
        </w:r>
      </w:hyperlink>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63" w:lineRule="exact"/>
        <w:rPr>
          <w:sz w:val="24"/>
          <w:szCs w:val="24"/>
          <w:color w:val="auto"/>
        </w:rPr>
      </w:pPr>
    </w:p>
    <w:p>
      <w:pPr>
        <w:ind w:left="3740" w:right="1700" w:hanging="3732"/>
        <w:spacing w:after="0" w:line="501" w:lineRule="auto"/>
        <w:tabs>
          <w:tab w:leader="none" w:pos="571"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2017</w:t>
      </w:r>
    </w:p>
    <w:p>
      <w:pPr>
        <w:ind w:left="44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Commission file number: 1-11416</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CONSUMER PORTFOLIO SERVICES,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20" w:type="dxa"/>
        <w:tblCellMar>
          <w:top w:w="0" w:type="dxa"/>
          <w:left w:w="0" w:type="dxa"/>
          <w:bottom w:w="0" w:type="dxa"/>
          <w:right w:w="0" w:type="dxa"/>
        </w:tblCellMar>
      </w:tblPr>
      <w:tr>
        <w:trPr>
          <w:trHeight w:val="220"/>
        </w:trPr>
        <w:tc>
          <w:tcPr>
            <w:tcW w:w="5460" w:type="dxa"/>
            <w:vAlign w:val="bottom"/>
          </w:tcPr>
          <w:p>
            <w:pPr>
              <w:jc w:val="center"/>
              <w:ind w:right="1090"/>
              <w:spacing w:after="0"/>
              <w:rPr>
                <w:sz w:val="20"/>
                <w:szCs w:val="20"/>
                <w:color w:val="auto"/>
              </w:rPr>
            </w:pPr>
            <w:r>
              <w:rPr>
                <w:rFonts w:ascii="Arial" w:cs="Arial" w:eastAsia="Arial" w:hAnsi="Arial"/>
                <w:sz w:val="18"/>
                <w:szCs w:val="18"/>
                <w:b w:val="1"/>
                <w:bCs w:val="1"/>
                <w:color w:val="auto"/>
                <w:w w:val="96"/>
              </w:rPr>
              <w:t>California</w:t>
            </w:r>
          </w:p>
        </w:tc>
        <w:tc>
          <w:tcPr>
            <w:tcW w:w="3640" w:type="dxa"/>
            <w:vAlign w:val="bottom"/>
          </w:tcPr>
          <w:p>
            <w:pPr>
              <w:jc w:val="right"/>
              <w:ind w:right="730"/>
              <w:spacing w:after="0"/>
              <w:rPr>
                <w:sz w:val="20"/>
                <w:szCs w:val="20"/>
                <w:color w:val="auto"/>
              </w:rPr>
            </w:pPr>
            <w:r>
              <w:rPr>
                <w:rFonts w:ascii="Arial" w:cs="Arial" w:eastAsia="Arial" w:hAnsi="Arial"/>
                <w:sz w:val="18"/>
                <w:szCs w:val="18"/>
                <w:b w:val="1"/>
                <w:bCs w:val="1"/>
                <w:color w:val="auto"/>
              </w:rPr>
              <w:t>33-0459135</w:t>
            </w:r>
          </w:p>
        </w:tc>
      </w:tr>
      <w:tr>
        <w:trPr>
          <w:trHeight w:val="230"/>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40" w:type="dxa"/>
            <w:vAlign w:val="bottom"/>
          </w:tcPr>
          <w:p>
            <w:pPr>
              <w:jc w:val="center"/>
              <w:ind w:left="107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460" w:type="dxa"/>
            <w:vAlign w:val="bottom"/>
          </w:tcPr>
          <w:p>
            <w:pPr>
              <w:jc w:val="center"/>
              <w:ind w:right="1090"/>
              <w:spacing w:after="0"/>
              <w:rPr>
                <w:sz w:val="20"/>
                <w:szCs w:val="20"/>
                <w:color w:val="auto"/>
              </w:rPr>
            </w:pPr>
            <w:r>
              <w:rPr>
                <w:rFonts w:ascii="Arial" w:cs="Arial" w:eastAsia="Arial" w:hAnsi="Arial"/>
                <w:sz w:val="18"/>
                <w:szCs w:val="18"/>
                <w:b w:val="1"/>
                <w:bCs w:val="1"/>
                <w:color w:val="auto"/>
                <w:w w:val="91"/>
              </w:rPr>
              <w:t>3800 Howard Hughes Parkway, Suite 1400,</w:t>
            </w:r>
          </w:p>
        </w:tc>
        <w:tc>
          <w:tcPr>
            <w:tcW w:w="3640" w:type="dxa"/>
            <w:vAlign w:val="bottom"/>
          </w:tcPr>
          <w:p>
            <w:pPr>
              <w:spacing w:after="0"/>
              <w:rPr>
                <w:sz w:val="24"/>
                <w:szCs w:val="24"/>
                <w:color w:val="auto"/>
              </w:rPr>
            </w:pPr>
          </w:p>
        </w:tc>
      </w:tr>
      <w:tr>
        <w:trPr>
          <w:trHeight w:val="220"/>
        </w:trPr>
        <w:tc>
          <w:tcPr>
            <w:tcW w:w="5460" w:type="dxa"/>
            <w:vAlign w:val="bottom"/>
          </w:tcPr>
          <w:p>
            <w:pPr>
              <w:jc w:val="center"/>
              <w:ind w:right="1090"/>
              <w:spacing w:after="0"/>
              <w:rPr>
                <w:sz w:val="20"/>
                <w:szCs w:val="20"/>
                <w:color w:val="auto"/>
              </w:rPr>
            </w:pPr>
            <w:r>
              <w:rPr>
                <w:rFonts w:ascii="Arial" w:cs="Arial" w:eastAsia="Arial" w:hAnsi="Arial"/>
                <w:sz w:val="18"/>
                <w:szCs w:val="18"/>
                <w:b w:val="1"/>
                <w:bCs w:val="1"/>
                <w:color w:val="auto"/>
                <w:w w:val="88"/>
              </w:rPr>
              <w:t>Las Vegas, Nevada</w:t>
            </w:r>
          </w:p>
        </w:tc>
        <w:tc>
          <w:tcPr>
            <w:tcW w:w="3640" w:type="dxa"/>
            <w:vAlign w:val="bottom"/>
          </w:tcPr>
          <w:p>
            <w:pPr>
              <w:jc w:val="right"/>
              <w:ind w:right="930"/>
              <w:spacing w:after="0"/>
              <w:rPr>
                <w:sz w:val="20"/>
                <w:szCs w:val="20"/>
                <w:color w:val="auto"/>
              </w:rPr>
            </w:pPr>
            <w:r>
              <w:rPr>
                <w:rFonts w:ascii="Arial" w:cs="Arial" w:eastAsia="Arial" w:hAnsi="Arial"/>
                <w:sz w:val="18"/>
                <w:szCs w:val="18"/>
                <w:b w:val="1"/>
                <w:bCs w:val="1"/>
                <w:color w:val="auto"/>
              </w:rPr>
              <w:t>89169</w:t>
            </w:r>
          </w:p>
        </w:tc>
      </w:tr>
      <w:tr>
        <w:trPr>
          <w:trHeight w:val="230"/>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92"/>
              </w:rPr>
              <w:t>(Address of principal executive offices)</w:t>
            </w:r>
          </w:p>
        </w:tc>
        <w:tc>
          <w:tcPr>
            <w:tcW w:w="3640" w:type="dxa"/>
            <w:vAlign w:val="bottom"/>
          </w:tcPr>
          <w:p>
            <w:pPr>
              <w:jc w:val="center"/>
              <w:ind w:left="105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(949) 753-6800</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 N/A</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(1) filed all reports required to be filed by Section 13 or 15(d) of the Securities Exchange Act of 1934 during</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the preceding 12 months (or for such shorter period that the registrant was required to file such reports) and (2) has been subject to such filing requirements</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for 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[X] No [  ]</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81"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355" w:right="239" w:bottom="1440" w:gutter="0" w:footer="0" w:header="0"/>
        </w:sectPr>
      </w:pPr>
    </w:p>
    <w:p>
      <w:pPr>
        <w:spacing w:after="0" w:line="181"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Large accelerated filer [ Non-accelerated filer [</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ind w:left="40"/>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 (Do not check if a smaller reporting company)</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[X]</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 [</w:t>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ind w:left="60"/>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4"/>
          <w:szCs w:val="24"/>
          <w:color w:val="auto"/>
        </w:rPr>
      </w:pPr>
    </w:p>
    <w:p>
      <w:pPr>
        <w:sectPr>
          <w:pgSz w:w="11900" w:h="16838" w:orient="portrait"/>
          <w:cols w:equalWidth="0" w:num="4">
            <w:col w:w="1720" w:space="100"/>
            <w:col w:w="3440" w:space="460"/>
            <w:col w:w="2120" w:space="80"/>
            <w:col w:w="3500"/>
          </w:cols>
          <w:pgMar w:left="240" w:top="355" w:right="239" w:bottom="1440" w:gutter="0" w:footer="0" w:header="0"/>
          <w:type w:val="continuous"/>
        </w:sectPr>
      </w:pPr>
    </w:p>
    <w:p>
      <w:pPr>
        <w:spacing w:after="0" w:line="11"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As of October 30, 2017 the registrant had 21,775,158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type w:val="continuous"/>
        </w:sectPr>
      </w:pPr>
    </w:p>
    <w:bookmarkStart w:id="1" w:name="page2"/>
    <w:bookmarkEnd w:id="1"/>
    <w:p>
      <w:pPr>
        <w:jc w:val="center"/>
        <w:ind w:right="-25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INDEX TO FORM 10-Q</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0" w:type="dxa"/>
            <w:vAlign w:val="bottom"/>
            <w:gridSpan w:val="7"/>
            <w:vMerge w:val="restart"/>
          </w:tcPr>
          <w:p>
            <w:pPr>
              <w:ind w:left="760"/>
              <w:spacing w:after="0"/>
              <w:rPr>
                <w:sz w:val="20"/>
                <w:szCs w:val="20"/>
                <w:color w:val="auto"/>
              </w:rPr>
            </w:pPr>
            <w:r>
              <w:rPr>
                <w:rFonts w:ascii="Arial" w:cs="Arial" w:eastAsia="Arial" w:hAnsi="Arial"/>
                <w:sz w:val="18"/>
                <w:szCs w:val="18"/>
                <w:b w:val="1"/>
                <w:bCs w:val="1"/>
                <w:color w:val="auto"/>
              </w:rPr>
              <w:t>PART I. FINANCIAL INFORMATION</w:t>
            </w:r>
          </w:p>
        </w:tc>
        <w:tc>
          <w:tcPr>
            <w:tcW w:w="540" w:type="dxa"/>
            <w:vAlign w:val="bottom"/>
            <w:gridSpan w:val="2"/>
          </w:tcPr>
          <w:p>
            <w:pPr>
              <w:ind w:left="16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37"/>
        </w:trPr>
        <w:tc>
          <w:tcPr>
            <w:tcW w:w="1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0" w:type="dxa"/>
            <w:vAlign w:val="bottom"/>
            <w:gridSpan w:val="7"/>
            <w:vMerge w:val="continue"/>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Item 1.</w:t>
            </w:r>
          </w:p>
        </w:tc>
        <w:tc>
          <w:tcPr>
            <w:tcW w:w="936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73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Unaudited Condensed Consolidated Balance Sheets as of September 30, 2017 and December 31, 2016</w:t>
              </w:r>
            </w:hyperlink>
          </w:p>
        </w:tc>
        <w:tc>
          <w:tcPr>
            <w:tcW w:w="1980" w:type="dxa"/>
            <w:vAlign w:val="bottom"/>
            <w:gridSpan w:val="4"/>
          </w:tcPr>
          <w:p>
            <w:pPr>
              <w:spacing w:after="0"/>
              <w:rPr>
                <w:sz w:val="17"/>
                <w:szCs w:val="17"/>
                <w:color w:val="auto"/>
              </w:rPr>
            </w:pPr>
          </w:p>
        </w:tc>
        <w:tc>
          <w:tcPr>
            <w:tcW w:w="540" w:type="dxa"/>
            <w:vAlign w:val="bottom"/>
            <w:gridSpan w:val="2"/>
          </w:tcPr>
          <w:p>
            <w:pPr>
              <w:jc w:val="center"/>
              <w:ind w:left="70"/>
              <w:spacing w:after="0" w:line="19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922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Consolidated Statements of Operations for the three-month and nine-month periods ended September 30,</w:t>
              </w:r>
            </w:hyperlink>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08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2017 and 2016</w:t>
              </w:r>
            </w:hyperlink>
          </w:p>
        </w:tc>
        <w:tc>
          <w:tcPr>
            <w:tcW w:w="8280" w:type="dxa"/>
            <w:vAlign w:val="bottom"/>
            <w:gridSpan w:val="10"/>
          </w:tcPr>
          <w:p>
            <w:pPr>
              <w:spacing w:after="0"/>
              <w:rPr>
                <w:sz w:val="17"/>
                <w:szCs w:val="17"/>
                <w:color w:val="auto"/>
              </w:rPr>
            </w:pPr>
          </w:p>
        </w:tc>
        <w:tc>
          <w:tcPr>
            <w:tcW w:w="540" w:type="dxa"/>
            <w:vAlign w:val="bottom"/>
            <w:gridSpan w:val="2"/>
          </w:tcPr>
          <w:p>
            <w:pPr>
              <w:jc w:val="center"/>
              <w:ind w:left="70"/>
              <w:spacing w:after="0" w:line="19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90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Condensed Consolidated Statements of Comprehensive Income for the three-month and nine-month periods ended</w:t>
              </w:r>
            </w:hyperlink>
          </w:p>
        </w:tc>
        <w:tc>
          <w:tcPr>
            <w:tcW w:w="30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16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September 30, 2017 and 2016</w:t>
              </w:r>
            </w:hyperlink>
          </w:p>
        </w:tc>
        <w:tc>
          <w:tcPr>
            <w:tcW w:w="7200" w:type="dxa"/>
            <w:vAlign w:val="bottom"/>
            <w:gridSpan w:val="7"/>
          </w:tcPr>
          <w:p>
            <w:pPr>
              <w:spacing w:after="0"/>
              <w:rPr>
                <w:sz w:val="17"/>
                <w:szCs w:val="17"/>
                <w:color w:val="auto"/>
              </w:rPr>
            </w:pPr>
          </w:p>
        </w:tc>
        <w:tc>
          <w:tcPr>
            <w:tcW w:w="540" w:type="dxa"/>
            <w:vAlign w:val="bottom"/>
            <w:gridSpan w:val="2"/>
          </w:tcPr>
          <w:p>
            <w:pPr>
              <w:jc w:val="center"/>
              <w:ind w:left="70"/>
              <w:spacing w:after="0" w:line="19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91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Condensed Consolidated Statements of Cash Flows for the nine-month periods ended September 30, 2017 and 2016</w:t>
              </w:r>
            </w:hyperlink>
          </w:p>
        </w:tc>
        <w:tc>
          <w:tcPr>
            <w:tcW w:w="200" w:type="dxa"/>
            <w:vAlign w:val="bottom"/>
            <w:gridSpan w:val="2"/>
          </w:tcPr>
          <w:p>
            <w:pPr>
              <w:spacing w:after="0"/>
              <w:rPr>
                <w:sz w:val="17"/>
                <w:szCs w:val="17"/>
                <w:color w:val="auto"/>
              </w:rPr>
            </w:pPr>
          </w:p>
        </w:tc>
        <w:tc>
          <w:tcPr>
            <w:tcW w:w="540" w:type="dxa"/>
            <w:vAlign w:val="bottom"/>
            <w:gridSpan w:val="2"/>
          </w:tcPr>
          <w:p>
            <w:pPr>
              <w:jc w:val="center"/>
              <w:ind w:left="70"/>
              <w:spacing w:after="0" w:line="19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8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Condensed Consolidated Financial Statements</w:t>
              </w:r>
            </w:hyperlink>
          </w:p>
        </w:tc>
        <w:tc>
          <w:tcPr>
            <w:tcW w:w="4560" w:type="dxa"/>
            <w:vAlign w:val="bottom"/>
            <w:gridSpan w:val="6"/>
          </w:tcPr>
          <w:p>
            <w:pPr>
              <w:spacing w:after="0"/>
              <w:rPr>
                <w:sz w:val="17"/>
                <w:szCs w:val="17"/>
                <w:color w:val="auto"/>
              </w:rPr>
            </w:pPr>
          </w:p>
        </w:tc>
        <w:tc>
          <w:tcPr>
            <w:tcW w:w="540" w:type="dxa"/>
            <w:vAlign w:val="bottom"/>
            <w:gridSpan w:val="2"/>
          </w:tcPr>
          <w:p>
            <w:pPr>
              <w:jc w:val="center"/>
              <w:ind w:left="70"/>
              <w:spacing w:after="0" w:line="196"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360" w:type="dxa"/>
            <w:vAlign w:val="bottom"/>
            <w:gridSpan w:val="11"/>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540" w:type="dxa"/>
            <w:vAlign w:val="bottom"/>
            <w:gridSpan w:val="2"/>
          </w:tcPr>
          <w:p>
            <w:pPr>
              <w:jc w:val="center"/>
              <w:ind w:left="70"/>
              <w:spacing w:after="0" w:line="19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Controls and Procedures</w:t>
              </w:r>
            </w:hyperlink>
          </w:p>
        </w:tc>
        <w:tc>
          <w:tcPr>
            <w:tcW w:w="4680" w:type="dxa"/>
            <w:vAlign w:val="bottom"/>
            <w:tcBorders>
              <w:top w:val="single" w:sz="8" w:color="0000EE"/>
            </w:tcBorders>
            <w:gridSpan w:val="3"/>
          </w:tcPr>
          <w:p>
            <w:pPr>
              <w:spacing w:after="0"/>
              <w:rPr>
                <w:sz w:val="17"/>
                <w:szCs w:val="17"/>
                <w:color w:val="auto"/>
              </w:rPr>
            </w:pPr>
          </w:p>
        </w:tc>
        <w:tc>
          <w:tcPr>
            <w:tcW w:w="2900" w:type="dxa"/>
            <w:vAlign w:val="bottom"/>
            <w:gridSpan w:val="5"/>
          </w:tcPr>
          <w:p>
            <w:pPr>
              <w:spacing w:after="0"/>
              <w:rPr>
                <w:sz w:val="17"/>
                <w:szCs w:val="17"/>
                <w:color w:val="auto"/>
              </w:rPr>
            </w:pPr>
          </w:p>
        </w:tc>
        <w:tc>
          <w:tcPr>
            <w:tcW w:w="540" w:type="dxa"/>
            <w:vAlign w:val="bottom"/>
            <w:gridSpan w:val="2"/>
          </w:tcPr>
          <w:p>
            <w:pPr>
              <w:jc w:val="center"/>
              <w:ind w:left="70"/>
              <w:spacing w:after="0" w:line="19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380" w:type="dxa"/>
            <w:vAlign w:val="bottom"/>
            <w:gridSpan w:val="2"/>
          </w:tcPr>
          <w:p>
            <w:pPr>
              <w:ind w:left="1740"/>
              <w:spacing w:after="0"/>
              <w:rPr>
                <w:sz w:val="20"/>
                <w:szCs w:val="20"/>
                <w:color w:val="auto"/>
              </w:rPr>
            </w:pPr>
            <w:r>
              <w:rPr>
                <w:rFonts w:ascii="Arial" w:cs="Arial" w:eastAsia="Arial" w:hAnsi="Arial"/>
                <w:sz w:val="18"/>
                <w:szCs w:val="18"/>
                <w:b w:val="1"/>
                <w:bCs w:val="1"/>
                <w:color w:val="auto"/>
              </w:rPr>
              <w:t>PART II. OTHER INFORMATION</w:t>
            </w:r>
          </w:p>
        </w:tc>
        <w:tc>
          <w:tcPr>
            <w:tcW w:w="2080" w:type="dxa"/>
            <w:vAlign w:val="bottom"/>
          </w:tcPr>
          <w:p>
            <w:pPr>
              <w:spacing w:after="0"/>
              <w:rPr>
                <w:sz w:val="20"/>
                <w:szCs w:val="20"/>
                <w:color w:val="auto"/>
              </w:rPr>
            </w:pP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Legal Proceedings</w:t>
              </w:r>
            </w:hyperlink>
          </w:p>
        </w:tc>
        <w:tc>
          <w:tcPr>
            <w:tcW w:w="6380" w:type="dxa"/>
            <w:vAlign w:val="bottom"/>
            <w:gridSpan w:val="2"/>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7720" w:type="dxa"/>
            <w:vAlign w:val="bottom"/>
            <w:gridSpan w:val="6"/>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Risk Factors</w:t>
              </w:r>
            </w:hyperlink>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1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Unregistered Sales of Equity Securities and Use of Proceeds</w:t>
              </w:r>
            </w:hyperlink>
          </w:p>
        </w:tc>
        <w:tc>
          <w:tcPr>
            <w:tcW w:w="3360" w:type="dxa"/>
            <w:vAlign w:val="bottom"/>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7720" w:type="dxa"/>
            <w:vAlign w:val="bottom"/>
            <w:gridSpan w:val="6"/>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1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960" w:type="dxa"/>
            <w:vAlign w:val="bottom"/>
            <w:gridSpan w:val="4"/>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7720" w:type="dxa"/>
            <w:vAlign w:val="bottom"/>
            <w:gridSpan w:val="6"/>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Signatures</w:t>
              </w:r>
            </w:hyperlink>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
        </w:trPr>
        <w:tc>
          <w:tcPr>
            <w:tcW w:w="1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240" w:top="1013"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4"/>
              </w:rPr>
              <w:t>September 30,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Borders>
              <w:bottom w:val="single" w:sz="8" w:color="EEEEE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EEEEEE"/>
            </w:tcBorders>
          </w:tcPr>
          <w:p>
            <w:pPr>
              <w:spacing w:after="0"/>
              <w:rPr>
                <w:sz w:val="20"/>
                <w:szCs w:val="20"/>
                <w:color w:val="auto"/>
              </w:rPr>
            </w:pPr>
          </w:p>
        </w:tc>
        <w:tc>
          <w:tcPr>
            <w:tcW w:w="160" w:type="dxa"/>
            <w:vAlign w:val="bottom"/>
            <w:tcBorders>
              <w:bottom w:val="single" w:sz="8" w:color="EEEEE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12,038</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13,936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1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115,026</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112,754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2,317,727</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2,267,943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Less: Allowance for finance credit losses</w:t>
            </w:r>
          </w:p>
        </w:tc>
        <w:tc>
          <w:tcPr>
            <w:tcW w:w="160" w:type="dxa"/>
            <w:vAlign w:val="bottom"/>
          </w:tcPr>
          <w:p>
            <w:pPr>
              <w:spacing w:after="0"/>
              <w:rPr>
                <w:sz w:val="19"/>
                <w:szCs w:val="19"/>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(108,619)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(95,578)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16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2,209,108</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2,172,365</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Furniture and equipment, net</w:t>
            </w:r>
          </w:p>
        </w:tc>
        <w:tc>
          <w:tcPr>
            <w:tcW w:w="1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1,910</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16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47,652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42,845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Accrued interest receivable</w:t>
            </w:r>
          </w:p>
        </w:tc>
        <w:tc>
          <w:tcPr>
            <w:tcW w:w="1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42,148</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36,233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22,503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30,252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2,450,385</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2,410,402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29,262</w:t>
            </w:r>
          </w:p>
        </w:tc>
        <w:tc>
          <w:tcPr>
            <w:tcW w:w="32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Warehouse lines of credit</w:t>
            </w:r>
          </w:p>
        </w:tc>
        <w:tc>
          <w:tcPr>
            <w:tcW w:w="16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106,632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103,358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2,103,567</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2,080,900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Subordinated renewable notes</w:t>
            </w:r>
          </w:p>
        </w:tc>
        <w:tc>
          <w:tcPr>
            <w:tcW w:w="16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16,229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14,949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2,255,690</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2,224,184</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Shareholders' Equity</w:t>
            </w: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Preferred stock, $1 par value; authorized 4,998,130 shares; none issued</w:t>
            </w:r>
          </w:p>
        </w:tc>
        <w:tc>
          <w:tcPr>
            <w:tcW w:w="16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Series A preferred stock, $1 par value; authorized 5,000,000 shares; none issued</w:t>
            </w:r>
          </w:p>
        </w:tc>
        <w:tc>
          <w:tcPr>
            <w:tcW w:w="1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Series B preferred stock, $1 par value; authorized 1,870 shares; none issued</w:t>
            </w:r>
          </w:p>
        </w:tc>
        <w:tc>
          <w:tcPr>
            <w:tcW w:w="16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3"/>
              </w:rPr>
              <w:t>Common stock, no par value; authorized 75,000,000 shares; 21,868,887 and 23,587,126 shares issued</w:t>
            </w:r>
          </w:p>
        </w:tc>
        <w:tc>
          <w:tcPr>
            <w:tcW w:w="160" w:type="dxa"/>
            <w:vAlign w:val="bottom"/>
            <w:shd w:val="clear" w:color="auto" w:fill="EEEEEE"/>
          </w:tcPr>
          <w:p>
            <w:pPr>
              <w:spacing w:after="0"/>
              <w:rPr>
                <w:sz w:val="17"/>
                <w:szCs w:val="17"/>
                <w:color w:val="auto"/>
              </w:rPr>
            </w:pPr>
          </w:p>
        </w:tc>
        <w:tc>
          <w:tcPr>
            <w:tcW w:w="14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and outstanding at September 30, 2017 and December 31, 2016, respectively</w:t>
            </w:r>
          </w:p>
        </w:tc>
        <w:tc>
          <w:tcPr>
            <w:tcW w:w="160" w:type="dxa"/>
            <w:vAlign w:val="bottom"/>
            <w:shd w:val="clear" w:color="auto" w:fill="EEEEEE"/>
          </w:tcPr>
          <w:p>
            <w:pPr>
              <w:spacing w:after="0"/>
              <w:rPr>
                <w:sz w:val="20"/>
                <w:szCs w:val="20"/>
                <w:color w:val="auto"/>
              </w:rPr>
            </w:pP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71,889</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77,128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129,488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115,772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EEEEEE"/>
          </w:tcPr>
          <w:p>
            <w:pPr>
              <w:spacing w:after="0"/>
              <w:rPr>
                <w:sz w:val="19"/>
                <w:szCs w:val="19"/>
                <w:color w:val="auto"/>
              </w:rPr>
            </w:pPr>
          </w:p>
        </w:tc>
        <w:tc>
          <w:tcPr>
            <w:tcW w:w="16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(6,682)</w:t>
            </w: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(6,682)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EEEEE"/>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194,695</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186,218</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2,450,385</w:t>
            </w:r>
          </w:p>
        </w:tc>
        <w:tc>
          <w:tcPr>
            <w:tcW w:w="20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2,410,402</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 w:name="page4"/>
    <w:bookmarkEnd w:id="3"/>
    <w:p>
      <w:pPr>
        <w:jc w:val="center"/>
        <w:ind w:left="260" w:right="2440"/>
        <w:spacing w:after="0" w:line="266"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OPERATIONS (In thousands, except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60" w:type="dxa"/>
            <w:vAlign w:val="bottom"/>
            <w:gridSpan w:val="5"/>
          </w:tcPr>
          <w:p>
            <w:pPr>
              <w:ind w:left="4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107,014</w:t>
            </w:r>
          </w:p>
        </w:tc>
        <w:tc>
          <w:tcPr>
            <w:tcW w:w="440" w:type="dxa"/>
            <w:vAlign w:val="bottom"/>
            <w:shd w:val="clear" w:color="auto" w:fill="EEEEEE"/>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105,376</w:t>
            </w:r>
          </w:p>
        </w:tc>
        <w:tc>
          <w:tcPr>
            <w:tcW w:w="46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319,074</w:t>
            </w:r>
          </w:p>
        </w:tc>
        <w:tc>
          <w:tcPr>
            <w:tcW w:w="440" w:type="dxa"/>
            <w:vAlign w:val="bottom"/>
            <w:shd w:val="clear" w:color="auto" w:fill="EEEEEE"/>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303,748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2,474</w:t>
            </w:r>
          </w:p>
        </w:tc>
        <w:tc>
          <w:tcPr>
            <w:tcW w:w="4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3,140</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8,084</w:t>
            </w:r>
          </w:p>
        </w:tc>
        <w:tc>
          <w:tcPr>
            <w:tcW w:w="4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10,351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109,488</w:t>
            </w:r>
          </w:p>
        </w:tc>
        <w:tc>
          <w:tcPr>
            <w:tcW w:w="34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bottom w:val="single" w:sz="8" w:color="auto"/>
            </w:tcBorders>
            <w:shd w:val="clear" w:color="auto" w:fill="EEEEEE"/>
          </w:tcPr>
          <w:p>
            <w:pPr>
              <w:spacing w:after="0"/>
              <w:rPr>
                <w:sz w:val="18"/>
                <w:szCs w:val="18"/>
                <w:color w:val="auto"/>
              </w:rPr>
            </w:pP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108,516</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327,158</w:t>
            </w:r>
          </w:p>
        </w:tc>
        <w:tc>
          <w:tcPr>
            <w:tcW w:w="32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bottom w:val="single" w:sz="8" w:color="auto"/>
            </w:tcBorders>
            <w:shd w:val="clear" w:color="auto" w:fill="EEEEEE"/>
          </w:tcPr>
          <w:p>
            <w:pPr>
              <w:spacing w:after="0"/>
              <w:rPr>
                <w:sz w:val="18"/>
                <w:szCs w:val="18"/>
                <w:color w:val="auto"/>
              </w:rPr>
            </w:pP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314,099</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Expenses: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Employee costs</w:t>
            </w: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18,455</w:t>
            </w:r>
          </w:p>
        </w:tc>
        <w:tc>
          <w:tcPr>
            <w:tcW w:w="4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16,688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53,807</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47,510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6,355</w:t>
            </w:r>
          </w:p>
        </w:tc>
        <w:tc>
          <w:tcPr>
            <w:tcW w:w="44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6,316</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20,096</w:t>
            </w:r>
          </w:p>
        </w:tc>
        <w:tc>
          <w:tcPr>
            <w:tcW w:w="4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Interest</w:t>
            </w: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23,317</w:t>
            </w:r>
          </w:p>
        </w:tc>
        <w:tc>
          <w:tcPr>
            <w:tcW w:w="4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20,893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68,641</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Provision for credit losses</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47,336</w:t>
            </w:r>
          </w:p>
        </w:tc>
        <w:tc>
          <w:tcPr>
            <w:tcW w:w="44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46,262</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143,053</w:t>
            </w:r>
          </w:p>
        </w:tc>
        <w:tc>
          <w:tcPr>
            <w:tcW w:w="4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134,881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Marketing</w:t>
            </w: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3,807</w:t>
            </w:r>
          </w:p>
        </w:tc>
        <w:tc>
          <w:tcPr>
            <w:tcW w:w="4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4,463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11,757</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Occupancy</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1,865</w:t>
            </w:r>
          </w:p>
        </w:tc>
        <w:tc>
          <w:tcPr>
            <w:tcW w:w="44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1,237</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5,258</w:t>
            </w:r>
          </w:p>
        </w:tc>
        <w:tc>
          <w:tcPr>
            <w:tcW w:w="4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3,608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244</w:t>
            </w:r>
          </w:p>
        </w:tc>
        <w:tc>
          <w:tcPr>
            <w:tcW w:w="4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202</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692</w:t>
            </w:r>
          </w:p>
        </w:tc>
        <w:tc>
          <w:tcPr>
            <w:tcW w:w="4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101,379</w:t>
            </w:r>
          </w:p>
        </w:tc>
        <w:tc>
          <w:tcPr>
            <w:tcW w:w="34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bottom w:val="single" w:sz="8" w:color="auto"/>
            </w:tcBorders>
            <w:shd w:val="clear" w:color="auto" w:fill="EEEEEE"/>
          </w:tcPr>
          <w:p>
            <w:pPr>
              <w:spacing w:after="0"/>
              <w:rPr>
                <w:sz w:val="18"/>
                <w:szCs w:val="18"/>
                <w:color w:val="auto"/>
              </w:rPr>
            </w:pP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96,061</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303,304</w:t>
            </w:r>
          </w:p>
        </w:tc>
        <w:tc>
          <w:tcPr>
            <w:tcW w:w="32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bottom w:val="single" w:sz="8" w:color="auto"/>
            </w:tcBorders>
            <w:shd w:val="clear" w:color="auto" w:fill="EEEEEE"/>
          </w:tcPr>
          <w:p>
            <w:pPr>
              <w:spacing w:after="0"/>
              <w:rPr>
                <w:sz w:val="18"/>
                <w:szCs w:val="18"/>
                <w:color w:val="auto"/>
              </w:rPr>
            </w:pP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277,089</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8,109</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12,455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23,854</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Income tax expense</w:t>
            </w:r>
          </w:p>
        </w:tc>
        <w:tc>
          <w:tcPr>
            <w:tcW w:w="30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3,446</w:t>
            </w:r>
          </w:p>
        </w:tc>
        <w:tc>
          <w:tcPr>
            <w:tcW w:w="44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5,107</w:t>
            </w:r>
          </w:p>
        </w:tc>
        <w:tc>
          <w:tcPr>
            <w:tcW w:w="1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10,138</w:t>
            </w:r>
          </w:p>
        </w:tc>
        <w:tc>
          <w:tcPr>
            <w:tcW w:w="44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15,175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0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4,663</w:t>
            </w:r>
          </w:p>
        </w:tc>
        <w:tc>
          <w:tcPr>
            <w:tcW w:w="340" w:type="dxa"/>
            <w:vAlign w:val="bottom"/>
            <w:tcBorders>
              <w:bottom w:val="single" w:sz="8" w:color="EEEEEE"/>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7,348</w:t>
            </w:r>
          </w:p>
        </w:tc>
        <w:tc>
          <w:tcPr>
            <w:tcW w:w="180" w:type="dxa"/>
            <w:vAlign w:val="bottom"/>
            <w:tcBorders>
              <w:bottom w:val="single" w:sz="8" w:color="EEEEEE"/>
            </w:tcBorders>
          </w:tcPr>
          <w:p>
            <w:pPr>
              <w:spacing w:after="0"/>
              <w:rPr>
                <w:sz w:val="22"/>
                <w:szCs w:val="22"/>
                <w:color w:val="auto"/>
              </w:rPr>
            </w:pPr>
          </w:p>
        </w:tc>
        <w:tc>
          <w:tcPr>
            <w:tcW w:w="180" w:type="dxa"/>
            <w:vAlign w:val="bottom"/>
            <w:tcBorders>
              <w:bottom w:val="single" w:sz="8" w:color="EEEEEE"/>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13,716</w:t>
            </w:r>
          </w:p>
        </w:tc>
        <w:tc>
          <w:tcPr>
            <w:tcW w:w="320" w:type="dxa"/>
            <w:vAlign w:val="bottom"/>
            <w:tcBorders>
              <w:bottom w:val="single" w:sz="8" w:color="EEEEEE"/>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21,835</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Earnings per share: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0.21</w:t>
            </w:r>
          </w:p>
        </w:tc>
        <w:tc>
          <w:tcPr>
            <w:tcW w:w="440" w:type="dxa"/>
            <w:vAlign w:val="bottom"/>
            <w:shd w:val="clear" w:color="auto" w:fill="EEEEEE"/>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0.31</w:t>
            </w:r>
          </w:p>
        </w:tc>
        <w:tc>
          <w:tcPr>
            <w:tcW w:w="46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0.60</w:t>
            </w:r>
          </w:p>
        </w:tc>
        <w:tc>
          <w:tcPr>
            <w:tcW w:w="440" w:type="dxa"/>
            <w:vAlign w:val="bottom"/>
            <w:shd w:val="clear" w:color="auto" w:fill="EEEEEE"/>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0.17</w:t>
            </w:r>
          </w:p>
        </w:tc>
        <w:tc>
          <w:tcPr>
            <w:tcW w:w="4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0.26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0.50</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Number of shares used in computing earnings per share: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22,473</w:t>
            </w:r>
          </w:p>
        </w:tc>
        <w:tc>
          <w:tcPr>
            <w:tcW w:w="44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23,894</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23,019</w:t>
            </w:r>
          </w:p>
        </w:tc>
        <w:tc>
          <w:tcPr>
            <w:tcW w:w="4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24,574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26,779</w:t>
            </w:r>
          </w:p>
        </w:tc>
        <w:tc>
          <w:tcPr>
            <w:tcW w:w="44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28,503</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27,606</w:t>
            </w:r>
          </w:p>
        </w:tc>
        <w:tc>
          <w:tcPr>
            <w:tcW w:w="4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29,253</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 w:name="page5"/>
    <w:bookmarkEnd w:id="4"/>
    <w:p>
      <w:pPr>
        <w:jc w:val="center"/>
        <w:ind w:left="260" w:right="1820"/>
        <w:spacing w:after="0" w:line="275"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COMPREHENSIVE INCOME (In thousands)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64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60" w:type="dxa"/>
            <w:vAlign w:val="bottom"/>
            <w:gridSpan w:val="6"/>
          </w:tcPr>
          <w:p>
            <w:pPr>
              <w:ind w:left="4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w w:val="94"/>
              </w:rPr>
              <w:t>September 30,</w:t>
            </w:r>
          </w:p>
        </w:tc>
        <w:tc>
          <w:tcPr>
            <w:tcW w:w="4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EEEEEE"/>
          </w:tcPr>
          <w:p>
            <w:pPr>
              <w:jc w:val="right"/>
              <w:ind w:right="757"/>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97"/>
              </w:rPr>
              <w:t>4,663</w:t>
            </w:r>
          </w:p>
        </w:tc>
        <w:tc>
          <w:tcPr>
            <w:tcW w:w="920" w:type="dxa"/>
            <w:vAlign w:val="bottom"/>
            <w:shd w:val="clear" w:color="auto" w:fill="EEEEEE"/>
          </w:tcPr>
          <w:p>
            <w:pPr>
              <w:jc w:val="right"/>
              <w:ind w:right="73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97"/>
              </w:rPr>
              <w:t>7,348</w:t>
            </w:r>
          </w:p>
        </w:tc>
        <w:tc>
          <w:tcPr>
            <w:tcW w:w="46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13,716</w:t>
            </w:r>
          </w:p>
        </w:tc>
        <w:tc>
          <w:tcPr>
            <w:tcW w:w="440" w:type="dxa"/>
            <w:vAlign w:val="bottom"/>
            <w:shd w:val="clear" w:color="auto" w:fill="EEEEEE"/>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21,835</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4"/>
              </w:rPr>
              <w:t>Other comprehensive income/(loss); change in funded status of</w:t>
            </w:r>
          </w:p>
        </w:tc>
        <w:tc>
          <w:tcPr>
            <w:tcW w:w="92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8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pension plan</w:t>
            </w:r>
          </w:p>
        </w:tc>
        <w:tc>
          <w:tcPr>
            <w:tcW w:w="920" w:type="dxa"/>
            <w:vAlign w:val="bottom"/>
            <w:shd w:val="clear" w:color="auto" w:fill="EEEEEE"/>
          </w:tcPr>
          <w:p>
            <w:pPr>
              <w:spacing w:after="0"/>
              <w:rPr>
                <w:sz w:val="21"/>
                <w:szCs w:val="21"/>
                <w:color w:val="auto"/>
              </w:rPr>
            </w:pPr>
          </w:p>
        </w:tc>
        <w:tc>
          <w:tcPr>
            <w:tcW w:w="8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spacing w:after="0"/>
              <w:rPr>
                <w:sz w:val="21"/>
                <w:szCs w:val="21"/>
                <w:color w:val="auto"/>
              </w:rPr>
            </w:pP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21"/>
                <w:szCs w:val="21"/>
                <w:color w:val="auto"/>
              </w:rPr>
            </w:pPr>
          </w:p>
        </w:tc>
        <w:tc>
          <w:tcPr>
            <w:tcW w:w="280" w:type="dxa"/>
            <w:vAlign w:val="bottom"/>
            <w:shd w:val="clear" w:color="auto" w:fill="EEEEEE"/>
          </w:tcPr>
          <w:p>
            <w:pPr>
              <w:spacing w:after="0"/>
              <w:rPr>
                <w:sz w:val="21"/>
                <w:szCs w:val="21"/>
                <w:color w:val="auto"/>
              </w:rPr>
            </w:pP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shd w:val="clear" w:color="auto" w:fill="EEEEEE"/>
          </w:tcPr>
          <w:p>
            <w:pPr>
              <w:spacing w:after="0"/>
              <w:rPr>
                <w:sz w:val="21"/>
                <w:szCs w:val="21"/>
                <w:color w:val="auto"/>
              </w:rPr>
            </w:pPr>
          </w:p>
        </w:tc>
        <w:tc>
          <w:tcPr>
            <w:tcW w:w="10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Comprehensive income</w:t>
            </w:r>
          </w:p>
        </w:tc>
        <w:tc>
          <w:tcPr>
            <w:tcW w:w="920" w:type="dxa"/>
            <w:vAlign w:val="bottom"/>
            <w:tcBorders>
              <w:top w:val="single" w:sz="8" w:color="auto"/>
              <w:bottom w:val="single" w:sz="8" w:color="auto"/>
            </w:tcBorders>
          </w:tcPr>
          <w:p>
            <w:pPr>
              <w:jc w:val="right"/>
              <w:ind w:right="75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4,663</w:t>
            </w:r>
          </w:p>
        </w:tc>
        <w:tc>
          <w:tcPr>
            <w:tcW w:w="3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7,348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13,716</w:t>
            </w:r>
          </w:p>
        </w:tc>
        <w:tc>
          <w:tcPr>
            <w:tcW w:w="3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21,835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sectPr>
      </w:pPr>
    </w:p>
    <w:bookmarkStart w:id="5" w:name="page6"/>
    <w:bookmarkEnd w:id="5"/>
    <w:p>
      <w:pPr>
        <w:jc w:val="center"/>
        <w:spacing w:after="0" w:line="266"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CASH FLOWS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80" w:type="dxa"/>
            <w:vAlign w:val="bottom"/>
            <w:gridSpan w:val="4"/>
          </w:tcPr>
          <w:p>
            <w:pPr>
              <w:jc w:val="right"/>
              <w:spacing w:after="0"/>
              <w:rPr>
                <w:sz w:val="20"/>
                <w:szCs w:val="20"/>
                <w:color w:val="auto"/>
              </w:rPr>
            </w:pPr>
            <w:r>
              <w:rPr>
                <w:rFonts w:ascii="Arial" w:cs="Arial" w:eastAsia="Arial" w:hAnsi="Arial"/>
                <w:sz w:val="18"/>
                <w:szCs w:val="18"/>
                <w:b w:val="1"/>
                <w:bCs w:val="1"/>
                <w:color w:val="auto"/>
              </w:rPr>
              <w:t>Nine Months Ended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13,716</w:t>
            </w:r>
          </w:p>
        </w:tc>
        <w:tc>
          <w:tcPr>
            <w:tcW w:w="740" w:type="dxa"/>
            <w:vAlign w:val="bottom"/>
            <w:gridSpan w:val="2"/>
            <w:shd w:val="clear" w:color="auto" w:fill="EEEEEE"/>
          </w:tcPr>
          <w:p>
            <w:pPr>
              <w:jc w:val="right"/>
              <w:ind w:right="4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21,835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Accretion of deferred acquisition fees and origination costs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619</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Amortization of discount on securitization trust debt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692</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Amortization of deferred financing costs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6,559</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Provision for credit losses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143,053</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134,881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4,266</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Accrued interest receivable</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(5,915)</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Deferred tax assets, net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(4,807)</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5,784</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(2,627)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4,285</w:t>
            </w:r>
          </w:p>
        </w:tc>
        <w:tc>
          <w:tcPr>
            <w:tcW w:w="16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4,054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EEEEE"/>
            </w:tcBorders>
          </w:tcPr>
          <w:p>
            <w:pPr>
              <w:ind w:left="58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168,252</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159,132</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i w:val="1"/>
                <w:iCs w:val="1"/>
                <w:color w:val="auto"/>
              </w:rPr>
              <w:t>Cash flows from investing activities: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Purchases of finance receivables held for investment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(668,284)</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(873,499)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Payments received on finance receivables held for investment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487,869</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490,486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Payments received on receivables portfolio at fair value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Change in repossessions held in inventory</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1,961</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Change in restricted cash and cash equivalents, net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(2,272)</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(10,349)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Purchase of furniture and equipment</w:t>
            </w:r>
          </w:p>
        </w:tc>
        <w:tc>
          <w:tcPr>
            <w:tcW w:w="36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(585)</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ind w:left="58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(181,307</w:t>
            </w:r>
          </w:p>
        </w:tc>
        <w:tc>
          <w:tcPr>
            <w:tcW w:w="200" w:type="dxa"/>
            <w:vAlign w:val="bottom"/>
            <w:tcBorders>
              <w:top w:val="single" w:sz="8" w:color="EEEEEE"/>
            </w:tcBorders>
            <w:shd w:val="clear" w:color="auto" w:fill="EEEEEE"/>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EEEEEE"/>
            </w:tcBorders>
            <w:shd w:val="clear" w:color="auto" w:fill="EEEEEE"/>
          </w:tcPr>
          <w:p>
            <w:pPr>
              <w:spacing w:after="0"/>
              <w:rPr>
                <w:sz w:val="18"/>
                <w:szCs w:val="18"/>
                <w:color w:val="auto"/>
              </w:rPr>
            </w:pPr>
          </w:p>
        </w:tc>
        <w:tc>
          <w:tcPr>
            <w:tcW w:w="580" w:type="dxa"/>
            <w:vAlign w:val="bottom"/>
            <w:tcBorders>
              <w:top w:val="single" w:sz="8" w:color="auto"/>
              <w:bottom w:val="single" w:sz="8" w:color="auto"/>
            </w:tcBorders>
            <w:shd w:val="clear" w:color="auto" w:fill="EEEEEE"/>
          </w:tcPr>
          <w:p>
            <w:pPr>
              <w:spacing w:after="0"/>
              <w:rPr>
                <w:sz w:val="18"/>
                <w:szCs w:val="18"/>
                <w:color w:val="auto"/>
              </w:rPr>
            </w:pP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(390,943</w:t>
            </w:r>
          </w:p>
        </w:tc>
        <w:tc>
          <w:tcPr>
            <w:tcW w:w="10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financing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Proceeds from issuance of securitization trust debt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656,315</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980,650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Proceeds from issuance of subordinated renewable notes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2,793</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Payments on subordinated renewable notes</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(1,513)</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Net advances of warehouse lines of credit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2,951</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(112,725)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Repayments of residual interest financing debt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Repayment of securitization trust debt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(634,171)</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(625,499)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Payment of financing costs</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(5,713)</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Purchase of common stock</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(10,536)</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(8,013)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Exercise of options and warrants</w:t>
            </w:r>
          </w:p>
        </w:tc>
        <w:tc>
          <w:tcPr>
            <w:tcW w:w="3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1,031</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ind w:left="58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11,157</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580" w:type="dxa"/>
            <w:vAlign w:val="bottom"/>
            <w:tcBorders>
              <w:top w:val="single" w:sz="8" w:color="auto"/>
              <w:bottom w:val="single" w:sz="8" w:color="auto"/>
            </w:tcBorders>
            <w:shd w:val="clear" w:color="auto" w:fill="EEEEEE"/>
          </w:tcPr>
          <w:p>
            <w:pPr>
              <w:spacing w:after="0"/>
              <w:rPr>
                <w:sz w:val="18"/>
                <w:szCs w:val="18"/>
                <w:color w:val="auto"/>
              </w:rPr>
            </w:pP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223,983</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(1,898)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13,936</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19,322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top w:val="single" w:sz="8" w:color="auto"/>
              <w:bottom w:val="single" w:sz="8" w:color="auto"/>
            </w:tcBorders>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12,038</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580" w:type="dxa"/>
            <w:vAlign w:val="bottom"/>
            <w:tcBorders>
              <w:top w:val="single" w:sz="8" w:color="auto"/>
              <w:bottom w:val="single" w:sz="8" w:color="auto"/>
            </w:tcBorders>
            <w:shd w:val="clear" w:color="auto" w:fill="EEEEEE"/>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11,494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Supplemental disclosure of cash flow information:</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Cash paid during the period for:</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Interest</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61,756</w:t>
            </w:r>
          </w:p>
        </w:tc>
        <w:tc>
          <w:tcPr>
            <w:tcW w:w="740" w:type="dxa"/>
            <w:vAlign w:val="bottom"/>
            <w:gridSpan w:val="2"/>
            <w:shd w:val="clear" w:color="auto" w:fill="EEEEEE"/>
          </w:tcPr>
          <w:p>
            <w:pPr>
              <w:jc w:val="right"/>
              <w:ind w:right="4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51,785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Income taxes</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6,157</w:t>
            </w:r>
          </w:p>
        </w:tc>
        <w:tc>
          <w:tcPr>
            <w:tcW w:w="74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16,900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Summary of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were formed in California on March 8, 1991. We specialize in purchasing and servicing retail automobile installment sale contracts (“automobile contracts” or “finance receivables”) originated by licensed motor vehicle dealers located throughout the United States (“dealers”) in the sale of new and used automobiles, light trucks and passenger vans. Through our purchases, we provide indirect financing to dealer customers for borrowers with limited credit histories or past credit problems (“sub-prime customers”). We serve as an alternative source of financing for dealers, allowing sales to customers who otherwise might not be able to obtain financing. In addition to purchasing installment purchase contracts directly from dealers, we have also (i) acquired installment purchase contracts in four merger and acquisition transactions, (ii) purchased immaterial amounts of vehicle purchase money loans from non-affiliated lenders, and (iii) lent money directly to consumers for an immaterial amount of loans secured by vehicles. In this report, we refer to all of such contracts and loans as "automobile contracts."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Unaudited Condensed Consolidated Financial Statements have been prepared in conformity with accounting principles generally accepted in the United States of America, with the instructions to Form 10-Q and with Article 10 of Regulation S-X of the Securities and Exchange Commission, and include all adjustments that are, in management’s opinion, necessary for a fair presentation of the results for the interim periods presented. All such adjustments are, in the opinion of management, of a normal recurring nature. Results for the nine month period ended September 30, 2017 are not necessarily indicative of the operating results to be expected for the full year.</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accounting principles generally accepted in the United States of America have been condensed or omitted from these Unaudited Condensed Consolidated Financial Statements. These Unaudited Condensed Consolidated Financial Statements should be read in conjunction with the Consolidated Financial Statements and Notes to Consolidated Financial Statements included in our Annual Report on Form 10-K for the year ended December 31,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primary components of Other Income for the three-month and nine-month periods ending September 30, 2017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19"/>
                <w:szCs w:val="19"/>
                <w:color w:val="auto"/>
              </w:rPr>
            </w:pPr>
          </w:p>
        </w:tc>
        <w:tc>
          <w:tcPr>
            <w:tcW w:w="268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20" w:type="dxa"/>
            <w:vAlign w:val="bottom"/>
            <w:gridSpan w:val="5"/>
          </w:tcPr>
          <w:p>
            <w:pPr>
              <w:ind w:left="42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8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w w:val="90"/>
              </w:rPr>
              <w:t>September 30,</w:t>
            </w:r>
          </w:p>
        </w:tc>
        <w:tc>
          <w:tcPr>
            <w:tcW w:w="4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8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2016</w:t>
            </w:r>
          </w:p>
        </w:tc>
        <w:tc>
          <w:tcPr>
            <w:tcW w:w="100" w:type="dxa"/>
            <w:vAlign w:val="bottom"/>
          </w:tcPr>
          <w:p>
            <w:pPr>
              <w:spacing w:after="0"/>
              <w:rPr>
                <w:sz w:val="19"/>
                <w:szCs w:val="19"/>
                <w:color w:val="auto"/>
              </w:rPr>
            </w:pPr>
          </w:p>
        </w:tc>
      </w:tr>
      <w:tr>
        <w:trPr>
          <w:trHeight w:val="210"/>
        </w:trPr>
        <w:tc>
          <w:tcPr>
            <w:tcW w:w="4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2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w w:val="95"/>
              </w:rPr>
              <w:t>(In thousands)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Direct mail revenues</w:t>
            </w:r>
          </w:p>
        </w:tc>
        <w:tc>
          <w:tcPr>
            <w:tcW w:w="960" w:type="dxa"/>
            <w:vAlign w:val="bottom"/>
            <w:shd w:val="clear" w:color="auto" w:fill="EEEEEE"/>
          </w:tcPr>
          <w:p>
            <w:pPr>
              <w:jc w:val="right"/>
              <w:ind w:right="796"/>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8"/>
              </w:rPr>
              <w:t>1,628</w:t>
            </w:r>
          </w:p>
        </w:tc>
        <w:tc>
          <w:tcPr>
            <w:tcW w:w="960" w:type="dxa"/>
            <w:vAlign w:val="bottom"/>
            <w:shd w:val="clear" w:color="auto" w:fill="EEEEEE"/>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88"/>
              </w:rPr>
              <w:t>2,080</w:t>
            </w:r>
          </w:p>
        </w:tc>
        <w:tc>
          <w:tcPr>
            <w:tcW w:w="500" w:type="dxa"/>
            <w:vAlign w:val="bottom"/>
            <w:gridSpan w:val="2"/>
            <w:shd w:val="clear" w:color="auto" w:fill="EEEEEE"/>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5,261</w:t>
            </w:r>
          </w:p>
        </w:tc>
        <w:tc>
          <w:tcPr>
            <w:tcW w:w="500" w:type="dxa"/>
            <w:vAlign w:val="bottom"/>
            <w:shd w:val="clear" w:color="auto" w:fill="EEEEEE"/>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7,302</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Convenience fee revenue</w:t>
            </w:r>
          </w:p>
        </w:tc>
        <w:tc>
          <w:tcPr>
            <w:tcW w:w="96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430</w:t>
            </w:r>
          </w:p>
        </w:tc>
        <w:tc>
          <w:tcPr>
            <w:tcW w:w="9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520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1,510</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1,625</w:t>
            </w: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Recoveries on previously charged-off contracts</w:t>
            </w:r>
          </w:p>
        </w:tc>
        <w:tc>
          <w:tcPr>
            <w:tcW w:w="9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140</w:t>
            </w:r>
          </w:p>
        </w:tc>
        <w:tc>
          <w:tcPr>
            <w:tcW w:w="96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268</w:t>
            </w:r>
          </w:p>
        </w:tc>
        <w:tc>
          <w:tcPr>
            <w:tcW w:w="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464</w:t>
            </w:r>
          </w:p>
        </w:tc>
        <w:tc>
          <w:tcPr>
            <w:tcW w:w="5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634</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Sales tax refunds</w:t>
            </w:r>
          </w:p>
        </w:tc>
        <w:tc>
          <w:tcPr>
            <w:tcW w:w="96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224</w:t>
            </w:r>
          </w:p>
        </w:tc>
        <w:tc>
          <w:tcPr>
            <w:tcW w:w="9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204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636</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605</w:t>
            </w:r>
          </w:p>
        </w:tc>
      </w:tr>
      <w:tr>
        <w:trPr>
          <w:trHeight w:val="230"/>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EEEEEE"/>
          </w:tcPr>
          <w:p>
            <w:pPr>
              <w:spacing w:after="0"/>
              <w:rPr>
                <w:sz w:val="19"/>
                <w:szCs w:val="19"/>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w:t>
            </w:r>
          </w:p>
        </w:tc>
        <w:tc>
          <w:tcPr>
            <w:tcW w:w="340" w:type="dxa"/>
            <w:vAlign w:val="bottom"/>
            <w:shd w:val="clear" w:color="auto" w:fill="EEEEEE"/>
          </w:tcPr>
          <w:p>
            <w:pPr>
              <w:spacing w:after="0"/>
              <w:rPr>
                <w:sz w:val="19"/>
                <w:szCs w:val="19"/>
                <w:color w:val="auto"/>
              </w:rPr>
            </w:pPr>
          </w:p>
        </w:tc>
        <w:tc>
          <w:tcPr>
            <w:tcW w:w="960" w:type="dxa"/>
            <w:vAlign w:val="bottom"/>
            <w:shd w:val="clear" w:color="auto" w:fill="EEEEEE"/>
          </w:tcPr>
          <w:p>
            <w:pPr>
              <w:spacing w:after="0"/>
              <w:rPr>
                <w:sz w:val="19"/>
                <w:szCs w:val="19"/>
                <w:color w:val="auto"/>
              </w:rPr>
            </w:pPr>
          </w:p>
        </w:tc>
        <w:tc>
          <w:tcPr>
            <w:tcW w:w="6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68</w:t>
            </w:r>
          </w:p>
        </w:tc>
        <w:tc>
          <w:tcPr>
            <w:tcW w:w="18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213</w:t>
            </w:r>
          </w:p>
        </w:tc>
        <w:tc>
          <w:tcPr>
            <w:tcW w:w="500" w:type="dxa"/>
            <w:vAlign w:val="bottom"/>
            <w:shd w:val="clear" w:color="auto" w:fill="EEEEEE"/>
          </w:tcPr>
          <w:p>
            <w:pPr>
              <w:spacing w:after="0"/>
              <w:rPr>
                <w:sz w:val="19"/>
                <w:szCs w:val="19"/>
                <w:color w:val="auto"/>
              </w:rPr>
            </w:pP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185</w:t>
            </w: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Other income for the period</w:t>
            </w:r>
          </w:p>
        </w:tc>
        <w:tc>
          <w:tcPr>
            <w:tcW w:w="96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2,474</w:t>
            </w:r>
          </w:p>
        </w:tc>
        <w:tc>
          <w:tcPr>
            <w:tcW w:w="3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3,140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8,084</w:t>
            </w:r>
          </w:p>
        </w:tc>
        <w:tc>
          <w:tcPr>
            <w:tcW w:w="3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10,351</w:t>
            </w:r>
          </w:p>
        </w:tc>
        <w:tc>
          <w:tcPr>
            <w:tcW w:w="100" w:type="dxa"/>
            <w:vAlign w:val="bottom"/>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37"/>
        </w:trPr>
        <w:tc>
          <w:tcPr>
            <w:tcW w:w="48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amendment to and partial repayment of our residual interest financing in July 2008, we issued warrants exercisable for 2,500,000 common shares for $4,071,429. The warrants represent the right to purchase 2,500,000 CPS common shares at a nominal exercise price, at any time prior to July 10, 2018. In March 2010 we repurchased warrants for 500,000 of these shares for $1.0 million. Warrants to purchase 2,000,000 shares remain outstanding as of September 30,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recognize compensation costs in the financial statements for all share-based payments based on the grant date fair value estimated in accordance with the provisions of ASC 718 “Stock Compensation”.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and nine months ended September 30, 2017, we recorded stock-based compensation costs in the amount of $1.7 million and $4.3 million, respectively. These stock-based compensation costs were $1.4 million and $4.0 million for the three and nine months ended September 30, 2016. As of September 30, 2017, unrecognized stock-based compensation costs to be recognized over future periods equaled $7.2 million. This amount will be recognized as expense over a weighted-average period of 2.0 years.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represents stock option activity for the nine months ended September 30,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Weighted</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Exercise Price</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Term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beginning of period</w:t>
            </w:r>
          </w:p>
        </w:tc>
        <w:tc>
          <w:tcPr>
            <w:tcW w:w="13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12,595</w:t>
            </w:r>
          </w:p>
        </w:tc>
        <w:tc>
          <w:tcPr>
            <w:tcW w:w="2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4.56</w:t>
            </w:r>
          </w:p>
        </w:tc>
        <w:tc>
          <w:tcPr>
            <w:tcW w:w="200" w:type="dxa"/>
            <w:vAlign w:val="bottom"/>
            <w:tcBorders>
              <w:top w:val="single" w:sz="8" w:color="EEEEEE"/>
            </w:tcBorders>
            <w:shd w:val="clear" w:color="auto" w:fill="EEEEEE"/>
          </w:tcPr>
          <w:p>
            <w:pPr>
              <w:spacing w:after="0"/>
              <w:rPr>
                <w:sz w:val="18"/>
                <w:szCs w:val="18"/>
                <w:color w:val="auto"/>
              </w:rPr>
            </w:pPr>
          </w:p>
        </w:tc>
        <w:tc>
          <w:tcPr>
            <w:tcW w:w="126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9"/>
              </w:rPr>
              <w:t>N/A</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1,470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4.35</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(619)</w:t>
            </w: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1.67</w:t>
            </w:r>
          </w:p>
        </w:tc>
        <w:tc>
          <w:tcPr>
            <w:tcW w:w="1360" w:type="dxa"/>
            <w:vAlign w:val="bottom"/>
            <w:gridSpan w:val="2"/>
            <w:shd w:val="clear" w:color="auto" w:fill="EEEEEE"/>
          </w:tcPr>
          <w:p>
            <w:pPr>
              <w:jc w:val="center"/>
              <w:ind w:right="10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5.62</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vMerge w:val="restart"/>
            <w:shd w:val="clear" w:color="auto" w:fill="EEEEEE"/>
          </w:tcPr>
          <w:p>
            <w:pPr>
              <w:spacing w:after="0"/>
              <w:rPr>
                <w:sz w:val="20"/>
                <w:szCs w:val="20"/>
                <w:color w:val="auto"/>
              </w:rPr>
            </w:pPr>
            <w:r>
              <w:rPr>
                <w:rFonts w:ascii="Arial" w:cs="Arial" w:eastAsia="Arial" w:hAnsi="Arial"/>
                <w:sz w:val="18"/>
                <w:szCs w:val="18"/>
                <w:color w:val="auto"/>
              </w:rPr>
              <w:t>Options outstanding at the end of period</w:t>
            </w: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460" w:type="dxa"/>
            <w:vAlign w:val="bottom"/>
            <w:gridSpan w:val="2"/>
            <w:shd w:val="clear" w:color="auto" w:fill="EEEEEE"/>
          </w:tcPr>
          <w:p>
            <w:pPr>
              <w:spacing w:after="0" w:line="20" w:lineRule="exact"/>
              <w:rPr>
                <w:sz w:val="1"/>
                <w:szCs w:val="1"/>
                <w:color w:val="auto"/>
              </w:rPr>
            </w:pPr>
          </w:p>
        </w:tc>
        <w:tc>
          <w:tcPr>
            <w:tcW w:w="1360" w:type="dxa"/>
            <w:vAlign w:val="bottom"/>
            <w:gridSpan w:val="2"/>
            <w:vMerge w:val="restart"/>
            <w:shd w:val="clear" w:color="auto" w:fill="EEEEEE"/>
          </w:tcPr>
          <w:p>
            <w:pPr>
              <w:jc w:val="center"/>
              <w:ind w:right="100"/>
              <w:spacing w:after="0"/>
              <w:rPr>
                <w:sz w:val="20"/>
                <w:szCs w:val="20"/>
                <w:color w:val="auto"/>
              </w:rPr>
            </w:pPr>
            <w:r>
              <w:rPr>
                <w:rFonts w:ascii="Arial" w:cs="Arial" w:eastAsia="Arial" w:hAnsi="Arial"/>
                <w:sz w:val="18"/>
                <w:szCs w:val="18"/>
                <w:color w:val="auto"/>
                <w:w w:val="87"/>
              </w:rPr>
              <w:t>4.70 years</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840" w:type="dxa"/>
            <w:vAlign w:val="bottom"/>
            <w:vMerge w:val="continue"/>
            <w:shd w:val="clear" w:color="auto" w:fill="EEEEEE"/>
          </w:tcPr>
          <w:p>
            <w:pPr>
              <w:spacing w:after="0"/>
              <w:rPr>
                <w:sz w:val="20"/>
                <w:szCs w:val="20"/>
                <w:color w:val="auto"/>
              </w:rPr>
            </w:pPr>
          </w:p>
        </w:tc>
        <w:tc>
          <w:tcPr>
            <w:tcW w:w="16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13,163</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4.65</w:t>
            </w:r>
          </w:p>
        </w:tc>
        <w:tc>
          <w:tcPr>
            <w:tcW w:w="1360" w:type="dxa"/>
            <w:vAlign w:val="bottom"/>
            <w:gridSpan w:val="2"/>
            <w:vMerge w:val="continue"/>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Borders>
              <w:top w:val="single" w:sz="8" w:color="EEEEEE"/>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8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840" w:type="dxa"/>
            <w:vAlign w:val="bottom"/>
            <w:shd w:val="clear" w:color="auto" w:fill="EEEEEE"/>
          </w:tcPr>
          <w:p>
            <w:pPr>
              <w:spacing w:after="0"/>
              <w:rPr>
                <w:sz w:val="20"/>
                <w:szCs w:val="20"/>
                <w:color w:val="auto"/>
              </w:rPr>
            </w:pPr>
            <w:r>
              <w:rPr>
                <w:rFonts w:ascii="Arial" w:cs="Arial" w:eastAsia="Arial" w:hAnsi="Arial"/>
                <w:sz w:val="18"/>
                <w:szCs w:val="18"/>
                <w:color w:val="auto"/>
              </w:rPr>
              <w:t>Options exercisable at the end of period</w:t>
            </w: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8,668</w:t>
            </w:r>
          </w:p>
        </w:tc>
        <w:tc>
          <w:tcPr>
            <w:tcW w:w="240" w:type="dxa"/>
            <w:vAlign w:val="bottom"/>
            <w:shd w:val="clear" w:color="auto" w:fill="EEEEEE"/>
          </w:tcPr>
          <w:p>
            <w:pPr>
              <w:spacing w:after="0"/>
              <w:rPr>
                <w:sz w:val="22"/>
                <w:szCs w:val="22"/>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4.50</w:t>
            </w:r>
          </w:p>
        </w:tc>
        <w:tc>
          <w:tcPr>
            <w:tcW w:w="1360" w:type="dxa"/>
            <w:vAlign w:val="bottom"/>
            <w:gridSpan w:val="2"/>
            <w:shd w:val="clear" w:color="auto" w:fill="EEEEEE"/>
          </w:tcPr>
          <w:p>
            <w:pPr>
              <w:jc w:val="center"/>
              <w:ind w:right="100"/>
              <w:spacing w:after="0"/>
              <w:rPr>
                <w:sz w:val="20"/>
                <w:szCs w:val="20"/>
                <w:color w:val="auto"/>
              </w:rPr>
            </w:pPr>
            <w:r>
              <w:rPr>
                <w:rFonts w:ascii="Arial" w:cs="Arial" w:eastAsia="Arial" w:hAnsi="Arial"/>
                <w:sz w:val="18"/>
                <w:szCs w:val="18"/>
                <w:color w:val="auto"/>
                <w:w w:val="87"/>
              </w:rPr>
              <w:t>4.24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Borders>
              <w:top w:val="single" w:sz="8" w:color="EEEEEE"/>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September 30, 2017, the aggregate intrinsic value of options outstanding and exercisable was $12.9 million and $11.2 million, respectively. There were 618,773 options exercised for the nine months ended September 30, 2017 compared to 127,350 for the comparable period in 2016. The total intrinsic value of options exercised was $1.8 million and $379,000 for the nine-month periods ended September 30, 2017 and 2016. There were 2.5 million shares available for future stock option grants under existing plans as of September 30,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Company Stock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nine-month period ended September 30, 2017, we purchased 2,337,012 shares of our common stock, at an average price of $4.51. We purchased 2,292,070 shares of our stock in the open market at an average price of $4.51. The remaining purchases of 44,942 shares were related to net exercises of outstanding stock options where the holders of options to purchase 100,000 shares of our common stock paid the aggregate $209,000 exercise price by surrender to us of 44,942 of such 100,000 shares.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nine-month period ended September 30, 2016, we purchased 1,978,012 shares of our stock in the open market at an average price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$4.05.</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Some items in the prior year financial statements were reclassified to conform to the current presentation. Reclassifications had no effect on prior year net income or total shareholders’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Certain of our securitization transactions, our warehouse credit facilities and our residual interest financing contain various financial covenants requiring minimum financial ratios and results. Such covenants include maintaining minimum levels of liquidity and net worth and not exceeding maximum leverage levels. As of September 30, 2017, we were in compliance with all such covenants.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Contingent Liabilities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record at each measurement date, most recently as of September 30, 2017, our best estimate of probable incurred losses for legal contingencies.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amount of losses that may ultimately be incurred cannot be estimated with certainty.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May 2014, the FASB issued Accounting Standards Update (“ASU”) 2014-09, Revenue from Contracts with Customers (Topic 606), superseding the revenue recognition requirements in ASC 605. This ASU requires an entity to recognize revenue for the transfer of promised goods or services to customers in an amount that reflects the consideration to which the entity expects to be entitled in exchange for those goods or services. The amendment includes a five-step process to assist an entity in achieving the main principle(s) of revenue recognition under ASC 605. In August 2015, the FASB issued ASU 2015-14, which formalized the deferral of the effective date of the amendment for a period of one year from the original effective date. Following the issuance of ASU 2015-14, the amendment will be effective for the Company for the first annual period beginning after December 15, 2017. In March 2016, the FASB also issued ASU 2016-08, an amendment to the guidance in ASU 2014-09, which revises the structure of the indicators to determine whether the entity is the principal or agent in a revenue transaction, and eliminated two of the indicators (“the entity’s consideration is in the form of a commission” and “the entity is not exposed to credit risk”) in making that determination. This amendment also clarifies that each indicator may be more or less relevant to the assessment depending on the terms and conditions of the contract. In April 2016, the FASB also issued ASU 2016-10, which clarifies the implementation guidance on identifying promised goods or services and on determining whether an entity's promise to grant a license with either a right to use the entity's intellectual property (which is satisfied at a point in time) or a right to access the entity's intellectual property (which is satisfied over time). In May 2016, the FASB issued ASU 2016-12, an amendment to ASU 2014-09, which provided practical expedients related to disclosures of remaining performance obligations, as well as other amendments to guidance on transition, collectability, non-cash consideration and the presentation of sales and other similar taxes. In December 2016, the FASB issued ASU 2016-20, a separate update for technical corrections and improvements to Topic 606 and other Topics amended by Update 2014-09, to increase stakeholders’ awareness of the proposals and to expedite improvements to Update 2014-09. The amendments, collectively, should be applied retrospectively to each prior reporting period presented or as a cumulative effect adjustment as of the date of adoption.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does not expect the new guidance to have a material impact on its Consolidated Statements of Operations. The Company expects to adopt this ASU in the first quarter of 2018 using a modified retrospective approach with a cumulative-effect adjustment to opening retained earnings. The Company’s ongoing implementation efforts include the identification of other revenue streams that are within the scope of the new guidance and reviewing related contracts with customers to determine whether any accounting changes will be required. The timing and classification of certain contract costs presented in the Consolidated Statements of Operations is under evaluation and could change upon adoption. Finally, the Company is evaluating changes that will be required to applicable disclosures.</w:t>
      </w:r>
    </w:p>
    <w:p>
      <w:pPr>
        <w:spacing w:after="0" w:line="193"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Finance Receivables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portfolio of finance receivables consists of small-balance homogeneous contracts comprising a single segment and class that is collectively evaluated for impairment on a portfolio basis according to delinquency status. Our contract purchase guidelines are designed to produce a homogenous portfolio. For key terms such as interest rate, length of contract, monthly payment and amount financed, there is relatively little variation from the average for the portfolio.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760" w:type="dxa"/>
            <w:vAlign w:val="bottom"/>
          </w:tcPr>
          <w:p>
            <w:pPr>
              <w:ind w:left="640"/>
              <w:spacing w:after="0"/>
              <w:rPr>
                <w:sz w:val="20"/>
                <w:szCs w:val="20"/>
                <w:color w:val="auto"/>
              </w:rPr>
            </w:pPr>
            <w:r>
              <w:rPr>
                <w:rFonts w:ascii="Arial" w:cs="Arial" w:eastAsia="Arial" w:hAnsi="Arial"/>
                <w:sz w:val="18"/>
                <w:szCs w:val="18"/>
                <w:color w:val="auto"/>
                <w:w w:val="94"/>
              </w:rPr>
              <w:t>The following table presents the components of Finance Receivables, net of unearned interest:</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4"/>
              </w:rPr>
              <w:t>September 30,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7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Finance receivables</w:t>
            </w: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7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3380" w:type="dxa"/>
            <w:vAlign w:val="bottom"/>
            <w:gridSpan w:val="5"/>
          </w:tcPr>
          <w:p>
            <w:pPr>
              <w:jc w:val="right"/>
              <w:ind w:right="113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7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Automobile finance receivables, net of unearned interest</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2,312,363</w:t>
            </w:r>
          </w:p>
        </w:tc>
        <w:tc>
          <w:tcPr>
            <w:tcW w:w="180" w:type="dxa"/>
            <w:vAlign w:val="bottom"/>
            <w:shd w:val="clear" w:color="auto" w:fill="EEEEEE"/>
          </w:tcPr>
          <w:p>
            <w:pPr>
              <w:spacing w:after="0"/>
              <w:rPr>
                <w:sz w:val="18"/>
                <w:szCs w:val="18"/>
                <w:color w:val="auto"/>
              </w:rPr>
            </w:pPr>
          </w:p>
        </w:tc>
        <w:tc>
          <w:tcPr>
            <w:tcW w:w="34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2,266,619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Unearned acquisition fees and originations costs</w:t>
            </w:r>
          </w:p>
        </w:tc>
        <w:tc>
          <w:tcPr>
            <w:tcW w:w="16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5,364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2,317,727</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2,267,943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included. In certain circumstances we will grant obligors one-month payment extensions to assist them with temporary cash flow problems. The only modification of terms is to advance the obligor’s next due date by one month and extend the maturity date of the receivable by one month. In certain limited cases, a two-month extension may be granted. There are no other concessions such as a reduction in interest rate, forgiveness of principal or of accrued interest. Accordingly, we consider such extensions to be insignificant delays in payments rather than troubled debt restructurings. The following table summarizes the delinquency status of finance receivables as of September 30, 2017 and December 31, 2016:</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19"/>
                <w:szCs w:val="19"/>
                <w:color w:val="auto"/>
              </w:rPr>
            </w:pPr>
          </w:p>
        </w:tc>
        <w:tc>
          <w:tcPr>
            <w:tcW w:w="7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4"/>
              </w:rPr>
              <w:t>September 30,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Deliquency Status</w:t>
            </w:r>
          </w:p>
        </w:tc>
        <w:tc>
          <w:tcPr>
            <w:tcW w:w="160" w:type="dxa"/>
            <w:vAlign w:val="bottom"/>
          </w:tcPr>
          <w:p>
            <w:pPr>
              <w:spacing w:after="0"/>
              <w:rPr>
                <w:sz w:val="19"/>
                <w:szCs w:val="19"/>
                <w:color w:val="auto"/>
              </w:rPr>
            </w:pPr>
          </w:p>
        </w:tc>
        <w:tc>
          <w:tcPr>
            <w:tcW w:w="3380" w:type="dxa"/>
            <w:vAlign w:val="bottom"/>
            <w:gridSpan w:val="5"/>
          </w:tcPr>
          <w:p>
            <w:pPr>
              <w:jc w:val="right"/>
              <w:ind w:right="113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7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Current</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2,103,509</w:t>
            </w:r>
          </w:p>
        </w:tc>
        <w:tc>
          <w:tcPr>
            <w:tcW w:w="180" w:type="dxa"/>
            <w:vAlign w:val="bottom"/>
            <w:shd w:val="clear" w:color="auto" w:fill="EEEEEE"/>
          </w:tcPr>
          <w:p>
            <w:pPr>
              <w:spacing w:after="0"/>
              <w:rPr>
                <w:sz w:val="18"/>
                <w:szCs w:val="18"/>
                <w:color w:val="auto"/>
              </w:rPr>
            </w:pPr>
          </w:p>
        </w:tc>
        <w:tc>
          <w:tcPr>
            <w:tcW w:w="34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2,053,759</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31</w:t>
            </w:r>
          </w:p>
        </w:tc>
        <w:tc>
          <w:tcPr>
            <w:tcW w:w="7560" w:type="dxa"/>
            <w:vAlign w:val="bottom"/>
          </w:tcPr>
          <w:p>
            <w:pPr>
              <w:ind w:left="20"/>
              <w:spacing w:after="0"/>
              <w:rPr>
                <w:sz w:val="20"/>
                <w:szCs w:val="20"/>
                <w:color w:val="auto"/>
              </w:rPr>
            </w:pPr>
            <w:r>
              <w:rPr>
                <w:rFonts w:ascii="Arial" w:cs="Arial" w:eastAsia="Arial" w:hAnsi="Arial"/>
                <w:sz w:val="18"/>
                <w:szCs w:val="18"/>
                <w:color w:val="auto"/>
              </w:rPr>
              <w:t>- 60 days</w:t>
            </w:r>
          </w:p>
        </w:tc>
        <w:tc>
          <w:tcPr>
            <w:tcW w:w="1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130,457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116,073</w:t>
            </w:r>
          </w:p>
        </w:tc>
        <w:tc>
          <w:tcPr>
            <w:tcW w:w="0" w:type="dxa"/>
            <w:vAlign w:val="bottom"/>
          </w:tcPr>
          <w:p>
            <w:pPr>
              <w:spacing w:after="0"/>
              <w:rPr>
                <w:sz w:val="1"/>
                <w:szCs w:val="1"/>
                <w:color w:val="auto"/>
              </w:rPr>
            </w:pPr>
          </w:p>
        </w:tc>
      </w:tr>
      <w:tr>
        <w:trPr>
          <w:trHeight w:val="216"/>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61</w:t>
            </w:r>
          </w:p>
        </w:tc>
        <w:tc>
          <w:tcPr>
            <w:tcW w:w="7560" w:type="dxa"/>
            <w:vAlign w:val="bottom"/>
            <w:shd w:val="clear" w:color="auto" w:fill="EEEEEE"/>
          </w:tcPr>
          <w:p>
            <w:pPr>
              <w:ind w:left="20"/>
              <w:spacing w:after="0"/>
              <w:rPr>
                <w:sz w:val="20"/>
                <w:szCs w:val="20"/>
                <w:color w:val="auto"/>
              </w:rPr>
            </w:pPr>
            <w:r>
              <w:rPr>
                <w:rFonts w:ascii="Arial" w:cs="Arial" w:eastAsia="Arial" w:hAnsi="Arial"/>
                <w:sz w:val="18"/>
                <w:szCs w:val="18"/>
                <w:color w:val="auto"/>
              </w:rPr>
              <w:t>- 90 days</w:t>
            </w:r>
          </w:p>
        </w:tc>
        <w:tc>
          <w:tcPr>
            <w:tcW w:w="1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51,912</w:t>
            </w: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52,404</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r>
              <w:rPr>
                <w:rFonts w:ascii="Arial" w:cs="Arial" w:eastAsia="Arial" w:hAnsi="Arial"/>
                <w:sz w:val="18"/>
                <w:szCs w:val="18"/>
                <w:color w:val="auto"/>
                <w:w w:val="99"/>
              </w:rPr>
              <w:t>91</w:t>
            </w:r>
          </w:p>
        </w:tc>
        <w:tc>
          <w:tcPr>
            <w:tcW w:w="7560" w:type="dxa"/>
            <w:vAlign w:val="bottom"/>
          </w:tcPr>
          <w:p>
            <w:pPr>
              <w:ind w:left="20"/>
              <w:spacing w:after="0"/>
              <w:rPr>
                <w:sz w:val="20"/>
                <w:szCs w:val="20"/>
                <w:color w:val="auto"/>
              </w:rPr>
            </w:pPr>
            <w:r>
              <w:rPr>
                <w:rFonts w:ascii="Arial" w:cs="Arial" w:eastAsia="Arial" w:hAnsi="Arial"/>
                <w:sz w:val="18"/>
                <w:szCs w:val="18"/>
                <w:color w:val="auto"/>
              </w:rPr>
              <w:t>+ days</w:t>
            </w:r>
          </w:p>
        </w:tc>
        <w:tc>
          <w:tcPr>
            <w:tcW w:w="16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26,485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44,383</w:t>
            </w:r>
          </w:p>
        </w:tc>
        <w:tc>
          <w:tcPr>
            <w:tcW w:w="0" w:type="dxa"/>
            <w:vAlign w:val="bottom"/>
          </w:tcPr>
          <w:p>
            <w:pPr>
              <w:spacing w:after="0"/>
              <w:rPr>
                <w:sz w:val="1"/>
                <w:szCs w:val="1"/>
                <w:color w:val="auto"/>
              </w:rPr>
            </w:pPr>
          </w:p>
        </w:tc>
      </w:tr>
      <w:tr>
        <w:trPr>
          <w:trHeight w:val="223"/>
        </w:trPr>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75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2,312,363</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2,266,619</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Finance receivables totaling $26.5 million and $44.4 million at September 30, 2017 and December 31, 2016, respectively, including all receivables greater than 90 days delinquent, have been placed on non-accrual status as a result of their delinquency status.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use a loss allowance methodology commonly referred to as "static pooling," which stratifies our finance receivable portfolio into separately identified pools based on the period of origination. Using analytical and formula driven techniques, we estimate an allowance for finance credit losses, which we believe is adequate for probable incurred credit losses that can be reasonably estimated in our portfolio of automobile contracts. The estimate for probable incurred credit losses is reduced by our estimate for future recoveries on previously incurred losses. Provision for credit losses is charged to our consolidated statement of operations. Net losses incurred on finance receivables are charged to the allowance. We establish the allowance for new receivables over the 12-month period following their acquisition.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a summary of the activity for the allowance for finance credit losses for the three-month and nine-month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and 2016: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8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2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2016</w:t>
            </w:r>
          </w:p>
        </w:tc>
        <w:tc>
          <w:tcPr>
            <w:tcW w:w="100" w:type="dxa"/>
            <w:vAlign w:val="bottom"/>
          </w:tcPr>
          <w:p>
            <w:pPr>
              <w:spacing w:after="0"/>
              <w:rPr>
                <w:sz w:val="19"/>
                <w:szCs w:val="19"/>
                <w:color w:val="auto"/>
              </w:rPr>
            </w:pPr>
          </w:p>
        </w:tc>
      </w:tr>
      <w:tr>
        <w:trPr>
          <w:trHeight w:val="210"/>
        </w:trPr>
        <w:tc>
          <w:tcPr>
            <w:tcW w:w="4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period</w:t>
            </w:r>
          </w:p>
        </w:tc>
        <w:tc>
          <w:tcPr>
            <w:tcW w:w="320" w:type="dxa"/>
            <w:vAlign w:val="bottom"/>
            <w:shd w:val="clear" w:color="auto" w:fill="EEEEEE"/>
          </w:tcPr>
          <w:p>
            <w:pPr>
              <w:jc w:val="right"/>
              <w:ind w:right="16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107,315</w:t>
            </w:r>
          </w:p>
        </w:tc>
        <w:tc>
          <w:tcPr>
            <w:tcW w:w="520" w:type="dxa"/>
            <w:vAlign w:val="bottom"/>
            <w:shd w:val="clear" w:color="auto" w:fill="EEEEEE"/>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90,168</w:t>
            </w:r>
          </w:p>
        </w:tc>
        <w:tc>
          <w:tcPr>
            <w:tcW w:w="480" w:type="dxa"/>
            <w:vAlign w:val="bottom"/>
            <w:gridSpan w:val="2"/>
            <w:shd w:val="clear" w:color="auto" w:fill="EEEEEE"/>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95,578</w:t>
            </w:r>
          </w:p>
        </w:tc>
        <w:tc>
          <w:tcPr>
            <w:tcW w:w="500" w:type="dxa"/>
            <w:vAlign w:val="bottom"/>
            <w:shd w:val="clear" w:color="auto" w:fill="EEEEEE"/>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75,603</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Provision for credit losses on finance receivables</w:t>
            </w:r>
          </w:p>
        </w:tc>
        <w:tc>
          <w:tcPr>
            <w:tcW w:w="32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47,336</w:t>
            </w:r>
          </w:p>
        </w:tc>
        <w:tc>
          <w:tcPr>
            <w:tcW w:w="5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46,262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143,053</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134,881</w:t>
            </w: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Charge-offs</w:t>
            </w:r>
          </w:p>
        </w:tc>
        <w:tc>
          <w:tcPr>
            <w:tcW w:w="3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(53,628)</w:t>
            </w:r>
          </w:p>
        </w:tc>
        <w:tc>
          <w:tcPr>
            <w:tcW w:w="5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(46,839)</w:t>
            </w: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(152,401)</w:t>
            </w:r>
          </w:p>
        </w:tc>
        <w:tc>
          <w:tcPr>
            <w:tcW w:w="5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(134,674)</w:t>
            </w: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Recoveries</w:t>
            </w:r>
          </w:p>
        </w:tc>
        <w:tc>
          <w:tcPr>
            <w:tcW w:w="32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7,596</w:t>
            </w:r>
          </w:p>
        </w:tc>
        <w:tc>
          <w:tcPr>
            <w:tcW w:w="5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7,252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22,389</w:t>
            </w:r>
          </w:p>
        </w:tc>
        <w:tc>
          <w:tcPr>
            <w:tcW w:w="5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21,033</w:t>
            </w:r>
          </w:p>
        </w:tc>
      </w:tr>
      <w:tr>
        <w:trPr>
          <w:trHeight w:val="223"/>
        </w:trPr>
        <w:tc>
          <w:tcPr>
            <w:tcW w:w="48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end of period</w:t>
            </w:r>
          </w:p>
        </w:tc>
        <w:tc>
          <w:tcPr>
            <w:tcW w:w="320" w:type="dxa"/>
            <w:vAlign w:val="bottom"/>
            <w:tcBorders>
              <w:top w:val="single" w:sz="8" w:color="auto"/>
              <w:bottom w:val="single" w:sz="8" w:color="auto"/>
            </w:tcBorders>
            <w:shd w:val="clear" w:color="auto" w:fill="EEEEEE"/>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108,619</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520" w:type="dxa"/>
            <w:vAlign w:val="bottom"/>
            <w:tcBorders>
              <w:top w:val="single" w:sz="8" w:color="auto"/>
              <w:bottom w:val="single" w:sz="8" w:color="auto"/>
            </w:tcBorders>
            <w:shd w:val="clear" w:color="auto" w:fill="EEEEEE"/>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96,843</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108,619</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500" w:type="dxa"/>
            <w:vAlign w:val="bottom"/>
            <w:tcBorders>
              <w:top w:val="single" w:sz="8" w:color="auto"/>
              <w:bottom w:val="single" w:sz="8" w:color="auto"/>
            </w:tcBorders>
            <w:shd w:val="clear" w:color="auto" w:fill="EEEEEE"/>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96,843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Excluded from finance receivables are contracts that were previously classified as finance receivables but were reclassified as other assets because we have repossessed the vehicle securing the Contract. The following table presents a summary of such repossessed inventory together with the allowance for losses in repossessed inventory that is not included in the allowance for finance credit losses:</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Gross balance of repossessions in inventory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Allowance for losses on repossessed inventory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Net repossessed inventory included in other assets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19"/>
                <w:szCs w:val="19"/>
                <w:color w:val="auto"/>
              </w:rPr>
            </w:pPr>
          </w:p>
        </w:tc>
        <w:tc>
          <w:tcPr>
            <w:tcW w:w="18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4"/>
              </w:rPr>
              <w:t>September 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5"/>
        </w:trPr>
        <w:tc>
          <w:tcPr>
            <w:tcW w:w="160" w:type="dxa"/>
            <w:vAlign w:val="bottom"/>
          </w:tcPr>
          <w:p>
            <w:pPr>
              <w:spacing w:after="0"/>
              <w:rPr>
                <w:sz w:val="16"/>
                <w:szCs w:val="16"/>
                <w:color w:val="auto"/>
              </w:rPr>
            </w:pPr>
          </w:p>
        </w:tc>
        <w:tc>
          <w:tcPr>
            <w:tcW w:w="3380" w:type="dxa"/>
            <w:vAlign w:val="bottom"/>
            <w:gridSpan w:val="5"/>
          </w:tcPr>
          <w:p>
            <w:pPr>
              <w:jc w:val="right"/>
              <w:ind w:right="1130"/>
              <w:spacing w:after="0" w:line="195" w:lineRule="exact"/>
              <w:rPr>
                <w:sz w:val="20"/>
                <w:szCs w:val="20"/>
                <w:color w:val="auto"/>
              </w:rPr>
            </w:pPr>
            <w:r>
              <w:rPr>
                <w:rFonts w:ascii="Arial" w:cs="Arial" w:eastAsia="Arial" w:hAnsi="Arial"/>
                <w:sz w:val="18"/>
                <w:szCs w:val="18"/>
                <w:b w:val="1"/>
                <w:bCs w:val="1"/>
                <w:color w:val="auto"/>
              </w:rPr>
              <w:t>(In thousands)</w:t>
            </w:r>
          </w:p>
        </w:tc>
        <w:tc>
          <w:tcPr>
            <w:tcW w:w="60" w:type="dxa"/>
            <w:vAlign w:val="bottom"/>
            <w:gridSpan w:val="2"/>
          </w:tcPr>
          <w:p>
            <w:pPr>
              <w:spacing w:after="0"/>
              <w:rPr>
                <w:sz w:val="16"/>
                <w:szCs w:val="16"/>
                <w:color w:val="auto"/>
              </w:rPr>
            </w:pPr>
          </w:p>
        </w:tc>
      </w:tr>
      <w:tr>
        <w:trPr>
          <w:trHeight w:val="216"/>
        </w:trPr>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rPr>
              <w:t>32,032</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40,069</w:t>
            </w:r>
          </w:p>
        </w:tc>
        <w:tc>
          <w:tcPr>
            <w:tcW w:w="40" w:type="dxa"/>
            <w:vAlign w:val="bottom"/>
          </w:tcPr>
          <w:p>
            <w:pPr>
              <w:spacing w:after="0"/>
              <w:rPr>
                <w:sz w:val="18"/>
                <w:szCs w:val="18"/>
                <w:color w:val="auto"/>
              </w:rPr>
            </w:pPr>
          </w:p>
        </w:tc>
      </w:tr>
      <w:tr>
        <w:trPr>
          <w:trHeight w:val="244"/>
        </w:trPr>
        <w:tc>
          <w:tcPr>
            <w:tcW w:w="160" w:type="dxa"/>
            <w:vAlign w:val="bottom"/>
          </w:tcPr>
          <w:p>
            <w:pPr>
              <w:spacing w:after="0"/>
              <w:rPr>
                <w:sz w:val="21"/>
                <w:szCs w:val="21"/>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(22,848)</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(28,924)</w:t>
            </w:r>
          </w:p>
        </w:tc>
      </w:tr>
      <w:tr>
        <w:trPr>
          <w:trHeight w:val="223"/>
        </w:trPr>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9,184</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11,145</w:t>
            </w:r>
          </w:p>
        </w:tc>
        <w:tc>
          <w:tcPr>
            <w:tcW w:w="40" w:type="dxa"/>
            <w:vAlign w:val="bottom"/>
          </w:tcPr>
          <w:p>
            <w:pPr>
              <w:spacing w:after="0"/>
              <w:rPr>
                <w:sz w:val="19"/>
                <w:szCs w:val="19"/>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-462280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-179705</wp:posOffset>
            </wp:positionV>
            <wp:extent cx="72466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60" w:space="720"/>
            <w:col w:w="3640"/>
          </w:cols>
          <w:pgMar w:left="240" w:top="796" w:right="23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Securitization Trust Debt</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have completed many securitization transactions that are structured as secured borrowings for financial accounting purposes. The debt issued in these transactions is shown on our Unaudited Condensed Consolidated Balance Sheets as “Securitization trust debt,” and the components of such debt are summarized in the following table: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Contractual</w:t>
            </w:r>
          </w:p>
        </w:tc>
      </w:tr>
      <w:tr>
        <w:trPr>
          <w:trHeight w:val="216"/>
        </w:trPr>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Receivables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Outstanding</w:t>
            </w:r>
          </w:p>
        </w:tc>
        <w:tc>
          <w:tcPr>
            <w:tcW w:w="13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Outstanding</w:t>
            </w: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Interest Rate</w:t>
            </w:r>
          </w:p>
        </w:tc>
      </w:tr>
      <w:tr>
        <w:trPr>
          <w:trHeight w:val="216"/>
        </w:trPr>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Pledged at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Principal at</w:t>
            </w:r>
          </w:p>
        </w:tc>
        <w:tc>
          <w:tcPr>
            <w:tcW w:w="10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Principal at</w:t>
            </w: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at</w:t>
            </w:r>
          </w:p>
        </w:tc>
      </w:tr>
      <w:tr>
        <w:trPr>
          <w:trHeight w:val="216"/>
        </w:trPr>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40" w:type="dxa"/>
            <w:vAlign w:val="bottom"/>
          </w:tcPr>
          <w:p>
            <w:pPr>
              <w:jc w:val="right"/>
              <w:ind w:right="770"/>
              <w:spacing w:after="0"/>
              <w:rPr>
                <w:sz w:val="20"/>
                <w:szCs w:val="20"/>
                <w:color w:val="auto"/>
              </w:rPr>
            </w:pPr>
            <w:r>
              <w:rPr>
                <w:rFonts w:ascii="Arial" w:cs="Arial" w:eastAsia="Arial" w:hAnsi="Arial"/>
                <w:sz w:val="18"/>
                <w:szCs w:val="18"/>
                <w:b w:val="1"/>
                <w:bCs w:val="1"/>
                <w:color w:val="auto"/>
              </w:rPr>
              <w:t>Final Scheduled</w:t>
            </w:r>
          </w:p>
        </w:tc>
        <w:tc>
          <w:tcPr>
            <w:tcW w:w="12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rPr>
              <w:t>Initial</w:t>
            </w:r>
          </w:p>
        </w:tc>
        <w:tc>
          <w:tcPr>
            <w:tcW w:w="14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13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December 31,</w:t>
            </w: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15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Series</w:t>
            </w:r>
          </w:p>
        </w:tc>
        <w:tc>
          <w:tcPr>
            <w:tcW w:w="2740" w:type="dxa"/>
            <w:vAlign w:val="bottom"/>
          </w:tcPr>
          <w:p>
            <w:pPr>
              <w:jc w:val="right"/>
              <w:ind w:right="730"/>
              <w:spacing w:after="0"/>
              <w:rPr>
                <w:sz w:val="20"/>
                <w:szCs w:val="20"/>
                <w:color w:val="auto"/>
              </w:rPr>
            </w:pPr>
            <w:r>
              <w:rPr>
                <w:rFonts w:ascii="Arial" w:cs="Arial" w:eastAsia="Arial" w:hAnsi="Arial"/>
                <w:sz w:val="18"/>
                <w:szCs w:val="18"/>
                <w:b w:val="1"/>
                <w:bCs w:val="1"/>
                <w:color w:val="auto"/>
              </w:rPr>
              <w:t>Payment Date (1)</w:t>
            </w:r>
          </w:p>
        </w:tc>
        <w:tc>
          <w:tcPr>
            <w:tcW w:w="120" w:type="dxa"/>
            <w:vAlign w:val="bottom"/>
          </w:tcPr>
          <w:p>
            <w:pPr>
              <w:spacing w:after="0"/>
              <w:rPr>
                <w:sz w:val="20"/>
                <w:szCs w:val="20"/>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2017 (2)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4"/>
              </w:rPr>
              <w:t>Principal</w:t>
            </w:r>
          </w:p>
        </w:tc>
        <w:tc>
          <w:tcPr>
            <w:tcW w:w="1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160" w:type="dxa"/>
            <w:vAlign w:val="bottom"/>
          </w:tcPr>
          <w:p>
            <w:pPr>
              <w:spacing w:after="0"/>
              <w:rPr>
                <w:sz w:val="20"/>
                <w:szCs w:val="20"/>
                <w:color w:val="auto"/>
              </w:rPr>
            </w:pPr>
          </w:p>
        </w:tc>
        <w:tc>
          <w:tcPr>
            <w:tcW w:w="130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r>
      <w:tr>
        <w:trPr>
          <w:trHeight w:val="210"/>
        </w:trPr>
        <w:tc>
          <w:tcPr>
            <w:tcW w:w="11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7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gridSpan w:val="5"/>
          </w:tcPr>
          <w:p>
            <w:pPr>
              <w:jc w:val="right"/>
              <w:ind w:right="10"/>
              <w:spacing w:after="0"/>
              <w:rPr>
                <w:sz w:val="20"/>
                <w:szCs w:val="20"/>
                <w:color w:val="auto"/>
              </w:rPr>
            </w:pPr>
            <w:r>
              <w:rPr>
                <w:rFonts w:ascii="Arial" w:cs="Arial" w:eastAsia="Arial" w:hAnsi="Arial"/>
                <w:sz w:val="18"/>
                <w:szCs w:val="18"/>
                <w:b w:val="1"/>
                <w:bCs w:val="1"/>
                <w:color w:val="auto"/>
                <w:w w:val="91"/>
              </w:rPr>
              <w:t>(Dollars in thousands)</w:t>
            </w: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20" w:type="dxa"/>
            <w:vAlign w:val="bottom"/>
            <w:gridSpan w:val="2"/>
            <w:shd w:val="clear" w:color="auto" w:fill="EEEEEE"/>
          </w:tcPr>
          <w:p>
            <w:pPr>
              <w:jc w:val="center"/>
              <w:ind w:right="360"/>
              <w:spacing w:after="0"/>
              <w:rPr>
                <w:sz w:val="20"/>
                <w:szCs w:val="20"/>
                <w:color w:val="auto"/>
              </w:rPr>
            </w:pPr>
            <w:r>
              <w:rPr>
                <w:rFonts w:ascii="Arial" w:cs="Arial" w:eastAsia="Arial" w:hAnsi="Arial"/>
                <w:sz w:val="18"/>
                <w:szCs w:val="18"/>
                <w:color w:val="auto"/>
                <w:w w:val="91"/>
              </w:rPr>
              <w:t>CPS 2012-C</w:t>
            </w:r>
          </w:p>
        </w:tc>
        <w:tc>
          <w:tcPr>
            <w:tcW w:w="27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December 2019</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147,000</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14,421</w:t>
            </w: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CPS 2012-D</w:t>
            </w:r>
          </w:p>
        </w:tc>
        <w:tc>
          <w:tcPr>
            <w:tcW w:w="2740" w:type="dxa"/>
            <w:vAlign w:val="bottom"/>
          </w:tcPr>
          <w:p>
            <w:pPr>
              <w:jc w:val="right"/>
              <w:ind w:right="130"/>
              <w:spacing w:after="0"/>
              <w:rPr>
                <w:sz w:val="20"/>
                <w:szCs w:val="20"/>
                <w:color w:val="auto"/>
              </w:rPr>
            </w:pPr>
            <w:r>
              <w:rPr>
                <w:rFonts w:ascii="Arial" w:cs="Arial" w:eastAsia="Arial" w:hAnsi="Arial"/>
                <w:sz w:val="18"/>
                <w:szCs w:val="18"/>
                <w:color w:val="auto"/>
              </w:rPr>
              <w:t>March 2020</w:t>
            </w: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17,865</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gridSpan w:val="2"/>
            <w:shd w:val="clear" w:color="auto" w:fill="EEEEEE"/>
          </w:tcPr>
          <w:p>
            <w:pPr>
              <w:jc w:val="center"/>
              <w:ind w:right="360"/>
              <w:spacing w:after="0"/>
              <w:rPr>
                <w:sz w:val="20"/>
                <w:szCs w:val="20"/>
                <w:color w:val="auto"/>
              </w:rPr>
            </w:pPr>
            <w:r>
              <w:rPr>
                <w:rFonts w:ascii="Arial" w:cs="Arial" w:eastAsia="Arial" w:hAnsi="Arial"/>
                <w:sz w:val="18"/>
                <w:szCs w:val="18"/>
                <w:color w:val="auto"/>
                <w:w w:val="91"/>
              </w:rPr>
              <w:t>CPS 2013-A</w:t>
            </w:r>
          </w:p>
        </w:tc>
        <w:tc>
          <w:tcPr>
            <w:tcW w:w="27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June 2020</w:t>
            </w:r>
          </w:p>
        </w:tc>
        <w:tc>
          <w:tcPr>
            <w:tcW w:w="1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18,270</w:t>
            </w: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185,000</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16,015</w:t>
            </w:r>
          </w:p>
        </w:tc>
        <w:tc>
          <w:tcPr>
            <w:tcW w:w="1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28,661</w:t>
            </w: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1.70%</w:t>
            </w:r>
          </w:p>
        </w:tc>
      </w:tr>
      <w:tr>
        <w:trPr>
          <w:trHeight w:val="216"/>
        </w:trPr>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CPS 2013-B</w:t>
            </w:r>
          </w:p>
        </w:tc>
        <w:tc>
          <w:tcPr>
            <w:tcW w:w="2740" w:type="dxa"/>
            <w:vAlign w:val="bottom"/>
          </w:tcPr>
          <w:p>
            <w:pPr>
              <w:jc w:val="right"/>
              <w:ind w:right="130"/>
              <w:spacing w:after="0"/>
              <w:rPr>
                <w:sz w:val="20"/>
                <w:szCs w:val="20"/>
                <w:color w:val="auto"/>
              </w:rPr>
            </w:pPr>
            <w:r>
              <w:rPr>
                <w:rFonts w:ascii="Arial" w:cs="Arial" w:eastAsia="Arial" w:hAnsi="Arial"/>
                <w:sz w:val="18"/>
                <w:szCs w:val="18"/>
                <w:color w:val="auto"/>
              </w:rPr>
              <w:t>September 2020</w:t>
            </w: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25,007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205,000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22,374</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37,570</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r>
      <w:tr>
        <w:trPr>
          <w:trHeight w:val="216"/>
        </w:trPr>
        <w:tc>
          <w:tcPr>
            <w:tcW w:w="1520" w:type="dxa"/>
            <w:vAlign w:val="bottom"/>
            <w:gridSpan w:val="2"/>
            <w:shd w:val="clear" w:color="auto" w:fill="EEEEEE"/>
          </w:tcPr>
          <w:p>
            <w:pPr>
              <w:jc w:val="center"/>
              <w:ind w:right="360"/>
              <w:spacing w:after="0"/>
              <w:rPr>
                <w:sz w:val="20"/>
                <w:szCs w:val="20"/>
                <w:color w:val="auto"/>
              </w:rPr>
            </w:pPr>
            <w:r>
              <w:rPr>
                <w:rFonts w:ascii="Arial" w:cs="Arial" w:eastAsia="Arial" w:hAnsi="Arial"/>
                <w:sz w:val="18"/>
                <w:szCs w:val="18"/>
                <w:color w:val="auto"/>
                <w:w w:val="91"/>
              </w:rPr>
              <w:t>CPS 2013-C</w:t>
            </w:r>
          </w:p>
        </w:tc>
        <w:tc>
          <w:tcPr>
            <w:tcW w:w="27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December 2020</w:t>
            </w:r>
          </w:p>
        </w:tc>
        <w:tc>
          <w:tcPr>
            <w:tcW w:w="1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30,755</w:t>
            </w: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205,000</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29,939</w:t>
            </w:r>
          </w:p>
        </w:tc>
        <w:tc>
          <w:tcPr>
            <w:tcW w:w="1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46,830</w:t>
            </w: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5.58%</w:t>
            </w:r>
          </w:p>
        </w:tc>
      </w:tr>
      <w:tr>
        <w:trPr>
          <w:trHeight w:val="216"/>
        </w:trPr>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CPS 2013-D</w:t>
            </w:r>
          </w:p>
        </w:tc>
        <w:tc>
          <w:tcPr>
            <w:tcW w:w="2740" w:type="dxa"/>
            <w:vAlign w:val="bottom"/>
          </w:tcPr>
          <w:p>
            <w:pPr>
              <w:jc w:val="right"/>
              <w:ind w:right="130"/>
              <w:spacing w:after="0"/>
              <w:rPr>
                <w:sz w:val="20"/>
                <w:szCs w:val="20"/>
                <w:color w:val="auto"/>
              </w:rPr>
            </w:pPr>
            <w:r>
              <w:rPr>
                <w:rFonts w:ascii="Arial" w:cs="Arial" w:eastAsia="Arial" w:hAnsi="Arial"/>
                <w:sz w:val="18"/>
                <w:szCs w:val="18"/>
                <w:color w:val="auto"/>
              </w:rPr>
              <w:t>March 2021</w:t>
            </w: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31,306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29,557</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46,345</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4.77%</w:t>
            </w:r>
          </w:p>
        </w:tc>
      </w:tr>
      <w:tr>
        <w:trPr>
          <w:trHeight w:val="216"/>
        </w:trPr>
        <w:tc>
          <w:tcPr>
            <w:tcW w:w="1520" w:type="dxa"/>
            <w:vAlign w:val="bottom"/>
            <w:gridSpan w:val="2"/>
            <w:shd w:val="clear" w:color="auto" w:fill="EEEEEE"/>
          </w:tcPr>
          <w:p>
            <w:pPr>
              <w:jc w:val="center"/>
              <w:ind w:right="360"/>
              <w:spacing w:after="0"/>
              <w:rPr>
                <w:sz w:val="20"/>
                <w:szCs w:val="20"/>
                <w:color w:val="auto"/>
              </w:rPr>
            </w:pPr>
            <w:r>
              <w:rPr>
                <w:rFonts w:ascii="Arial" w:cs="Arial" w:eastAsia="Arial" w:hAnsi="Arial"/>
                <w:sz w:val="18"/>
                <w:szCs w:val="18"/>
                <w:color w:val="auto"/>
                <w:w w:val="91"/>
              </w:rPr>
              <w:t>CPS 2014-A</w:t>
            </w:r>
          </w:p>
        </w:tc>
        <w:tc>
          <w:tcPr>
            <w:tcW w:w="27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June 2021</w:t>
            </w:r>
          </w:p>
        </w:tc>
        <w:tc>
          <w:tcPr>
            <w:tcW w:w="1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37,687</w:t>
            </w: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180,000</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35,414</w:t>
            </w:r>
          </w:p>
        </w:tc>
        <w:tc>
          <w:tcPr>
            <w:tcW w:w="1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54,988</w:t>
            </w: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4.06%</w:t>
            </w:r>
          </w:p>
        </w:tc>
      </w:tr>
      <w:tr>
        <w:trPr>
          <w:trHeight w:val="216"/>
        </w:trPr>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CPS 2014-B</w:t>
            </w:r>
          </w:p>
        </w:tc>
        <w:tc>
          <w:tcPr>
            <w:tcW w:w="2740" w:type="dxa"/>
            <w:vAlign w:val="bottom"/>
          </w:tcPr>
          <w:p>
            <w:pPr>
              <w:jc w:val="right"/>
              <w:ind w:right="130"/>
              <w:spacing w:after="0"/>
              <w:rPr>
                <w:sz w:val="20"/>
                <w:szCs w:val="20"/>
                <w:color w:val="auto"/>
              </w:rPr>
            </w:pPr>
            <w:r>
              <w:rPr>
                <w:rFonts w:ascii="Arial" w:cs="Arial" w:eastAsia="Arial" w:hAnsi="Arial"/>
                <w:sz w:val="18"/>
                <w:szCs w:val="18"/>
                <w:color w:val="auto"/>
              </w:rPr>
              <w:t>September 2021</w:t>
            </w: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52,509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202,500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51,099</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75,140</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3.49%</w:t>
            </w:r>
          </w:p>
        </w:tc>
      </w:tr>
      <w:tr>
        <w:trPr>
          <w:trHeight w:val="216"/>
        </w:trPr>
        <w:tc>
          <w:tcPr>
            <w:tcW w:w="1520" w:type="dxa"/>
            <w:vAlign w:val="bottom"/>
            <w:gridSpan w:val="2"/>
            <w:shd w:val="clear" w:color="auto" w:fill="EEEEEE"/>
          </w:tcPr>
          <w:p>
            <w:pPr>
              <w:jc w:val="center"/>
              <w:ind w:right="360"/>
              <w:spacing w:after="0"/>
              <w:rPr>
                <w:sz w:val="20"/>
                <w:szCs w:val="20"/>
                <w:color w:val="auto"/>
              </w:rPr>
            </w:pPr>
            <w:r>
              <w:rPr>
                <w:rFonts w:ascii="Arial" w:cs="Arial" w:eastAsia="Arial" w:hAnsi="Arial"/>
                <w:sz w:val="18"/>
                <w:szCs w:val="18"/>
                <w:color w:val="auto"/>
                <w:w w:val="91"/>
              </w:rPr>
              <w:t>CPS 2014-C</w:t>
            </w:r>
          </w:p>
        </w:tc>
        <w:tc>
          <w:tcPr>
            <w:tcW w:w="27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December 2021</w:t>
            </w:r>
          </w:p>
        </w:tc>
        <w:tc>
          <w:tcPr>
            <w:tcW w:w="1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82,954</w:t>
            </w: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273,000</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81,051</w:t>
            </w:r>
          </w:p>
        </w:tc>
        <w:tc>
          <w:tcPr>
            <w:tcW w:w="1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116,280</w:t>
            </w: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3.72%</w:t>
            </w:r>
          </w:p>
        </w:tc>
      </w:tr>
      <w:tr>
        <w:trPr>
          <w:trHeight w:val="216"/>
        </w:trPr>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CPS 2014-D</w:t>
            </w:r>
          </w:p>
        </w:tc>
        <w:tc>
          <w:tcPr>
            <w:tcW w:w="2740" w:type="dxa"/>
            <w:vAlign w:val="bottom"/>
          </w:tcPr>
          <w:p>
            <w:pPr>
              <w:jc w:val="right"/>
              <w:ind w:right="130"/>
              <w:spacing w:after="0"/>
              <w:rPr>
                <w:sz w:val="20"/>
                <w:szCs w:val="20"/>
                <w:color w:val="auto"/>
              </w:rPr>
            </w:pPr>
            <w:r>
              <w:rPr>
                <w:rFonts w:ascii="Arial" w:cs="Arial" w:eastAsia="Arial" w:hAnsi="Arial"/>
                <w:sz w:val="18"/>
                <w:szCs w:val="18"/>
                <w:color w:val="auto"/>
              </w:rPr>
              <w:t>March 2022</w:t>
            </w: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90,853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267,500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89,368</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127,307</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r>
      <w:tr>
        <w:trPr>
          <w:trHeight w:val="216"/>
        </w:trPr>
        <w:tc>
          <w:tcPr>
            <w:tcW w:w="1520" w:type="dxa"/>
            <w:vAlign w:val="bottom"/>
            <w:gridSpan w:val="2"/>
            <w:shd w:val="clear" w:color="auto" w:fill="EEEEEE"/>
          </w:tcPr>
          <w:p>
            <w:pPr>
              <w:jc w:val="center"/>
              <w:ind w:right="360"/>
              <w:spacing w:after="0"/>
              <w:rPr>
                <w:sz w:val="20"/>
                <w:szCs w:val="20"/>
                <w:color w:val="auto"/>
              </w:rPr>
            </w:pPr>
            <w:r>
              <w:rPr>
                <w:rFonts w:ascii="Arial" w:cs="Arial" w:eastAsia="Arial" w:hAnsi="Arial"/>
                <w:sz w:val="18"/>
                <w:szCs w:val="18"/>
                <w:color w:val="auto"/>
                <w:w w:val="91"/>
              </w:rPr>
              <w:t>CPS 2015-A</w:t>
            </w:r>
          </w:p>
        </w:tc>
        <w:tc>
          <w:tcPr>
            <w:tcW w:w="27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June 2022</w:t>
            </w:r>
          </w:p>
        </w:tc>
        <w:tc>
          <w:tcPr>
            <w:tcW w:w="1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98,727</w:t>
            </w: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245,000</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97,395</w:t>
            </w:r>
          </w:p>
        </w:tc>
        <w:tc>
          <w:tcPr>
            <w:tcW w:w="1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134,466</w:t>
            </w: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3.50%</w:t>
            </w:r>
          </w:p>
        </w:tc>
      </w:tr>
      <w:tr>
        <w:trPr>
          <w:trHeight w:val="216"/>
        </w:trPr>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CPS 2015-B</w:t>
            </w:r>
          </w:p>
        </w:tc>
        <w:tc>
          <w:tcPr>
            <w:tcW w:w="2740" w:type="dxa"/>
            <w:vAlign w:val="bottom"/>
          </w:tcPr>
          <w:p>
            <w:pPr>
              <w:jc w:val="right"/>
              <w:ind w:right="130"/>
              <w:spacing w:after="0"/>
              <w:rPr>
                <w:sz w:val="20"/>
                <w:szCs w:val="20"/>
                <w:color w:val="auto"/>
              </w:rPr>
            </w:pPr>
            <w:r>
              <w:rPr>
                <w:rFonts w:ascii="Arial" w:cs="Arial" w:eastAsia="Arial" w:hAnsi="Arial"/>
                <w:sz w:val="18"/>
                <w:szCs w:val="18"/>
                <w:color w:val="auto"/>
              </w:rPr>
              <w:t>September 2022</w:t>
            </w: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115,193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114,161</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153,893</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r>
      <w:tr>
        <w:trPr>
          <w:trHeight w:val="216"/>
        </w:trPr>
        <w:tc>
          <w:tcPr>
            <w:tcW w:w="1520" w:type="dxa"/>
            <w:vAlign w:val="bottom"/>
            <w:gridSpan w:val="2"/>
            <w:shd w:val="clear" w:color="auto" w:fill="EEEEEE"/>
          </w:tcPr>
          <w:p>
            <w:pPr>
              <w:jc w:val="center"/>
              <w:ind w:right="360"/>
              <w:spacing w:after="0"/>
              <w:rPr>
                <w:sz w:val="20"/>
                <w:szCs w:val="20"/>
                <w:color w:val="auto"/>
              </w:rPr>
            </w:pPr>
            <w:r>
              <w:rPr>
                <w:rFonts w:ascii="Arial" w:cs="Arial" w:eastAsia="Arial" w:hAnsi="Arial"/>
                <w:sz w:val="18"/>
                <w:szCs w:val="18"/>
                <w:color w:val="auto"/>
                <w:w w:val="91"/>
              </w:rPr>
              <w:t>CPS 2015-C</w:t>
            </w:r>
          </w:p>
        </w:tc>
        <w:tc>
          <w:tcPr>
            <w:tcW w:w="27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December 2022</w:t>
            </w:r>
          </w:p>
        </w:tc>
        <w:tc>
          <w:tcPr>
            <w:tcW w:w="1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156,908</w:t>
            </w: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300,000</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155,261</w:t>
            </w:r>
          </w:p>
        </w:tc>
        <w:tc>
          <w:tcPr>
            <w:tcW w:w="1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207,636</w:t>
            </w: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3.94%</w:t>
            </w:r>
          </w:p>
        </w:tc>
      </w:tr>
      <w:tr>
        <w:trPr>
          <w:trHeight w:val="216"/>
        </w:trPr>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CPS 2016-A</w:t>
            </w:r>
          </w:p>
        </w:tc>
        <w:tc>
          <w:tcPr>
            <w:tcW w:w="2740" w:type="dxa"/>
            <w:vAlign w:val="bottom"/>
          </w:tcPr>
          <w:p>
            <w:pPr>
              <w:jc w:val="right"/>
              <w:ind w:right="130"/>
              <w:spacing w:after="0"/>
              <w:rPr>
                <w:sz w:val="20"/>
                <w:szCs w:val="20"/>
                <w:color w:val="auto"/>
              </w:rPr>
            </w:pPr>
            <w:r>
              <w:rPr>
                <w:rFonts w:ascii="Arial" w:cs="Arial" w:eastAsia="Arial" w:hAnsi="Arial"/>
                <w:sz w:val="18"/>
                <w:szCs w:val="18"/>
                <w:color w:val="auto"/>
              </w:rPr>
              <w:t>March 2023</w:t>
            </w: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200,682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329,460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198,375</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262,260</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4.25%</w:t>
            </w:r>
          </w:p>
        </w:tc>
      </w:tr>
      <w:tr>
        <w:trPr>
          <w:trHeight w:val="216"/>
        </w:trPr>
        <w:tc>
          <w:tcPr>
            <w:tcW w:w="1520" w:type="dxa"/>
            <w:vAlign w:val="bottom"/>
            <w:gridSpan w:val="2"/>
            <w:shd w:val="clear" w:color="auto" w:fill="EEEEEE"/>
          </w:tcPr>
          <w:p>
            <w:pPr>
              <w:jc w:val="center"/>
              <w:ind w:right="360"/>
              <w:spacing w:after="0"/>
              <w:rPr>
                <w:sz w:val="20"/>
                <w:szCs w:val="20"/>
                <w:color w:val="auto"/>
              </w:rPr>
            </w:pPr>
            <w:r>
              <w:rPr>
                <w:rFonts w:ascii="Arial" w:cs="Arial" w:eastAsia="Arial" w:hAnsi="Arial"/>
                <w:sz w:val="18"/>
                <w:szCs w:val="18"/>
                <w:color w:val="auto"/>
                <w:w w:val="91"/>
              </w:rPr>
              <w:t>CPS 2016-B</w:t>
            </w:r>
          </w:p>
        </w:tc>
        <w:tc>
          <w:tcPr>
            <w:tcW w:w="27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June 2023</w:t>
            </w:r>
          </w:p>
        </w:tc>
        <w:tc>
          <w:tcPr>
            <w:tcW w:w="1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226,642</w:t>
            </w: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332,690</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220,324</w:t>
            </w:r>
          </w:p>
        </w:tc>
        <w:tc>
          <w:tcPr>
            <w:tcW w:w="1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284,752</w:t>
            </w: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4.29%</w:t>
            </w:r>
          </w:p>
        </w:tc>
      </w:tr>
      <w:tr>
        <w:trPr>
          <w:trHeight w:val="216"/>
        </w:trPr>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CPS 2016-C</w:t>
            </w:r>
          </w:p>
        </w:tc>
        <w:tc>
          <w:tcPr>
            <w:tcW w:w="2740" w:type="dxa"/>
            <w:vAlign w:val="bottom"/>
          </w:tcPr>
          <w:p>
            <w:pPr>
              <w:jc w:val="right"/>
              <w:ind w:right="130"/>
              <w:spacing w:after="0"/>
              <w:rPr>
                <w:sz w:val="20"/>
                <w:szCs w:val="20"/>
                <w:color w:val="auto"/>
              </w:rPr>
            </w:pPr>
            <w:r>
              <w:rPr>
                <w:rFonts w:ascii="Arial" w:cs="Arial" w:eastAsia="Arial" w:hAnsi="Arial"/>
                <w:sz w:val="18"/>
                <w:szCs w:val="18"/>
                <w:color w:val="auto"/>
              </w:rPr>
              <w:t>September 2023</w:t>
            </w: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228,946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318,500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222,544</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285,618</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3.85%</w:t>
            </w:r>
          </w:p>
        </w:tc>
      </w:tr>
      <w:tr>
        <w:trPr>
          <w:trHeight w:val="216"/>
        </w:trPr>
        <w:tc>
          <w:tcPr>
            <w:tcW w:w="1520" w:type="dxa"/>
            <w:vAlign w:val="bottom"/>
            <w:gridSpan w:val="2"/>
            <w:shd w:val="clear" w:color="auto" w:fill="EEEEEE"/>
          </w:tcPr>
          <w:p>
            <w:pPr>
              <w:jc w:val="center"/>
              <w:ind w:right="360"/>
              <w:spacing w:after="0"/>
              <w:rPr>
                <w:sz w:val="20"/>
                <w:szCs w:val="20"/>
                <w:color w:val="auto"/>
              </w:rPr>
            </w:pPr>
            <w:r>
              <w:rPr>
                <w:rFonts w:ascii="Arial" w:cs="Arial" w:eastAsia="Arial" w:hAnsi="Arial"/>
                <w:sz w:val="18"/>
                <w:szCs w:val="18"/>
                <w:color w:val="auto"/>
                <w:w w:val="91"/>
              </w:rPr>
              <w:t>CPS 2016-D</w:t>
            </w:r>
          </w:p>
        </w:tc>
        <w:tc>
          <w:tcPr>
            <w:tcW w:w="27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December 2023</w:t>
            </w:r>
          </w:p>
        </w:tc>
        <w:tc>
          <w:tcPr>
            <w:tcW w:w="1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166,557</w:t>
            </w: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206,325</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162,871</w:t>
            </w:r>
          </w:p>
        </w:tc>
        <w:tc>
          <w:tcPr>
            <w:tcW w:w="1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200,221</w:t>
            </w: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3.01%</w:t>
            </w:r>
          </w:p>
        </w:tc>
      </w:tr>
      <w:tr>
        <w:trPr>
          <w:trHeight w:val="216"/>
        </w:trPr>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CPS 2017-A</w:t>
            </w:r>
          </w:p>
        </w:tc>
        <w:tc>
          <w:tcPr>
            <w:tcW w:w="2740" w:type="dxa"/>
            <w:vAlign w:val="bottom"/>
          </w:tcPr>
          <w:p>
            <w:pPr>
              <w:jc w:val="right"/>
              <w:ind w:right="130"/>
              <w:spacing w:after="0"/>
              <w:rPr>
                <w:sz w:val="20"/>
                <w:szCs w:val="20"/>
                <w:color w:val="auto"/>
              </w:rPr>
            </w:pPr>
            <w:r>
              <w:rPr>
                <w:rFonts w:ascii="Arial" w:cs="Arial" w:eastAsia="Arial" w:hAnsi="Arial"/>
                <w:sz w:val="18"/>
                <w:szCs w:val="18"/>
                <w:color w:val="auto"/>
              </w:rPr>
              <w:t>April 2024</w:t>
            </w: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179,926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206,320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174,942</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r>
      <w:tr>
        <w:trPr>
          <w:trHeight w:val="216"/>
        </w:trPr>
        <w:tc>
          <w:tcPr>
            <w:tcW w:w="1520" w:type="dxa"/>
            <w:vAlign w:val="bottom"/>
            <w:gridSpan w:val="2"/>
            <w:shd w:val="clear" w:color="auto" w:fill="EEEEEE"/>
          </w:tcPr>
          <w:p>
            <w:pPr>
              <w:jc w:val="center"/>
              <w:ind w:right="360"/>
              <w:spacing w:after="0"/>
              <w:rPr>
                <w:sz w:val="20"/>
                <w:szCs w:val="20"/>
                <w:color w:val="auto"/>
              </w:rPr>
            </w:pPr>
            <w:r>
              <w:rPr>
                <w:rFonts w:ascii="Arial" w:cs="Arial" w:eastAsia="Arial" w:hAnsi="Arial"/>
                <w:sz w:val="18"/>
                <w:szCs w:val="18"/>
                <w:color w:val="auto"/>
                <w:w w:val="91"/>
              </w:rPr>
              <w:t>CPS 2017-B</w:t>
            </w:r>
          </w:p>
        </w:tc>
        <w:tc>
          <w:tcPr>
            <w:tcW w:w="27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September 2024</w:t>
            </w:r>
          </w:p>
        </w:tc>
        <w:tc>
          <w:tcPr>
            <w:tcW w:w="1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212,943</w:t>
            </w: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225,170</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201,190</w:t>
            </w:r>
          </w:p>
        </w:tc>
        <w:tc>
          <w:tcPr>
            <w:tcW w:w="1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2.81%</w:t>
            </w:r>
          </w:p>
        </w:tc>
      </w:tr>
      <w:tr>
        <w:trPr>
          <w:trHeight w:val="230"/>
        </w:trPr>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CPS 2017-C</w:t>
            </w:r>
          </w:p>
        </w:tc>
        <w:tc>
          <w:tcPr>
            <w:tcW w:w="2740" w:type="dxa"/>
            <w:vAlign w:val="bottom"/>
          </w:tcPr>
          <w:p>
            <w:pPr>
              <w:jc w:val="right"/>
              <w:ind w:right="130"/>
              <w:spacing w:after="0"/>
              <w:rPr>
                <w:sz w:val="20"/>
                <w:szCs w:val="20"/>
                <w:color w:val="auto"/>
              </w:rPr>
            </w:pPr>
            <w:r>
              <w:rPr>
                <w:rFonts w:ascii="Arial" w:cs="Arial" w:eastAsia="Arial" w:hAnsi="Arial"/>
                <w:sz w:val="18"/>
                <w:szCs w:val="18"/>
                <w:color w:val="auto"/>
              </w:rPr>
              <w:t>September 2024</w:t>
            </w:r>
          </w:p>
        </w:tc>
        <w:tc>
          <w:tcPr>
            <w:tcW w:w="1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220,464</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224,825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214,519</w:t>
            </w: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r>
      <w:tr>
        <w:trPr>
          <w:trHeight w:val="223"/>
        </w:trPr>
        <w:tc>
          <w:tcPr>
            <w:tcW w:w="116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274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2,176,329</w:t>
            </w: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4,646,290</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2,116,399</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2,094,253</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30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bl>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-154940</wp:posOffset>
            </wp:positionV>
            <wp:extent cx="35502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jc w:val="both"/>
        <w:ind w:left="340" w:hanging="332"/>
        <w:spacing w:after="0" w:line="253" w:lineRule="auto"/>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$229.7 million in 2017, $829.4 million in 2018, $549.1 million in 2019, $318.9 million in 2020, $156.9 million in 2021, $32.4 million in 2022.</w:t>
      </w:r>
    </w:p>
    <w:p>
      <w:pPr>
        <w:spacing w:after="0" w:line="218" w:lineRule="exact"/>
        <w:rPr>
          <w:rFonts w:ascii="Arial" w:cs="Arial" w:eastAsia="Arial" w:hAnsi="Arial"/>
          <w:sz w:val="18"/>
          <w:szCs w:val="18"/>
          <w:i w:val="1"/>
          <w:iCs w:val="1"/>
          <w:color w:val="auto"/>
        </w:rPr>
      </w:pPr>
    </w:p>
    <w:p>
      <w:pPr>
        <w:ind w:left="340" w:hanging="332"/>
        <w:spacing w:after="0"/>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repossessed assets that are included in Other assets on our Unaudited Condensed Consolidated Balance Sheet.</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Debt issuance costs of $12.8 million and $13.4 million as of September 30, 2017 and December 31, 2016, respectively, have been excluded from the table above. These debt issuance costs are presented as a direct deduction to the carrying amount of the securitization trust debt on our Unaudited Condensed Consolidated Balance Sheets.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of the securitization trust debt was sold in private placement transactions to qualified institutional buyers. The debt was issued through our wholly-owned bankruptcy remote subsidiaries and is secured by the assets of such subsidiaries, but not by our other assets.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terms of the securitization agreements related to the issuance of the securitization trust debt and the warehouse credit facilities require that we meet certain delinquency and credit loss criteria with respect to the pool of receivables, and certain of the agreements require that we maintain minimum levels of liquidity and not exceed maximum leverage levels. As of September 30, 2017, we were in compliance with all such covenants.</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responsible for the administration and collection of the automobile contracts. The securitization agreements also require certain funds be held in restricted cash accounts to provide additional collateral for the borrowings, to be applied to make payments on the securitization trust debt or as pre-funding proceeds from a term securitization prior to the purchase of additional collateral. As of September 30, 2017, restricted cash under the various agreements totaled approximately $115.0 million. Interest expense on the securitization trust debt consists of the stated rate of interest plus amortization of additional costs of borrowing. Additional costs of borrowing include facility fees, amortization of deferred financing costs and discounts on notes sold. Deferred financing costs and discounts on notes sold related to the securitization trust debt are amortized using a level yield method. Accordingly, the effective cost of the securitization trust debt is greater than the contractual rate of interest disclosed above.</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wholly-owned bankruptcy remote subsidiaries were formed to facilitate the above asset-backed financing transactions. Similar bankruptcy remote subsidiaries issue the debt outstanding under our credit facilities.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financings for accounting and tax purposes, are treated as sales for all other purposes, including legal and bankruptcy purposes. None of the assets of these subsidiaries are available to pay other creditors.</w:t>
      </w:r>
    </w:p>
    <w:p>
      <w:pPr>
        <w:spacing w:after="0" w:line="173"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terms and amounts of our other debt outstanding at September 30, 2017 and December 31, 2016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4"/>
          </w:tcPr>
          <w:p>
            <w:pPr>
              <w:jc w:val="right"/>
              <w:ind w:right="157"/>
              <w:spacing w:after="0"/>
              <w:rPr>
                <w:sz w:val="20"/>
                <w:szCs w:val="20"/>
                <w:color w:val="auto"/>
              </w:rPr>
            </w:pPr>
            <w:r>
              <w:rPr>
                <w:rFonts w:ascii="Arial" w:cs="Arial" w:eastAsia="Arial" w:hAnsi="Arial"/>
                <w:sz w:val="18"/>
                <w:szCs w:val="18"/>
                <w:b w:val="1"/>
                <w:bCs w:val="1"/>
                <w:color w:val="auto"/>
              </w:rPr>
              <w:t>Amount Outstanding at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4"/>
              </w:rPr>
              <w:t>September 30,</w:t>
            </w:r>
          </w:p>
        </w:tc>
        <w:tc>
          <w:tcPr>
            <w:tcW w:w="180" w:type="dxa"/>
            <w:vAlign w:val="bottom"/>
          </w:tcPr>
          <w:p>
            <w:pPr>
              <w:spacing w:after="0"/>
              <w:rPr>
                <w:sz w:val="19"/>
                <w:szCs w:val="19"/>
                <w:color w:val="auto"/>
              </w:rPr>
            </w:pPr>
          </w:p>
        </w:tc>
        <w:tc>
          <w:tcPr>
            <w:tcW w:w="1680" w:type="dxa"/>
            <w:vAlign w:val="bottom"/>
            <w:gridSpan w:val="3"/>
          </w:tcPr>
          <w:p>
            <w:pPr>
              <w:ind w:left="2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740" w:type="dxa"/>
            <w:vAlign w:val="bottom"/>
            <w:gridSpan w:val="2"/>
            <w:vMerge w:val="restart"/>
          </w:tcPr>
          <w:p>
            <w:pPr>
              <w:ind w:left="840"/>
              <w:spacing w:after="0"/>
              <w:rPr>
                <w:sz w:val="20"/>
                <w:szCs w:val="20"/>
                <w:color w:val="auto"/>
              </w:rPr>
            </w:pPr>
            <w:r>
              <w:rPr>
                <w:rFonts w:ascii="Arial" w:cs="Arial" w:eastAsia="Arial" w:hAnsi="Arial"/>
                <w:sz w:val="18"/>
                <w:szCs w:val="18"/>
                <w:color w:val="auto"/>
              </w:rPr>
              <w:t>Description</w:t>
            </w:r>
          </w:p>
        </w:tc>
        <w:tc>
          <w:tcPr>
            <w:tcW w:w="254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89"/>
              </w:rPr>
              <w:t>Interest Rate</w:t>
            </w:r>
          </w:p>
        </w:tc>
        <w:tc>
          <w:tcPr>
            <w:tcW w:w="252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5"/>
              </w:rPr>
              <w:t>Revolving Maturity</w:t>
            </w:r>
          </w:p>
        </w:tc>
        <w:tc>
          <w:tcPr>
            <w:tcW w:w="180" w:type="dxa"/>
            <w:vAlign w:val="bottom"/>
          </w:tcPr>
          <w:p>
            <w:pPr>
              <w:spacing w:after="0"/>
              <w:rPr>
                <w:sz w:val="19"/>
                <w:szCs w:val="19"/>
                <w:color w:val="auto"/>
              </w:rPr>
            </w:pPr>
          </w:p>
        </w:tc>
        <w:tc>
          <w:tcPr>
            <w:tcW w:w="2740" w:type="dxa"/>
            <w:vAlign w:val="bottom"/>
            <w:gridSpan w:val="4"/>
          </w:tcPr>
          <w:p>
            <w:pPr>
              <w:jc w:val="right"/>
              <w:ind w:right="517"/>
              <w:spacing w:after="0"/>
              <w:rPr>
                <w:sz w:val="20"/>
                <w:szCs w:val="20"/>
                <w:color w:val="auto"/>
              </w:rPr>
            </w:pPr>
            <w:r>
              <w:rPr>
                <w:rFonts w:ascii="Arial" w:cs="Arial" w:eastAsia="Arial" w:hAnsi="Arial"/>
                <w:sz w:val="18"/>
                <w:szCs w:val="18"/>
                <w:b w:val="1"/>
                <w:bCs w:val="1"/>
                <w:color w:val="auto"/>
              </w:rPr>
              <w:t>(In thousands)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740" w:type="dxa"/>
            <w:vAlign w:val="bottom"/>
            <w:gridSpan w:val="2"/>
            <w:vMerge w:val="continue"/>
          </w:tcPr>
          <w:p>
            <w:pPr>
              <w:spacing w:after="0"/>
              <w:rPr>
                <w:sz w:val="18"/>
                <w:szCs w:val="18"/>
                <w:color w:val="auto"/>
              </w:rPr>
            </w:pPr>
          </w:p>
        </w:tc>
        <w:tc>
          <w:tcPr>
            <w:tcW w:w="2540" w:type="dxa"/>
            <w:vAlign w:val="bottom"/>
            <w:gridSpan w:val="2"/>
            <w:vMerge w:val="continue"/>
          </w:tcPr>
          <w:p>
            <w:pPr>
              <w:spacing w:after="0"/>
              <w:rPr>
                <w:sz w:val="18"/>
                <w:szCs w:val="18"/>
                <w:color w:val="auto"/>
              </w:rPr>
            </w:pPr>
          </w:p>
        </w:tc>
        <w:tc>
          <w:tcPr>
            <w:tcW w:w="25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40" w:type="dxa"/>
            <w:vAlign w:val="bottom"/>
            <w:gridSpan w:val="2"/>
            <w:vMerge w:val="restart"/>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540" w:type="dxa"/>
            <w:vAlign w:val="bottom"/>
            <w:gridSpan w:val="2"/>
            <w:shd w:val="clear" w:color="auto" w:fill="EEEEEE"/>
          </w:tcPr>
          <w:p>
            <w:pPr>
              <w:jc w:val="center"/>
              <w:ind w:right="220"/>
              <w:spacing w:after="0" w:line="201" w:lineRule="exact"/>
              <w:rPr>
                <w:sz w:val="20"/>
                <w:szCs w:val="20"/>
                <w:color w:val="auto"/>
              </w:rPr>
            </w:pPr>
            <w:r>
              <w:rPr>
                <w:rFonts w:ascii="Arial" w:cs="Arial" w:eastAsia="Arial" w:hAnsi="Arial"/>
                <w:sz w:val="18"/>
                <w:szCs w:val="18"/>
                <w:color w:val="auto"/>
                <w:w w:val="91"/>
              </w:rPr>
              <w:t>5.50% over one month Libor</w:t>
            </w:r>
          </w:p>
        </w:tc>
        <w:tc>
          <w:tcPr>
            <w:tcW w:w="2520" w:type="dxa"/>
            <w:vAlign w:val="bottom"/>
            <w:gridSpan w:val="2"/>
            <w:vMerge w:val="restart"/>
            <w:shd w:val="clear" w:color="auto" w:fill="EEEEEE"/>
          </w:tcPr>
          <w:p>
            <w:pPr>
              <w:jc w:val="center"/>
              <w:ind w:right="220"/>
              <w:spacing w:after="0"/>
              <w:rPr>
                <w:sz w:val="20"/>
                <w:szCs w:val="20"/>
                <w:color w:val="auto"/>
              </w:rPr>
            </w:pPr>
            <w:r>
              <w:rPr>
                <w:rFonts w:ascii="Arial" w:cs="Arial" w:eastAsia="Arial" w:hAnsi="Arial"/>
                <w:sz w:val="18"/>
                <w:szCs w:val="18"/>
                <w:color w:val="auto"/>
                <w:w w:val="96"/>
              </w:rPr>
              <w:t>April 2019</w:t>
            </w:r>
          </w:p>
        </w:tc>
        <w:tc>
          <w:tcPr>
            <w:tcW w:w="180" w:type="dxa"/>
            <w:vAlign w:val="bottom"/>
            <w:vMerge w:val="restart"/>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vMerge w:val="restart"/>
            <w:shd w:val="clear" w:color="auto" w:fill="EEEEEE"/>
          </w:tcPr>
          <w:p>
            <w:pPr>
              <w:jc w:val="right"/>
              <w:ind w:right="160"/>
              <w:spacing w:after="0"/>
              <w:rPr>
                <w:sz w:val="20"/>
                <w:szCs w:val="20"/>
                <w:color w:val="auto"/>
              </w:rPr>
            </w:pPr>
            <w:r>
              <w:rPr>
                <w:rFonts w:ascii="Arial" w:cs="Arial" w:eastAsia="Arial" w:hAnsi="Arial"/>
                <w:sz w:val="18"/>
                <w:szCs w:val="18"/>
                <w:color w:val="auto"/>
              </w:rPr>
              <w:t>30,418</w:t>
            </w:r>
          </w:p>
        </w:tc>
        <w:tc>
          <w:tcPr>
            <w:tcW w:w="1160" w:type="dxa"/>
            <w:vAlign w:val="bottom"/>
            <w:gridSpan w:val="2"/>
            <w:vMerge w:val="restart"/>
            <w:shd w:val="clear" w:color="auto" w:fill="EEEEEE"/>
          </w:tcPr>
          <w:p>
            <w:pPr>
              <w:jc w:val="right"/>
              <w:ind w:right="817"/>
              <w:spacing w:after="0"/>
              <w:rPr>
                <w:sz w:val="20"/>
                <w:szCs w:val="20"/>
                <w:color w:val="auto"/>
              </w:rPr>
            </w:pPr>
            <w:r>
              <w:rPr>
                <w:rFonts w:ascii="Arial" w:cs="Arial" w:eastAsia="Arial" w:hAnsi="Arial"/>
                <w:sz w:val="18"/>
                <w:szCs w:val="18"/>
                <w:color w:val="auto"/>
              </w:rPr>
              <w:t>$</w:t>
            </w:r>
          </w:p>
        </w:tc>
        <w:tc>
          <w:tcPr>
            <w:tcW w:w="70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64,352</w:t>
            </w:r>
          </w:p>
        </w:tc>
        <w:tc>
          <w:tcPr>
            <w:tcW w:w="0" w:type="dxa"/>
            <w:vAlign w:val="bottom"/>
          </w:tcPr>
          <w:p>
            <w:pPr>
              <w:spacing w:after="0"/>
              <w:rPr>
                <w:sz w:val="1"/>
                <w:szCs w:val="1"/>
                <w:color w:val="auto"/>
              </w:rPr>
            </w:pPr>
          </w:p>
        </w:tc>
      </w:tr>
      <w:tr>
        <w:trPr>
          <w:trHeight w:val="122"/>
        </w:trPr>
        <w:tc>
          <w:tcPr>
            <w:tcW w:w="2740" w:type="dxa"/>
            <w:vAlign w:val="bottom"/>
            <w:gridSpan w:val="2"/>
            <w:vMerge w:val="continue"/>
            <w:shd w:val="clear" w:color="auto" w:fill="EEEEEE"/>
          </w:tcPr>
          <w:p>
            <w:pPr>
              <w:spacing w:after="0"/>
              <w:rPr>
                <w:sz w:val="10"/>
                <w:szCs w:val="10"/>
                <w:color w:val="auto"/>
              </w:rPr>
            </w:pPr>
          </w:p>
        </w:tc>
        <w:tc>
          <w:tcPr>
            <w:tcW w:w="2540" w:type="dxa"/>
            <w:vAlign w:val="bottom"/>
            <w:gridSpan w:val="2"/>
            <w:vMerge w:val="restart"/>
            <w:shd w:val="clear" w:color="auto" w:fill="EEEEEE"/>
          </w:tcPr>
          <w:p>
            <w:pPr>
              <w:jc w:val="center"/>
              <w:ind w:right="220"/>
              <w:spacing w:after="0"/>
              <w:rPr>
                <w:sz w:val="20"/>
                <w:szCs w:val="20"/>
                <w:color w:val="auto"/>
              </w:rPr>
            </w:pPr>
            <w:r>
              <w:rPr>
                <w:rFonts w:ascii="Arial" w:cs="Arial" w:eastAsia="Arial" w:hAnsi="Arial"/>
                <w:sz w:val="18"/>
                <w:szCs w:val="18"/>
                <w:color w:val="auto"/>
                <w:w w:val="96"/>
              </w:rPr>
              <w:t>(Minimum 6.50%)</w:t>
            </w:r>
          </w:p>
        </w:tc>
        <w:tc>
          <w:tcPr>
            <w:tcW w:w="2520" w:type="dxa"/>
            <w:vAlign w:val="bottom"/>
            <w:gridSpan w:val="2"/>
            <w:vMerge w:val="continue"/>
            <w:shd w:val="clear" w:color="auto" w:fill="EEEEEE"/>
          </w:tcPr>
          <w:p>
            <w:pPr>
              <w:spacing w:after="0"/>
              <w:rPr>
                <w:sz w:val="10"/>
                <w:szCs w:val="10"/>
                <w:color w:val="auto"/>
              </w:rPr>
            </w:pPr>
          </w:p>
        </w:tc>
        <w:tc>
          <w:tcPr>
            <w:tcW w:w="180" w:type="dxa"/>
            <w:vAlign w:val="bottom"/>
            <w:vMerge w:val="continue"/>
            <w:shd w:val="clear" w:color="auto" w:fill="EEEEEE"/>
          </w:tcPr>
          <w:p>
            <w:pPr>
              <w:spacing w:after="0"/>
              <w:rPr>
                <w:sz w:val="10"/>
                <w:szCs w:val="10"/>
                <w:color w:val="auto"/>
              </w:rPr>
            </w:pPr>
          </w:p>
        </w:tc>
        <w:tc>
          <w:tcPr>
            <w:tcW w:w="1580" w:type="dxa"/>
            <w:vAlign w:val="bottom"/>
            <w:gridSpan w:val="2"/>
            <w:vMerge w:val="continue"/>
            <w:shd w:val="clear" w:color="auto" w:fill="EEEEEE"/>
          </w:tcPr>
          <w:p>
            <w:pPr>
              <w:spacing w:after="0"/>
              <w:rPr>
                <w:sz w:val="10"/>
                <w:szCs w:val="10"/>
                <w:color w:val="auto"/>
              </w:rPr>
            </w:pPr>
          </w:p>
        </w:tc>
        <w:tc>
          <w:tcPr>
            <w:tcW w:w="1160" w:type="dxa"/>
            <w:vAlign w:val="bottom"/>
            <w:gridSpan w:val="2"/>
            <w:vMerge w:val="continue"/>
            <w:shd w:val="clear" w:color="auto" w:fill="EEEEEE"/>
          </w:tcPr>
          <w:p>
            <w:pPr>
              <w:spacing w:after="0"/>
              <w:rPr>
                <w:sz w:val="10"/>
                <w:szCs w:val="10"/>
                <w:color w:val="auto"/>
              </w:rPr>
            </w:pPr>
          </w:p>
        </w:tc>
        <w:tc>
          <w:tcPr>
            <w:tcW w:w="700" w:type="dxa"/>
            <w:vAlign w:val="bottom"/>
            <w:gridSpan w:val="2"/>
            <w:vMerge w:val="continue"/>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540" w:type="dxa"/>
            <w:vAlign w:val="bottom"/>
            <w:gridSpan w:val="2"/>
            <w:vMerge w:val="continue"/>
            <w:shd w:val="clear" w:color="auto" w:fill="EEEEEE"/>
          </w:tcPr>
          <w:p>
            <w:pPr>
              <w:spacing w:after="0"/>
              <w:rPr>
                <w:sz w:val="9"/>
                <w:szCs w:val="9"/>
                <w:color w:val="auto"/>
              </w:rPr>
            </w:pPr>
          </w:p>
        </w:tc>
        <w:tc>
          <w:tcPr>
            <w:tcW w:w="230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142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980" w:type="dxa"/>
            <w:vAlign w:val="bottom"/>
            <w:shd w:val="clear" w:color="auto" w:fill="EEEEEE"/>
          </w:tcPr>
          <w:p>
            <w:pPr>
              <w:spacing w:after="0"/>
              <w:rPr>
                <w:sz w:val="9"/>
                <w:szCs w:val="9"/>
                <w:color w:val="auto"/>
              </w:rPr>
            </w:pPr>
          </w:p>
        </w:tc>
        <w:tc>
          <w:tcPr>
            <w:tcW w:w="60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540" w:type="dxa"/>
            <w:vAlign w:val="bottom"/>
            <w:gridSpan w:val="2"/>
            <w:shd w:val="clear" w:color="auto" w:fill="EEEEEE"/>
          </w:tcPr>
          <w:p>
            <w:pPr>
              <w:jc w:val="center"/>
              <w:ind w:right="220"/>
              <w:spacing w:after="0" w:line="201" w:lineRule="exact"/>
              <w:rPr>
                <w:sz w:val="20"/>
                <w:szCs w:val="20"/>
                <w:color w:val="auto"/>
              </w:rPr>
            </w:pPr>
            <w:r>
              <w:rPr>
                <w:rFonts w:ascii="Arial" w:cs="Arial" w:eastAsia="Arial" w:hAnsi="Arial"/>
                <w:sz w:val="18"/>
                <w:szCs w:val="18"/>
                <w:color w:val="auto"/>
                <w:w w:val="91"/>
              </w:rPr>
              <w:t>5.50% over one month Libor</w:t>
            </w:r>
          </w:p>
        </w:tc>
        <w:tc>
          <w:tcPr>
            <w:tcW w:w="2520" w:type="dxa"/>
            <w:vAlign w:val="bottom"/>
            <w:gridSpan w:val="2"/>
            <w:vMerge w:val="restart"/>
            <w:shd w:val="clear" w:color="auto" w:fill="EEEEEE"/>
          </w:tcPr>
          <w:p>
            <w:pPr>
              <w:jc w:val="center"/>
              <w:ind w:right="240"/>
              <w:spacing w:after="0"/>
              <w:rPr>
                <w:sz w:val="20"/>
                <w:szCs w:val="20"/>
                <w:color w:val="auto"/>
              </w:rPr>
            </w:pPr>
            <w:r>
              <w:rPr>
                <w:rFonts w:ascii="Arial" w:cs="Arial" w:eastAsia="Arial" w:hAnsi="Arial"/>
                <w:sz w:val="18"/>
                <w:szCs w:val="18"/>
                <w:color w:val="auto"/>
                <w:w w:val="90"/>
              </w:rPr>
              <w:t>August 2018</w:t>
            </w:r>
          </w:p>
        </w:tc>
        <w:tc>
          <w:tcPr>
            <w:tcW w:w="180" w:type="dxa"/>
            <w:vAlign w:val="bottom"/>
            <w:shd w:val="clear" w:color="auto" w:fill="EEEEEE"/>
          </w:tcPr>
          <w:p>
            <w:pPr>
              <w:spacing w:after="0"/>
              <w:rPr>
                <w:sz w:val="17"/>
                <w:szCs w:val="17"/>
                <w:color w:val="auto"/>
              </w:rPr>
            </w:pPr>
          </w:p>
        </w:tc>
        <w:tc>
          <w:tcPr>
            <w:tcW w:w="1580" w:type="dxa"/>
            <w:vAlign w:val="bottom"/>
            <w:gridSpan w:val="2"/>
            <w:vMerge w:val="restart"/>
            <w:shd w:val="clear" w:color="auto" w:fill="EEEEEE"/>
          </w:tcPr>
          <w:p>
            <w:pPr>
              <w:jc w:val="right"/>
              <w:ind w:right="160"/>
              <w:spacing w:after="0"/>
              <w:rPr>
                <w:sz w:val="20"/>
                <w:szCs w:val="20"/>
                <w:color w:val="auto"/>
              </w:rPr>
            </w:pPr>
            <w:r>
              <w:rPr>
                <w:rFonts w:ascii="Arial" w:cs="Arial" w:eastAsia="Arial" w:hAnsi="Arial"/>
                <w:sz w:val="18"/>
                <w:szCs w:val="18"/>
                <w:color w:val="auto"/>
              </w:rPr>
              <w:t>51,586</w:t>
            </w: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70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26,445</w:t>
            </w:r>
          </w:p>
        </w:tc>
        <w:tc>
          <w:tcPr>
            <w:tcW w:w="0" w:type="dxa"/>
            <w:vAlign w:val="bottom"/>
          </w:tcPr>
          <w:p>
            <w:pPr>
              <w:spacing w:after="0"/>
              <w:rPr>
                <w:sz w:val="1"/>
                <w:szCs w:val="1"/>
                <w:color w:val="auto"/>
              </w:rPr>
            </w:pPr>
          </w:p>
        </w:tc>
      </w:tr>
      <w:tr>
        <w:trPr>
          <w:trHeight w:val="122"/>
        </w:trPr>
        <w:tc>
          <w:tcPr>
            <w:tcW w:w="252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2540" w:type="dxa"/>
            <w:vAlign w:val="bottom"/>
            <w:gridSpan w:val="2"/>
            <w:vMerge w:val="restart"/>
            <w:shd w:val="clear" w:color="auto" w:fill="EEEEEE"/>
          </w:tcPr>
          <w:p>
            <w:pPr>
              <w:jc w:val="center"/>
              <w:ind w:right="220"/>
              <w:spacing w:after="0"/>
              <w:rPr>
                <w:sz w:val="20"/>
                <w:szCs w:val="20"/>
                <w:color w:val="auto"/>
              </w:rPr>
            </w:pPr>
            <w:r>
              <w:rPr>
                <w:rFonts w:ascii="Arial" w:cs="Arial" w:eastAsia="Arial" w:hAnsi="Arial"/>
                <w:sz w:val="18"/>
                <w:szCs w:val="18"/>
                <w:color w:val="auto"/>
                <w:w w:val="96"/>
              </w:rPr>
              <w:t>(Minimum 6.25%)</w:t>
            </w:r>
          </w:p>
        </w:tc>
        <w:tc>
          <w:tcPr>
            <w:tcW w:w="2520" w:type="dxa"/>
            <w:vAlign w:val="bottom"/>
            <w:gridSpan w:val="2"/>
            <w:vMerge w:val="continue"/>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580" w:type="dxa"/>
            <w:vAlign w:val="bottom"/>
            <w:gridSpan w:val="2"/>
            <w:vMerge w:val="continue"/>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980" w:type="dxa"/>
            <w:vAlign w:val="bottom"/>
            <w:shd w:val="clear" w:color="auto" w:fill="EEEEEE"/>
          </w:tcPr>
          <w:p>
            <w:pPr>
              <w:spacing w:after="0"/>
              <w:rPr>
                <w:sz w:val="10"/>
                <w:szCs w:val="10"/>
                <w:color w:val="auto"/>
              </w:rPr>
            </w:pPr>
          </w:p>
        </w:tc>
        <w:tc>
          <w:tcPr>
            <w:tcW w:w="700" w:type="dxa"/>
            <w:vAlign w:val="bottom"/>
            <w:gridSpan w:val="2"/>
            <w:vMerge w:val="continue"/>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540" w:type="dxa"/>
            <w:vAlign w:val="bottom"/>
            <w:gridSpan w:val="2"/>
            <w:vMerge w:val="continue"/>
            <w:shd w:val="clear" w:color="auto" w:fill="EEEEEE"/>
          </w:tcPr>
          <w:p>
            <w:pPr>
              <w:spacing w:after="0"/>
              <w:rPr>
                <w:sz w:val="9"/>
                <w:szCs w:val="9"/>
                <w:color w:val="auto"/>
              </w:rPr>
            </w:pPr>
          </w:p>
        </w:tc>
        <w:tc>
          <w:tcPr>
            <w:tcW w:w="230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142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980" w:type="dxa"/>
            <w:vAlign w:val="bottom"/>
            <w:shd w:val="clear" w:color="auto" w:fill="EEEEEE"/>
          </w:tcPr>
          <w:p>
            <w:pPr>
              <w:spacing w:after="0"/>
              <w:rPr>
                <w:sz w:val="9"/>
                <w:szCs w:val="9"/>
                <w:color w:val="auto"/>
              </w:rPr>
            </w:pPr>
          </w:p>
        </w:tc>
        <w:tc>
          <w:tcPr>
            <w:tcW w:w="60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540" w:type="dxa"/>
            <w:vAlign w:val="bottom"/>
            <w:gridSpan w:val="2"/>
            <w:shd w:val="clear" w:color="auto" w:fill="EEEEEE"/>
          </w:tcPr>
          <w:p>
            <w:pPr>
              <w:jc w:val="center"/>
              <w:ind w:right="220"/>
              <w:spacing w:after="0" w:line="201" w:lineRule="exact"/>
              <w:rPr>
                <w:sz w:val="20"/>
                <w:szCs w:val="20"/>
                <w:color w:val="auto"/>
              </w:rPr>
            </w:pPr>
            <w:r>
              <w:rPr>
                <w:rFonts w:ascii="Arial" w:cs="Arial" w:eastAsia="Arial" w:hAnsi="Arial"/>
                <w:sz w:val="18"/>
                <w:szCs w:val="18"/>
                <w:color w:val="auto"/>
                <w:w w:val="89"/>
              </w:rPr>
              <w:t>6.75% over a commercial paper</w:t>
            </w:r>
          </w:p>
        </w:tc>
        <w:tc>
          <w:tcPr>
            <w:tcW w:w="2520" w:type="dxa"/>
            <w:vAlign w:val="bottom"/>
            <w:gridSpan w:val="2"/>
            <w:vMerge w:val="restart"/>
            <w:shd w:val="clear" w:color="auto" w:fill="EEEEEE"/>
          </w:tcPr>
          <w:p>
            <w:pPr>
              <w:jc w:val="center"/>
              <w:ind w:right="240"/>
              <w:spacing w:after="0"/>
              <w:rPr>
                <w:sz w:val="20"/>
                <w:szCs w:val="20"/>
                <w:color w:val="auto"/>
              </w:rPr>
            </w:pPr>
            <w:r>
              <w:rPr>
                <w:rFonts w:ascii="Arial" w:cs="Arial" w:eastAsia="Arial" w:hAnsi="Arial"/>
                <w:sz w:val="18"/>
                <w:szCs w:val="18"/>
                <w:color w:val="auto"/>
                <w:w w:val="90"/>
              </w:rPr>
              <w:t>November 2017</w:t>
            </w:r>
          </w:p>
        </w:tc>
        <w:tc>
          <w:tcPr>
            <w:tcW w:w="180" w:type="dxa"/>
            <w:vAlign w:val="bottom"/>
            <w:shd w:val="clear" w:color="auto" w:fill="EEEEEE"/>
          </w:tcPr>
          <w:p>
            <w:pPr>
              <w:spacing w:after="0"/>
              <w:rPr>
                <w:sz w:val="17"/>
                <w:szCs w:val="17"/>
                <w:color w:val="auto"/>
              </w:rPr>
            </w:pPr>
          </w:p>
        </w:tc>
        <w:tc>
          <w:tcPr>
            <w:tcW w:w="1580" w:type="dxa"/>
            <w:vAlign w:val="bottom"/>
            <w:gridSpan w:val="2"/>
            <w:vMerge w:val="restart"/>
            <w:shd w:val="clear" w:color="auto" w:fill="EEEEEE"/>
          </w:tcPr>
          <w:p>
            <w:pPr>
              <w:jc w:val="right"/>
              <w:ind w:right="160"/>
              <w:spacing w:after="0"/>
              <w:rPr>
                <w:sz w:val="20"/>
                <w:szCs w:val="20"/>
                <w:color w:val="auto"/>
              </w:rPr>
            </w:pPr>
            <w:r>
              <w:rPr>
                <w:rFonts w:ascii="Arial" w:cs="Arial" w:eastAsia="Arial" w:hAnsi="Arial"/>
                <w:sz w:val="18"/>
                <w:szCs w:val="18"/>
                <w:color w:val="auto"/>
              </w:rPr>
              <w:t>25,912</w:t>
            </w: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70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14,168</w:t>
            </w:r>
          </w:p>
        </w:tc>
        <w:tc>
          <w:tcPr>
            <w:tcW w:w="0" w:type="dxa"/>
            <w:vAlign w:val="bottom"/>
          </w:tcPr>
          <w:p>
            <w:pPr>
              <w:spacing w:after="0"/>
              <w:rPr>
                <w:sz w:val="1"/>
                <w:szCs w:val="1"/>
                <w:color w:val="auto"/>
              </w:rPr>
            </w:pPr>
          </w:p>
        </w:tc>
      </w:tr>
      <w:tr>
        <w:trPr>
          <w:trHeight w:val="122"/>
        </w:trPr>
        <w:tc>
          <w:tcPr>
            <w:tcW w:w="252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2540" w:type="dxa"/>
            <w:vAlign w:val="bottom"/>
            <w:gridSpan w:val="2"/>
            <w:vMerge w:val="restart"/>
            <w:shd w:val="clear" w:color="auto" w:fill="EEEEEE"/>
          </w:tcPr>
          <w:p>
            <w:pPr>
              <w:jc w:val="center"/>
              <w:ind w:right="220"/>
              <w:spacing w:after="0"/>
              <w:rPr>
                <w:sz w:val="20"/>
                <w:szCs w:val="20"/>
                <w:color w:val="auto"/>
              </w:rPr>
            </w:pPr>
            <w:r>
              <w:rPr>
                <w:rFonts w:ascii="Arial" w:cs="Arial" w:eastAsia="Arial" w:hAnsi="Arial"/>
                <w:sz w:val="18"/>
                <w:szCs w:val="18"/>
                <w:color w:val="auto"/>
                <w:w w:val="94"/>
              </w:rPr>
              <w:t>rate (Minimum 7.75%)</w:t>
            </w:r>
          </w:p>
        </w:tc>
        <w:tc>
          <w:tcPr>
            <w:tcW w:w="2520" w:type="dxa"/>
            <w:vAlign w:val="bottom"/>
            <w:gridSpan w:val="2"/>
            <w:vMerge w:val="continue"/>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580" w:type="dxa"/>
            <w:vAlign w:val="bottom"/>
            <w:gridSpan w:val="2"/>
            <w:vMerge w:val="continue"/>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980" w:type="dxa"/>
            <w:vAlign w:val="bottom"/>
            <w:shd w:val="clear" w:color="auto" w:fill="EEEEEE"/>
          </w:tcPr>
          <w:p>
            <w:pPr>
              <w:spacing w:after="0"/>
              <w:rPr>
                <w:sz w:val="10"/>
                <w:szCs w:val="10"/>
                <w:color w:val="auto"/>
              </w:rPr>
            </w:pPr>
          </w:p>
        </w:tc>
        <w:tc>
          <w:tcPr>
            <w:tcW w:w="700" w:type="dxa"/>
            <w:vAlign w:val="bottom"/>
            <w:gridSpan w:val="2"/>
            <w:vMerge w:val="continue"/>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540" w:type="dxa"/>
            <w:vAlign w:val="bottom"/>
            <w:gridSpan w:val="2"/>
            <w:vMerge w:val="continue"/>
            <w:shd w:val="clear" w:color="auto" w:fill="EEEEEE"/>
          </w:tcPr>
          <w:p>
            <w:pPr>
              <w:spacing w:after="0"/>
              <w:rPr>
                <w:sz w:val="9"/>
                <w:szCs w:val="9"/>
                <w:color w:val="auto"/>
              </w:rPr>
            </w:pPr>
          </w:p>
        </w:tc>
        <w:tc>
          <w:tcPr>
            <w:tcW w:w="230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142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980" w:type="dxa"/>
            <w:vAlign w:val="bottom"/>
            <w:shd w:val="clear" w:color="auto" w:fill="EEEEEE"/>
          </w:tcPr>
          <w:p>
            <w:pPr>
              <w:spacing w:after="0"/>
              <w:rPr>
                <w:sz w:val="9"/>
                <w:szCs w:val="9"/>
                <w:color w:val="auto"/>
              </w:rPr>
            </w:pPr>
          </w:p>
        </w:tc>
        <w:tc>
          <w:tcPr>
            <w:tcW w:w="60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3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520" w:type="dxa"/>
            <w:vAlign w:val="bottom"/>
            <w:gridSpan w:val="2"/>
            <w:shd w:val="clear" w:color="auto" w:fill="EEEEEE"/>
          </w:tcPr>
          <w:p>
            <w:pPr>
              <w:jc w:val="center"/>
              <w:ind w:right="220"/>
              <w:spacing w:after="0" w:line="201" w:lineRule="exact"/>
              <w:rPr>
                <w:sz w:val="20"/>
                <w:szCs w:val="20"/>
                <w:color w:val="auto"/>
              </w:rPr>
            </w:pPr>
            <w:r>
              <w:rPr>
                <w:rFonts w:ascii="Arial" w:cs="Arial" w:eastAsia="Arial" w:hAnsi="Arial"/>
                <w:sz w:val="18"/>
                <w:szCs w:val="18"/>
                <w:color w:val="auto"/>
                <w:w w:val="91"/>
              </w:rPr>
              <w:t>Weighted average maturity of</w:t>
            </w:r>
          </w:p>
        </w:tc>
        <w:tc>
          <w:tcPr>
            <w:tcW w:w="18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5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9"/>
              </w:rPr>
              <w:t>Weighted average rate of</w:t>
            </w:r>
          </w:p>
        </w:tc>
        <w:tc>
          <w:tcPr>
            <w:tcW w:w="252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9"/>
              </w:rPr>
              <w:t>October 2019 and January</w:t>
            </w: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25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9"/>
              </w:rPr>
              <w:t>7.85% and 7.50% at September</w:t>
            </w:r>
          </w:p>
        </w:tc>
        <w:tc>
          <w:tcPr>
            <w:tcW w:w="252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8"/>
              </w:rPr>
              <w:t>2019 at September 30, 2017</w:t>
            </w:r>
          </w:p>
        </w:tc>
        <w:tc>
          <w:tcPr>
            <w:tcW w:w="18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16,229</w:t>
            </w: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14,949</w:t>
            </w:r>
          </w:p>
        </w:tc>
        <w:tc>
          <w:tcPr>
            <w:tcW w:w="0" w:type="dxa"/>
            <w:vAlign w:val="bottom"/>
          </w:tcPr>
          <w:p>
            <w:pPr>
              <w:spacing w:after="0"/>
              <w:rPr>
                <w:sz w:val="1"/>
                <w:szCs w:val="1"/>
                <w:color w:val="auto"/>
              </w:rPr>
            </w:pPr>
          </w:p>
        </w:tc>
      </w:tr>
      <w:tr>
        <w:trPr>
          <w:trHeight w:val="216"/>
        </w:trPr>
        <w:tc>
          <w:tcPr>
            <w:tcW w:w="25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5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9"/>
              </w:rPr>
              <w:t>30, 2017 and December 31,</w:t>
            </w:r>
          </w:p>
        </w:tc>
        <w:tc>
          <w:tcPr>
            <w:tcW w:w="252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88"/>
              </w:rPr>
              <w:t>and December 31, 2016,</w:t>
            </w: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5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0"/>
              </w:rPr>
              <w:t>2016, respectively</w:t>
            </w:r>
          </w:p>
        </w:tc>
        <w:tc>
          <w:tcPr>
            <w:tcW w:w="252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2"/>
              </w:rPr>
              <w:t>respectively</w:t>
            </w:r>
          </w:p>
        </w:tc>
        <w:tc>
          <w:tcPr>
            <w:tcW w:w="180" w:type="dxa"/>
            <w:vAlign w:val="bottom"/>
            <w:shd w:val="clear" w:color="auto" w:fill="EEEEEE"/>
          </w:tcPr>
          <w:p>
            <w:pPr>
              <w:spacing w:after="0"/>
              <w:rPr>
                <w:sz w:val="20"/>
                <w:szCs w:val="20"/>
                <w:color w:val="auto"/>
              </w:rPr>
            </w:pPr>
          </w:p>
        </w:tc>
        <w:tc>
          <w:tcPr>
            <w:tcW w:w="142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980" w:type="dxa"/>
            <w:vAlign w:val="bottom"/>
            <w:shd w:val="clear" w:color="auto" w:fill="EEEEEE"/>
          </w:tcPr>
          <w:p>
            <w:pPr>
              <w:spacing w:after="0"/>
              <w:rPr>
                <w:sz w:val="20"/>
                <w:szCs w:val="20"/>
                <w:color w:val="auto"/>
              </w:rPr>
            </w:pPr>
          </w:p>
        </w:tc>
        <w:tc>
          <w:tcPr>
            <w:tcW w:w="60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20" w:type="dxa"/>
            <w:vAlign w:val="bottom"/>
            <w:tcBorders>
              <w:bottom w:val="single" w:sz="8" w:color="EEEEEE"/>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2300" w:type="dxa"/>
            <w:vAlign w:val="bottom"/>
            <w:tcBorders>
              <w:bottom w:val="single" w:sz="8" w:color="EEEEEE"/>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2300" w:type="dxa"/>
            <w:vAlign w:val="bottom"/>
            <w:tcBorders>
              <w:bottom w:val="single" w:sz="8" w:color="EEEEEE"/>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180" w:type="dxa"/>
            <w:vAlign w:val="bottom"/>
            <w:tcBorders>
              <w:bottom w:val="single" w:sz="8" w:color="EEEEEE"/>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2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EEEEEE"/>
            </w:tcBorders>
            <w:shd w:val="clear" w:color="auto" w:fill="EEEEEE"/>
          </w:tcPr>
          <w:p>
            <w:pPr>
              <w:spacing w:after="0"/>
              <w:rPr>
                <w:sz w:val="19"/>
                <w:szCs w:val="19"/>
                <w:color w:val="auto"/>
              </w:rPr>
            </w:pPr>
          </w:p>
        </w:tc>
        <w:tc>
          <w:tcPr>
            <w:tcW w:w="230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EEEEEE"/>
            </w:tcBorders>
            <w:shd w:val="clear" w:color="auto" w:fill="EEEEEE"/>
          </w:tcPr>
          <w:p>
            <w:pPr>
              <w:spacing w:after="0"/>
              <w:rPr>
                <w:sz w:val="19"/>
                <w:szCs w:val="19"/>
                <w:color w:val="auto"/>
              </w:rPr>
            </w:pPr>
          </w:p>
        </w:tc>
        <w:tc>
          <w:tcPr>
            <w:tcW w:w="230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124,145</w:t>
            </w:r>
          </w:p>
        </w:tc>
        <w:tc>
          <w:tcPr>
            <w:tcW w:w="16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EEEEEE"/>
            </w:tcBorders>
            <w:shd w:val="clear" w:color="auto" w:fill="EEEEEE"/>
          </w:tcPr>
          <w:p>
            <w:pPr>
              <w:spacing w:after="0"/>
              <w:rPr>
                <w:sz w:val="19"/>
                <w:szCs w:val="19"/>
                <w:color w:val="auto"/>
              </w:rPr>
            </w:pPr>
          </w:p>
        </w:tc>
        <w:tc>
          <w:tcPr>
            <w:tcW w:w="980" w:type="dxa"/>
            <w:vAlign w:val="bottom"/>
            <w:tcBorders>
              <w:bottom w:val="single" w:sz="8" w:color="auto"/>
            </w:tcBorders>
            <w:shd w:val="clear" w:color="auto" w:fill="EEEEEE"/>
          </w:tcPr>
          <w:p>
            <w:pPr>
              <w:jc w:val="right"/>
              <w:ind w:right="81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9"/>
              </w:rPr>
              <w:t>119,914</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Debt issuance costs of $1.3 million and $1.6 million as of September 30, 2017 and December 31, 2016, respectively, have been excluded from the table above. These debt issuance costs are presented as a direct deduction to the carrying amount of the Warehouse lines of credit on our Unaudited Condensed Consolidated Balance Sheets.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April 2017, we renewed our $100 million warehouse credit line that was first established in May 2012. There was $30.4 million outstanding under this facility at September 30, 2017. The revolving period for this facility was extended to April 2019 followed by an amortization period through April 2021 for any receivables pledged at the end of the revolving period.</w:t>
      </w:r>
    </w:p>
    <w:p>
      <w:pPr>
        <w:spacing w:after="0" w:line="181"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Interest Income and 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interest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6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gridSpan w:val="5"/>
          </w:tcPr>
          <w:p>
            <w:pPr>
              <w:ind w:left="6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Interest on finance receivables</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106,830</w:t>
            </w:r>
          </w:p>
        </w:tc>
        <w:tc>
          <w:tcPr>
            <w:tcW w:w="520" w:type="dxa"/>
            <w:vAlign w:val="bottom"/>
            <w:shd w:val="clear" w:color="auto" w:fill="EEEEEE"/>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105,296</w:t>
            </w:r>
          </w:p>
        </w:tc>
        <w:tc>
          <w:tcPr>
            <w:tcW w:w="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318,670</w:t>
            </w:r>
          </w:p>
        </w:tc>
        <w:tc>
          <w:tcPr>
            <w:tcW w:w="500" w:type="dxa"/>
            <w:vAlign w:val="bottom"/>
            <w:shd w:val="clear" w:color="auto" w:fill="EEEEEE"/>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303,548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Other interest income</w:t>
            </w:r>
          </w:p>
        </w:tc>
        <w:tc>
          <w:tcPr>
            <w:tcW w:w="120" w:type="dxa"/>
            <w:vAlign w:val="bottom"/>
          </w:tcPr>
          <w:p>
            <w:pPr>
              <w:spacing w:after="0"/>
              <w:rPr>
                <w:sz w:val="19"/>
                <w:szCs w:val="19"/>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184</w:t>
            </w:r>
          </w:p>
        </w:tc>
        <w:tc>
          <w:tcPr>
            <w:tcW w:w="5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404</w:t>
            </w:r>
          </w:p>
        </w:tc>
        <w:tc>
          <w:tcPr>
            <w:tcW w:w="5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107,014</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520" w:type="dxa"/>
            <w:vAlign w:val="bottom"/>
            <w:tcBorders>
              <w:top w:val="single" w:sz="8" w:color="auto"/>
              <w:bottom w:val="single" w:sz="8" w:color="auto"/>
            </w:tcBorders>
            <w:shd w:val="clear" w:color="auto" w:fill="EEEEEE"/>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105,376</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319,074</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500" w:type="dxa"/>
            <w:vAlign w:val="bottom"/>
            <w:tcBorders>
              <w:top w:val="single" w:sz="8" w:color="auto"/>
              <w:bottom w:val="single" w:sz="8" w:color="auto"/>
            </w:tcBorders>
            <w:shd w:val="clear" w:color="auto" w:fill="EEEEEE"/>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303,748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interest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6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20" w:type="dxa"/>
            <w:vAlign w:val="bottom"/>
            <w:gridSpan w:val="5"/>
          </w:tcPr>
          <w:p>
            <w:pPr>
              <w:ind w:left="4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320" w:type="dxa"/>
            <w:vAlign w:val="bottom"/>
            <w:shd w:val="clear" w:color="auto" w:fill="EEEEEE"/>
          </w:tcPr>
          <w:p>
            <w:pPr>
              <w:jc w:val="right"/>
              <w:ind w:right="16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20,973</w:t>
            </w:r>
          </w:p>
        </w:tc>
        <w:tc>
          <w:tcPr>
            <w:tcW w:w="520" w:type="dxa"/>
            <w:vAlign w:val="bottom"/>
            <w:shd w:val="clear" w:color="auto" w:fill="EEEEEE"/>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18,228</w:t>
            </w:r>
          </w:p>
        </w:tc>
        <w:tc>
          <w:tcPr>
            <w:tcW w:w="500" w:type="dxa"/>
            <w:vAlign w:val="bottom"/>
            <w:gridSpan w:val="2"/>
            <w:shd w:val="clear" w:color="auto" w:fill="EEEEEE"/>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61,589</w:t>
            </w:r>
          </w:p>
        </w:tc>
        <w:tc>
          <w:tcPr>
            <w:tcW w:w="500" w:type="dxa"/>
            <w:vAlign w:val="bottom"/>
            <w:shd w:val="clear" w:color="auto" w:fill="EEEEEE"/>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49,867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Warehouse lines of credit</w:t>
            </w:r>
          </w:p>
        </w:tc>
        <w:tc>
          <w:tcPr>
            <w:tcW w:w="32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1,994</w:t>
            </w:r>
          </w:p>
        </w:tc>
        <w:tc>
          <w:tcPr>
            <w:tcW w:w="5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2,111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6,081</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3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227</w:t>
            </w:r>
          </w:p>
        </w:tc>
        <w:tc>
          <w:tcPr>
            <w:tcW w:w="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Subordinated renewable notes</w:t>
            </w:r>
          </w:p>
        </w:tc>
        <w:tc>
          <w:tcPr>
            <w:tcW w:w="32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350</w:t>
            </w:r>
          </w:p>
        </w:tc>
        <w:tc>
          <w:tcPr>
            <w:tcW w:w="5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327</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971</w:t>
            </w:r>
          </w:p>
        </w:tc>
        <w:tc>
          <w:tcPr>
            <w:tcW w:w="5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320" w:type="dxa"/>
            <w:vAlign w:val="bottom"/>
            <w:tcBorders>
              <w:top w:val="single" w:sz="8" w:color="auto"/>
              <w:bottom w:val="single" w:sz="8" w:color="auto"/>
            </w:tcBorders>
            <w:shd w:val="clear" w:color="auto" w:fill="EEEEEE"/>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23,317</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520" w:type="dxa"/>
            <w:vAlign w:val="bottom"/>
            <w:tcBorders>
              <w:top w:val="single" w:sz="8" w:color="auto"/>
              <w:bottom w:val="single" w:sz="8" w:color="auto"/>
            </w:tcBorders>
            <w:shd w:val="clear" w:color="auto" w:fill="EEEEEE"/>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20,893</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68,641</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500" w:type="dxa"/>
            <w:vAlign w:val="bottom"/>
            <w:tcBorders>
              <w:top w:val="single" w:sz="8" w:color="auto"/>
              <w:bottom w:val="single" w:sz="8" w:color="auto"/>
            </w:tcBorders>
            <w:shd w:val="clear" w:color="auto" w:fill="EEEEEE"/>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58,442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Earnings per share for the three-month and nine-month periods ended September 30, 2017 and 2016 were calculated using the weighted average number of shares outstanding for the related period. The following table reconciles the number of shares used in the computations of basic and diluted earnings per share for the three-month and nine-month periods ended September 30, 2017 and 2016:</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0" w:right="40" w:hanging="197"/>
        <w:spacing w:after="0" w:line="342" w:lineRule="auto"/>
        <w:rPr>
          <w:sz w:val="20"/>
          <w:szCs w:val="20"/>
          <w:color w:val="auto"/>
        </w:rPr>
      </w:pPr>
      <w:r>
        <w:rPr>
          <w:rFonts w:ascii="Arial" w:cs="Arial" w:eastAsia="Arial" w:hAnsi="Arial"/>
          <w:sz w:val="16"/>
          <w:szCs w:val="16"/>
          <w:color w:val="auto"/>
        </w:rPr>
        <w:t>Weighted average number of common shares outstanding during the period used to compute basic earnings per share</w:t>
      </w:r>
    </w:p>
    <w:p>
      <w:pPr>
        <w:spacing w:after="0" w:line="124" w:lineRule="exact"/>
        <w:rPr>
          <w:sz w:val="20"/>
          <w:szCs w:val="20"/>
          <w:color w:val="auto"/>
        </w:rPr>
      </w:pPr>
    </w:p>
    <w:p>
      <w:pPr>
        <w:ind w:left="200" w:right="560" w:hanging="197"/>
        <w:spacing w:after="0" w:line="277" w:lineRule="auto"/>
        <w:rPr>
          <w:sz w:val="20"/>
          <w:szCs w:val="20"/>
          <w:color w:val="auto"/>
        </w:rPr>
      </w:pPr>
      <w:r>
        <w:rPr>
          <w:rFonts w:ascii="Arial" w:cs="Arial" w:eastAsia="Arial" w:hAnsi="Arial"/>
          <w:sz w:val="18"/>
          <w:szCs w:val="18"/>
          <w:color w:val="auto"/>
        </w:rPr>
        <w:t>Incremental common shares attributable to exercise of outstanding options and warrants</w:t>
      </w:r>
    </w:p>
    <w:p>
      <w:pPr>
        <w:spacing w:after="0" w:line="197" w:lineRule="exact"/>
        <w:rPr>
          <w:sz w:val="20"/>
          <w:szCs w:val="20"/>
          <w:color w:val="auto"/>
        </w:rPr>
      </w:pPr>
    </w:p>
    <w:p>
      <w:pPr>
        <w:ind w:left="200" w:hanging="197"/>
        <w:spacing w:after="0" w:line="277" w:lineRule="auto"/>
        <w:rPr>
          <w:sz w:val="20"/>
          <w:szCs w:val="20"/>
          <w:color w:val="auto"/>
        </w:rPr>
      </w:pPr>
      <w:r>
        <w:rPr>
          <w:rFonts w:ascii="Arial" w:cs="Arial" w:eastAsia="Arial" w:hAnsi="Arial"/>
          <w:sz w:val="18"/>
          <w:szCs w:val="18"/>
          <w:color w:val="auto"/>
        </w:rPr>
        <w:t>Weighted average number of common shares used to compute diluted earnings per share</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2600" w:type="dxa"/>
            <w:vAlign w:val="bottom"/>
            <w:gridSpan w:val="4"/>
          </w:tcPr>
          <w:p>
            <w:pPr>
              <w:jc w:val="center"/>
              <w:ind w:left="190"/>
              <w:spacing w:after="0"/>
              <w:rPr>
                <w:sz w:val="20"/>
                <w:szCs w:val="20"/>
                <w:color w:val="auto"/>
              </w:rPr>
            </w:pPr>
            <w:r>
              <w:rPr>
                <w:rFonts w:ascii="Arial" w:cs="Arial" w:eastAsia="Arial" w:hAnsi="Arial"/>
                <w:sz w:val="18"/>
                <w:szCs w:val="18"/>
                <w:b w:val="1"/>
                <w:bCs w:val="1"/>
                <w:color w:val="auto"/>
                <w:w w:val="92"/>
              </w:rPr>
              <w:t>Three Months Ended</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91"/>
              </w:rPr>
              <w:t>Nine Months Ended</w:t>
            </w:r>
          </w:p>
        </w:tc>
        <w:tc>
          <w:tcPr>
            <w:tcW w:w="860" w:type="dxa"/>
            <w:vAlign w:val="bottom"/>
          </w:tcPr>
          <w:p>
            <w:pPr>
              <w:spacing w:after="0"/>
              <w:rPr>
                <w:sz w:val="18"/>
                <w:szCs w:val="18"/>
                <w:color w:val="auto"/>
              </w:rPr>
            </w:pPr>
          </w:p>
        </w:tc>
      </w:tr>
      <w:tr>
        <w:trPr>
          <w:trHeight w:val="234"/>
        </w:trPr>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right="620"/>
              <w:spacing w:after="0"/>
              <w:rPr>
                <w:sz w:val="20"/>
                <w:szCs w:val="20"/>
                <w:color w:val="auto"/>
              </w:rPr>
            </w:pPr>
            <w:r>
              <w:rPr>
                <w:rFonts w:ascii="Arial" w:cs="Arial" w:eastAsia="Arial" w:hAnsi="Arial"/>
                <w:sz w:val="18"/>
                <w:szCs w:val="18"/>
                <w:b w:val="1"/>
                <w:bCs w:val="1"/>
                <w:color w:val="auto"/>
                <w:w w:val="89"/>
              </w:rPr>
              <w:t>September 30,</w:t>
            </w:r>
          </w:p>
        </w:tc>
        <w:tc>
          <w:tcPr>
            <w:tcW w:w="5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89"/>
              </w:rPr>
              <w:t>September 30,</w:t>
            </w:r>
          </w:p>
        </w:tc>
        <w:tc>
          <w:tcPr>
            <w:tcW w:w="860" w:type="dxa"/>
            <w:vAlign w:val="bottom"/>
            <w:tcBorders>
              <w:bottom w:val="single" w:sz="8" w:color="auto"/>
            </w:tcBorders>
          </w:tcPr>
          <w:p>
            <w:pPr>
              <w:spacing w:after="0"/>
              <w:rPr>
                <w:sz w:val="20"/>
                <w:szCs w:val="20"/>
                <w:color w:val="auto"/>
              </w:rPr>
            </w:pPr>
          </w:p>
        </w:tc>
      </w:tr>
      <w:tr>
        <w:trPr>
          <w:trHeight w:val="223"/>
        </w:trPr>
        <w:tc>
          <w:tcPr>
            <w:tcW w:w="2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2016</w:t>
            </w:r>
          </w:p>
        </w:tc>
        <w:tc>
          <w:tcPr>
            <w:tcW w:w="5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4"/>
              </w:rPr>
              <w:t>2016</w:t>
            </w:r>
          </w:p>
        </w:tc>
      </w:tr>
      <w:tr>
        <w:trPr>
          <w:trHeight w:val="228"/>
        </w:trPr>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2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w w:val="96"/>
              </w:rPr>
              <w:t>(In thousands)</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gridSpan w:val="3"/>
          </w:tcPr>
          <w:p>
            <w:pPr>
              <w:ind w:left="960"/>
              <w:spacing w:after="0"/>
              <w:rPr>
                <w:sz w:val="20"/>
                <w:szCs w:val="20"/>
                <w:color w:val="auto"/>
              </w:rPr>
            </w:pPr>
            <w:r>
              <w:rPr>
                <w:rFonts w:ascii="Arial" w:cs="Arial" w:eastAsia="Arial" w:hAnsi="Arial"/>
                <w:sz w:val="18"/>
                <w:szCs w:val="18"/>
                <w:b w:val="1"/>
                <w:bCs w:val="1"/>
                <w:color w:val="auto"/>
                <w:w w:val="96"/>
              </w:rPr>
              <w:t>(In thousands)</w:t>
            </w:r>
          </w:p>
        </w:tc>
        <w:tc>
          <w:tcPr>
            <w:tcW w:w="860" w:type="dxa"/>
            <w:vAlign w:val="bottom"/>
          </w:tcPr>
          <w:p>
            <w:pPr>
              <w:spacing w:after="0"/>
              <w:rPr>
                <w:sz w:val="19"/>
                <w:szCs w:val="19"/>
                <w:color w:val="auto"/>
              </w:rPr>
            </w:pPr>
          </w:p>
        </w:tc>
      </w:tr>
      <w:tr>
        <w:trPr>
          <w:trHeight w:val="630"/>
        </w:trPr>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22,473</w:t>
            </w:r>
          </w:p>
        </w:tc>
        <w:tc>
          <w:tcPr>
            <w:tcW w:w="88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23,894</w:t>
            </w:r>
          </w:p>
        </w:tc>
        <w:tc>
          <w:tcPr>
            <w:tcW w:w="240" w:type="dxa"/>
            <w:vAlign w:val="bottom"/>
          </w:tcPr>
          <w:p>
            <w:pPr>
              <w:spacing w:after="0"/>
              <w:rPr>
                <w:sz w:val="24"/>
                <w:szCs w:val="24"/>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23,019</w:t>
            </w: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24,574</w:t>
            </w:r>
          </w:p>
        </w:tc>
      </w:tr>
      <w:tr>
        <w:trPr>
          <w:trHeight w:val="662"/>
        </w:trPr>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4,306</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4,609</w:t>
            </w:r>
          </w:p>
        </w:tc>
        <w:tc>
          <w:tcPr>
            <w:tcW w:w="240" w:type="dxa"/>
            <w:vAlign w:val="bottom"/>
          </w:tcPr>
          <w:p>
            <w:pPr>
              <w:spacing w:after="0"/>
              <w:rPr>
                <w:sz w:val="24"/>
                <w:szCs w:val="24"/>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4,587</w:t>
            </w: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4,679</w:t>
            </w:r>
          </w:p>
        </w:tc>
      </w:tr>
      <w:tr>
        <w:trPr>
          <w:trHeight w:val="20"/>
        </w:trPr>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r>
        <w:trPr>
          <w:trHeight w:val="669"/>
        </w:trPr>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26,779</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28,503</w:t>
            </w:r>
          </w:p>
        </w:tc>
        <w:tc>
          <w:tcPr>
            <w:tcW w:w="240" w:type="dxa"/>
            <w:vAlign w:val="bottom"/>
          </w:tcPr>
          <w:p>
            <w:pPr>
              <w:spacing w:after="0"/>
              <w:rPr>
                <w:sz w:val="24"/>
                <w:szCs w:val="24"/>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27,606</w:t>
            </w: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29,253</w:t>
            </w:r>
          </w:p>
        </w:tc>
      </w:tr>
      <w:tr>
        <w:trPr>
          <w:trHeight w:val="20"/>
        </w:trPr>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-1156970</wp:posOffset>
            </wp:positionV>
            <wp:extent cx="7246620"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-745490</wp:posOffset>
            </wp:positionV>
            <wp:extent cx="7246620" cy="2832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-316865</wp:posOffset>
            </wp:positionV>
            <wp:extent cx="7246620" cy="3003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80" w:space="100"/>
            <w:col w:w="6840"/>
          </w:cols>
          <w:pgMar w:left="240" w:top="796" w:right="239" w:bottom="1440" w:gutter="0" w:footer="0" w:header="0"/>
          <w:type w:val="continuous"/>
        </w:sectPr>
      </w:pPr>
    </w:p>
    <w:p>
      <w:pPr>
        <w:spacing w:after="0" w:line="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anti-dilutive effects of common stock equivalents were considered, shares included in the diluted earnings per share calculation for the three-month and nine-month periods ended September 30, 2017 would have included an additional 9.7 million and 7.3 million shares, respectively attributable to the exercise of outstanding options and warrants. For the three-month and nine-month periods ended September 30, 2016, an additional 8.6 million and 7.7 million shares, respectively, would be included in the diluted earnings per share calculation.</w:t>
      </w:r>
    </w:p>
    <w:p>
      <w:pPr>
        <w:spacing w:after="0" w:line="187"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file numerous consolidated and separate income tax returns with the United States and with many states. With few exceptions, we are no longer subject to U.S. federal, state, or local examinations by tax authorities for years before 2013.</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of September 30, 2017 and December 31, 2016, we had no unrecognized tax benefits for uncertain tax positions. We do not anticipate that total unrecognized tax benefits will significantly change due to any settlements of audits or expirations of statutes of limitations over the next 12 months.</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judgments, significant weight is given to evidence that can be objectively verified. Although realization is not assured, we believe that the realization of the recognized net deferred tax asset of $47.7 million as of September 30, 2017 is more likely than not based on forecasted future net earnings. Our net deferred tax asset of $47.7 million consists of approximately $40.6 million of net U.S. federal deferred tax assets and $7.1 million of net state deferred tax assets.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Income tax expense was $3.4 million and $10.1 million for the three months and nine months ended September 30, 2017 and represents an effective income tax rate of 43%, compared to income tax expense of $5.1 million and $15.2 million for the three months and nine months ended September 30, 2016, and represents an effective income tax rate of and 41%.</w:t>
      </w:r>
    </w:p>
    <w:p>
      <w:pPr>
        <w:spacing w:after="0" w:line="181"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Consumer Litigation. </w:t>
      </w:r>
      <w:r>
        <w:rPr>
          <w:rFonts w:ascii="Arial" w:cs="Arial" w:eastAsia="Arial" w:hAnsi="Arial"/>
          <w:sz w:val="18"/>
          <w:szCs w:val="18"/>
          <w:color w:val="auto"/>
        </w:rPr>
        <w:t>We are routinely involved in various legal proceedings resulting from our consumer finance activities and practices, both</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and discontinued. Consumers can and do initiate lawsuits against us alleging violations of law applicable to collection of receivables, and such lawsuits sometimes allege that resolution as a class action is appropriate.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most part, we have legal and factual defenses to consumer claims, which we routinely contest or settle (for immaterial amounts) depending on the particular circumstances of each case.</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Department of Justice Subpoena. </w:t>
      </w:r>
      <w:r>
        <w:rPr>
          <w:rFonts w:ascii="Arial" w:cs="Arial" w:eastAsia="Arial" w:hAnsi="Arial"/>
          <w:sz w:val="17"/>
          <w:szCs w:val="17"/>
          <w:color w:val="auto"/>
        </w:rPr>
        <w:t>In January 2015, we were served with a subpoena by the U.S. Department of Justice (the “DOJ”) directing us to</w:t>
      </w:r>
      <w:r>
        <w:rPr>
          <w:rFonts w:ascii="Arial" w:cs="Arial" w:eastAsia="Arial" w:hAnsi="Arial"/>
          <w:sz w:val="17"/>
          <w:szCs w:val="17"/>
          <w:i w:val="1"/>
          <w:iCs w:val="1"/>
          <w:color w:val="auto"/>
        </w:rPr>
        <w:t xml:space="preserve"> </w:t>
      </w:r>
      <w:r>
        <w:rPr>
          <w:rFonts w:ascii="Arial" w:cs="Arial" w:eastAsia="Arial" w:hAnsi="Arial"/>
          <w:sz w:val="17"/>
          <w:szCs w:val="17"/>
          <w:color w:val="auto"/>
        </w:rPr>
        <w:t>produce certain documents relating to our and our subsidiaries’ and affiliates’ origination and securitization of sub-prime automobile contracts since 2005, in connection with an investigation by the DOJ in contemplation of a civil proceeding for potential violations of the Financial Institutions Reform, Recovery, and Enforcement Act of 1989. The DOJ in its investigation has requested information relating, among other matters, to the underwriting criteria used to originate these automobile contracts and to the representations and warranties relating to those underwriting criteria that were made in connection with the securitization of the automobile contracts. We are among several other securitizers of sub-prime automobile receivables who received such subpoenas in 2014, 2015 and 2016. We are investigating these matters internally and are cooperating with the DOJ. The investigation has continued through the date of this report with civil discovery. We are unaware of any material developments in the government’s investigation subsequent to its initiation. The investigation could in the future result in the imposition of damages, fines or civil or criminal claims and/or penalties. No assurance can be given as to the ultimate outcome of the investigation or any resulting proceeding(s), which might materially and adversely affect us.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In General</w:t>
      </w:r>
      <w:r>
        <w:rPr>
          <w:rFonts w:ascii="Arial" w:cs="Arial" w:eastAsia="Arial" w:hAnsi="Arial"/>
          <w:sz w:val="18"/>
          <w:szCs w:val="18"/>
          <w:color w:val="auto"/>
        </w:rPr>
        <w:t>. There can be no assurance as to the outcomes of the matters described or referenced above. We record at each measurement date, most</w:t>
      </w:r>
      <w:r>
        <w:rPr>
          <w:rFonts w:ascii="Arial" w:cs="Arial" w:eastAsia="Arial" w:hAnsi="Arial"/>
          <w:sz w:val="18"/>
          <w:szCs w:val="18"/>
          <w:i w:val="1"/>
          <w:iCs w:val="1"/>
          <w:color w:val="auto"/>
        </w:rPr>
        <w:t xml:space="preserve"> </w:t>
      </w:r>
      <w:r>
        <w:rPr>
          <w:rFonts w:ascii="Arial" w:cs="Arial" w:eastAsia="Arial" w:hAnsi="Arial"/>
          <w:sz w:val="18"/>
          <w:szCs w:val="18"/>
          <w:color w:val="auto"/>
        </w:rPr>
        <w:t>recently as of September 30, 2017, our best estimate of probable incurred losses for legal contingencies, including each of the matters described or referenced above. The amount of losses that may ultimately be incurred cannot be estimated with certainty. However, based on such information as is available to us, we believe that the range of reasonably possible losses for the legal proceedings and contingencies we face, including those described or referenced above, as of September 30, 2017 does not exceed $1 million.</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Accordingly, we believe that the ultimate resolution of such legal proceedings and contingencies should not have a material adverse effect on our consolidated financial condition. We note, however, that in light of the uncertainties inherent in contested proceedings, the wide discretion vested in the DOJ and other government agencies, and the deference that courts may give to assertions made by government litigants, there can be no assurance that the ultimate resolution of these matters will not be material to our operating results for a particular period, depending on, among other factors, the size of the loss or liability imposed and the level of our income for that period.</w:t>
      </w:r>
    </w:p>
    <w:p>
      <w:pPr>
        <w:spacing w:after="0" w:line="188"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Employee Benefits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March 8, 2002 we acquired MFN Financial Corporation and its subsidiaries in a merger. We sponsor the MFN Financial Corporation Benefit Plan (the “Plan”). Plan benefits were frozen June 30, 2001. The table below sets forth the Plan’s net periodic benefit cost for the three-month and nine-month periods ended September 30, 2017 and 2016.</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19"/>
                <w:szCs w:val="19"/>
                <w:color w:val="auto"/>
              </w:rPr>
            </w:pPr>
          </w:p>
        </w:tc>
        <w:tc>
          <w:tcPr>
            <w:tcW w:w="2680" w:type="dxa"/>
            <w:vAlign w:val="bottom"/>
            <w:gridSpan w:val="4"/>
          </w:tcPr>
          <w:p>
            <w:pPr>
              <w:jc w:val="center"/>
              <w:ind w:left="337"/>
              <w:spacing w:after="0"/>
              <w:rPr>
                <w:sz w:val="20"/>
                <w:szCs w:val="20"/>
                <w:color w:val="auto"/>
              </w:rPr>
            </w:pPr>
            <w:r>
              <w:rPr>
                <w:rFonts w:ascii="Arial" w:cs="Arial" w:eastAsia="Arial" w:hAnsi="Arial"/>
                <w:sz w:val="18"/>
                <w:szCs w:val="18"/>
                <w:b w:val="1"/>
                <w:bCs w:val="1"/>
                <w:color w:val="auto"/>
                <w:w w:val="90"/>
              </w:rPr>
              <w:t>Three Months Ended</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6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48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right="410"/>
              <w:spacing w:after="0"/>
              <w:rPr>
                <w:sz w:val="20"/>
                <w:szCs w:val="20"/>
                <w:color w:val="auto"/>
              </w:rPr>
            </w:pPr>
            <w:r>
              <w:rPr>
                <w:rFonts w:ascii="Arial" w:cs="Arial" w:eastAsia="Arial" w:hAnsi="Arial"/>
                <w:sz w:val="18"/>
                <w:szCs w:val="18"/>
                <w:b w:val="1"/>
                <w:bCs w:val="1"/>
                <w:color w:val="auto"/>
                <w:w w:val="89"/>
              </w:rPr>
              <w:t>September 30,</w:t>
            </w:r>
          </w:p>
        </w:tc>
        <w:tc>
          <w:tcPr>
            <w:tcW w:w="4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89"/>
              </w:rPr>
              <w:t>September 30,</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8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8"/>
        </w:trPr>
        <w:tc>
          <w:tcPr>
            <w:tcW w:w="4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60" w:type="dxa"/>
            <w:vAlign w:val="bottom"/>
            <w:gridSpan w:val="3"/>
          </w:tcPr>
          <w:p>
            <w:pPr>
              <w:jc w:val="center"/>
              <w:ind w:right="410"/>
              <w:spacing w:after="0"/>
              <w:rPr>
                <w:sz w:val="20"/>
                <w:szCs w:val="20"/>
                <w:color w:val="auto"/>
              </w:rPr>
            </w:pPr>
            <w:r>
              <w:rPr>
                <w:rFonts w:ascii="Arial" w:cs="Arial" w:eastAsia="Arial" w:hAnsi="Arial"/>
                <w:sz w:val="18"/>
                <w:szCs w:val="18"/>
                <w:b w:val="1"/>
                <w:bCs w:val="1"/>
                <w:color w:val="auto"/>
                <w:w w:val="88"/>
              </w:rPr>
              <w:t>(In thousands)</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90"/>
              </w:rPr>
              <w:t>(In thousands)</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14"/>
        </w:trPr>
        <w:tc>
          <w:tcPr>
            <w:tcW w:w="4820" w:type="dxa"/>
            <w:vAlign w:val="bottom"/>
          </w:tcPr>
          <w:p>
            <w:pPr>
              <w:spacing w:after="0"/>
              <w:rPr>
                <w:sz w:val="20"/>
                <w:szCs w:val="20"/>
                <w:color w:val="auto"/>
              </w:rPr>
            </w:pPr>
            <w:r>
              <w:rPr>
                <w:rFonts w:ascii="Arial" w:cs="Arial" w:eastAsia="Arial" w:hAnsi="Arial"/>
                <w:sz w:val="18"/>
                <w:szCs w:val="18"/>
                <w:b w:val="1"/>
                <w:bCs w:val="1"/>
                <w:color w:val="auto"/>
              </w:rPr>
              <w:t>Components of net periodic cost (benefit)</w:t>
            </w: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Service cost</w:t>
            </w:r>
          </w:p>
        </w:tc>
        <w:tc>
          <w:tcPr>
            <w:tcW w:w="920" w:type="dxa"/>
            <w:vAlign w:val="bottom"/>
            <w:shd w:val="clear" w:color="auto" w:fill="EEEEEE"/>
          </w:tcPr>
          <w:p>
            <w:pPr>
              <w:jc w:val="right"/>
              <w:ind w:right="757"/>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ind w:right="77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shd w:val="clear" w:color="auto" w:fill="EEEEEE"/>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Interest cost</w:t>
            </w:r>
          </w:p>
        </w:tc>
        <w:tc>
          <w:tcPr>
            <w:tcW w:w="9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214</w:t>
            </w:r>
          </w:p>
        </w:tc>
        <w:tc>
          <w:tcPr>
            <w:tcW w:w="96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221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642</w:t>
            </w:r>
          </w:p>
        </w:tc>
        <w:tc>
          <w:tcPr>
            <w:tcW w:w="4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663</w:t>
            </w:r>
          </w:p>
        </w:tc>
        <w:tc>
          <w:tcPr>
            <w:tcW w:w="80" w:type="dxa"/>
            <w:vAlign w:val="bottom"/>
          </w:tcPr>
          <w:p>
            <w:pPr>
              <w:spacing w:after="0"/>
              <w:rPr>
                <w:sz w:val="18"/>
                <w:szCs w:val="18"/>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Expected return on assets</w:t>
            </w:r>
          </w:p>
        </w:tc>
        <w:tc>
          <w:tcPr>
            <w:tcW w:w="9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(287)</w:t>
            </w:r>
          </w:p>
        </w:tc>
        <w:tc>
          <w:tcPr>
            <w:tcW w:w="96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(861)</w:t>
            </w:r>
          </w:p>
        </w:tc>
        <w:tc>
          <w:tcPr>
            <w:tcW w:w="44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(900)</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Amortization of transition (asset)/obligation</w:t>
            </w:r>
          </w:p>
        </w:tc>
        <w:tc>
          <w:tcPr>
            <w:tcW w:w="9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net (gain) / loss</w:t>
            </w:r>
          </w:p>
        </w:tc>
        <w:tc>
          <w:tcPr>
            <w:tcW w:w="920" w:type="dxa"/>
            <w:vAlign w:val="bottom"/>
            <w:shd w:val="clear" w:color="auto" w:fill="EEEEEE"/>
          </w:tcPr>
          <w:p>
            <w:pPr>
              <w:spacing w:after="0"/>
              <w:rPr>
                <w:sz w:val="19"/>
                <w:szCs w:val="19"/>
                <w:color w:val="auto"/>
              </w:rPr>
            </w:pPr>
          </w:p>
        </w:tc>
        <w:tc>
          <w:tcPr>
            <w:tcW w:w="8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101</w:t>
            </w:r>
          </w:p>
        </w:tc>
        <w:tc>
          <w:tcPr>
            <w:tcW w:w="960" w:type="dxa"/>
            <w:vAlign w:val="bottom"/>
            <w:shd w:val="clear" w:color="auto" w:fill="EEEEEE"/>
          </w:tcPr>
          <w:p>
            <w:pPr>
              <w:spacing w:after="0"/>
              <w:rPr>
                <w:sz w:val="19"/>
                <w:szCs w:val="19"/>
                <w:color w:val="auto"/>
              </w:rPr>
            </w:pPr>
          </w:p>
        </w:tc>
        <w:tc>
          <w:tcPr>
            <w:tcW w:w="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138</w:t>
            </w:r>
          </w:p>
        </w:tc>
        <w:tc>
          <w:tcPr>
            <w:tcW w:w="1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303</w:t>
            </w:r>
          </w:p>
        </w:tc>
        <w:tc>
          <w:tcPr>
            <w:tcW w:w="44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414</w:t>
            </w:r>
          </w:p>
        </w:tc>
        <w:tc>
          <w:tcPr>
            <w:tcW w:w="80" w:type="dxa"/>
            <w:vAlign w:val="bottom"/>
            <w:shd w:val="clear" w:color="auto" w:fill="EEEEEE"/>
          </w:tcPr>
          <w:p>
            <w:pPr>
              <w:spacing w:after="0"/>
              <w:rPr>
                <w:sz w:val="19"/>
                <w:szCs w:val="19"/>
                <w:color w:val="auto"/>
              </w:rPr>
            </w:pPr>
          </w:p>
        </w:tc>
      </w:tr>
      <w:tr>
        <w:trPr>
          <w:trHeight w:val="223"/>
        </w:trPr>
        <w:tc>
          <w:tcPr>
            <w:tcW w:w="4820" w:type="dxa"/>
            <w:vAlign w:val="bottom"/>
          </w:tcPr>
          <w:p>
            <w:pPr>
              <w:ind w:left="140"/>
              <w:spacing w:after="0"/>
              <w:rPr>
                <w:sz w:val="20"/>
                <w:szCs w:val="20"/>
                <w:color w:val="auto"/>
              </w:rPr>
            </w:pPr>
            <w:r>
              <w:rPr>
                <w:rFonts w:ascii="Arial" w:cs="Arial" w:eastAsia="Arial" w:hAnsi="Arial"/>
                <w:sz w:val="18"/>
                <w:szCs w:val="18"/>
                <w:color w:val="auto"/>
              </w:rPr>
              <w:t>Net periodic cost (benefit)</w:t>
            </w:r>
          </w:p>
        </w:tc>
        <w:tc>
          <w:tcPr>
            <w:tcW w:w="920" w:type="dxa"/>
            <w:vAlign w:val="bottom"/>
            <w:tcBorders>
              <w:top w:val="single" w:sz="8" w:color="auto"/>
              <w:bottom w:val="single" w:sz="8" w:color="auto"/>
            </w:tcBorders>
          </w:tcPr>
          <w:p>
            <w:pPr>
              <w:jc w:val="right"/>
              <w:ind w:right="75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3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did not make any contributions to the Plan during the nine-month periods ended September 30, 2017 and 2016. We do not anticipate making any contributions for the remainder of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Fair Value Measurements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would be separately disclosed by level within the fair value hierarchy.</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Repossessed vehicle inventory, which is included in Other assets on our unaudited condensed consolidated balance sheet, is measured at fair value using level 2 assumptions based on our actual loss experience on sale of repossessed vehicles. At September 30, 2017 the finance receivables related to the repossessed vehicles in inventory totaled $32.0 million. We have applied a valuation adjustment, or loss allowance, of $22.8 million, which is based on a recovery rate of approximately 29%, resulting in an estimated fair value and carrying amount of $9.2 million. The fair value and carrying amount of the repossessed inventory at December 31, 2016 was $11.1 million after applying a valuation adjustment of $28.9 million.</w:t>
      </w:r>
    </w:p>
    <w:p>
      <w:pPr>
        <w:spacing w:after="0" w:line="1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were no transfers in or out of level 1 or level 2 assets and liabilities for the three months ended September 30, 2017 and 2016. We have no material level 3 assets that are measured at fair value on a non-recurring basis.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gridSpan w:val="15"/>
          </w:tcPr>
          <w:p>
            <w:pPr>
              <w:ind w:left="660"/>
              <w:spacing w:after="0"/>
              <w:rPr>
                <w:sz w:val="20"/>
                <w:szCs w:val="20"/>
                <w:color w:val="auto"/>
              </w:rPr>
            </w:pPr>
            <w:r>
              <w:rPr>
                <w:rFonts w:ascii="Arial" w:cs="Arial" w:eastAsia="Arial" w:hAnsi="Arial"/>
                <w:sz w:val="18"/>
                <w:szCs w:val="18"/>
                <w:color w:val="auto"/>
                <w:w w:val="95"/>
              </w:rPr>
              <w:t>The estimated fair values of financial assets and liabilities at September 30, 2017 and December 31, 2016, were as follows: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4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7"/>
          </w:tcPr>
          <w:p>
            <w:pPr>
              <w:jc w:val="center"/>
              <w:ind w:left="610"/>
              <w:spacing w:after="0"/>
              <w:rPr>
                <w:sz w:val="20"/>
                <w:szCs w:val="20"/>
                <w:color w:val="auto"/>
              </w:rPr>
            </w:pPr>
            <w:r>
              <w:rPr>
                <w:rFonts w:ascii="Arial" w:cs="Arial" w:eastAsia="Arial" w:hAnsi="Arial"/>
                <w:sz w:val="18"/>
                <w:szCs w:val="18"/>
                <w:b w:val="1"/>
                <w:bCs w:val="1"/>
                <w:color w:val="auto"/>
                <w:w w:val="88"/>
              </w:rPr>
              <w:t>As of September 30, 2017</w:t>
            </w: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vMerge w:val="restart"/>
          </w:tcPr>
          <w:p>
            <w:pPr>
              <w:jc w:val="center"/>
              <w:ind w:right="500"/>
              <w:spacing w:after="0"/>
              <w:rPr>
                <w:sz w:val="20"/>
                <w:szCs w:val="20"/>
                <w:color w:val="auto"/>
              </w:rPr>
            </w:pPr>
            <w:r>
              <w:rPr>
                <w:rFonts w:ascii="Arial" w:cs="Arial" w:eastAsia="Arial" w:hAnsi="Arial"/>
                <w:sz w:val="18"/>
                <w:szCs w:val="18"/>
                <w:b w:val="1"/>
                <w:bCs w:val="1"/>
                <w:color w:val="auto"/>
                <w:w w:val="97"/>
              </w:rPr>
              <w:t>Carrying</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4"/>
          </w:tcPr>
          <w:p>
            <w:pPr>
              <w:jc w:val="center"/>
              <w:ind w:right="220"/>
              <w:spacing w:after="0" w:line="170" w:lineRule="exact"/>
              <w:rPr>
                <w:sz w:val="20"/>
                <w:szCs w:val="20"/>
                <w:color w:val="auto"/>
              </w:rPr>
            </w:pPr>
            <w:r>
              <w:rPr>
                <w:rFonts w:ascii="Arial" w:cs="Arial" w:eastAsia="Arial" w:hAnsi="Arial"/>
                <w:sz w:val="18"/>
                <w:szCs w:val="18"/>
                <w:b w:val="1"/>
                <w:bCs w:val="1"/>
                <w:color w:val="auto"/>
                <w:w w:val="90"/>
              </w:rPr>
              <w:t>(In thousands)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640" w:type="dxa"/>
            <w:vAlign w:val="bottom"/>
            <w:tcBorders>
              <w:top w:val="single" w:sz="8" w:color="auto"/>
            </w:tcBorders>
          </w:tcPr>
          <w:p>
            <w:pPr>
              <w:spacing w:after="0"/>
              <w:rPr>
                <w:sz w:val="21"/>
                <w:szCs w:val="21"/>
                <w:color w:val="auto"/>
              </w:rPr>
            </w:pPr>
          </w:p>
        </w:tc>
        <w:tc>
          <w:tcPr>
            <w:tcW w:w="2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4080" w:type="dxa"/>
            <w:vAlign w:val="bottom"/>
            <w:gridSpan w:val="9"/>
          </w:tcPr>
          <w:p>
            <w:pPr>
              <w:ind w:left="600"/>
              <w:spacing w:after="0"/>
              <w:rPr>
                <w:sz w:val="20"/>
                <w:szCs w:val="20"/>
                <w:color w:val="auto"/>
              </w:rPr>
            </w:pPr>
            <w:r>
              <w:rPr>
                <w:rFonts w:ascii="Arial" w:cs="Arial" w:eastAsia="Arial" w:hAnsi="Arial"/>
                <w:sz w:val="18"/>
                <w:szCs w:val="18"/>
                <w:b w:val="1"/>
                <w:bCs w:val="1"/>
                <w:color w:val="auto"/>
              </w:rPr>
              <w:t>Fair Value Measurements Using:</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9"/>
                <w:szCs w:val="19"/>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Level 1</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24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12,038</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12,038</w:t>
            </w:r>
          </w:p>
        </w:tc>
        <w:tc>
          <w:tcPr>
            <w:tcW w:w="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12,038</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Restricted cash and equivalents</w:t>
            </w:r>
          </w:p>
        </w:tc>
        <w:tc>
          <w:tcPr>
            <w:tcW w:w="1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115,026</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115,026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115,026</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2,209,108</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2,169,916</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2,169,916</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Accrued interest receivable</w:t>
            </w:r>
          </w:p>
        </w:tc>
        <w:tc>
          <w:tcPr>
            <w:tcW w:w="1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42,148</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42,148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42,148</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Warehouse lines of credit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106,632</w:t>
            </w:r>
          </w:p>
        </w:tc>
        <w:tc>
          <w:tcPr>
            <w:tcW w:w="3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106,632</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106,632</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payable</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4,401</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4,401</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4,401</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Securitization trust debt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2,103,567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2,117,841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2,117,841</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1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16,229</w:t>
            </w:r>
          </w:p>
        </w:tc>
        <w:tc>
          <w:tcPr>
            <w:tcW w:w="2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16,229</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16,229</w:t>
            </w:r>
          </w:p>
        </w:tc>
        <w:tc>
          <w:tcPr>
            <w:tcW w:w="0" w:type="dxa"/>
            <w:vAlign w:val="bottom"/>
          </w:tcPr>
          <w:p>
            <w:pPr>
              <w:spacing w:after="0"/>
              <w:rPr>
                <w:sz w:val="1"/>
                <w:szCs w:val="1"/>
                <w:color w:val="auto"/>
              </w:rPr>
            </w:pPr>
          </w:p>
        </w:tc>
      </w:tr>
      <w:tr>
        <w:trPr>
          <w:trHeight w:val="446"/>
        </w:trPr>
        <w:tc>
          <w:tcPr>
            <w:tcW w:w="4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center"/>
              <w:ind w:left="790"/>
              <w:spacing w:after="0"/>
              <w:rPr>
                <w:sz w:val="20"/>
                <w:szCs w:val="20"/>
                <w:color w:val="auto"/>
              </w:rPr>
            </w:pPr>
            <w:r>
              <w:rPr>
                <w:rFonts w:ascii="Arial" w:cs="Arial" w:eastAsia="Arial" w:hAnsi="Arial"/>
                <w:sz w:val="18"/>
                <w:szCs w:val="18"/>
                <w:b w:val="1"/>
                <w:bCs w:val="1"/>
                <w:color w:val="auto"/>
                <w:w w:val="89"/>
              </w:rPr>
              <w:t>As of December 31, 2016</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vMerge w:val="restart"/>
          </w:tcPr>
          <w:p>
            <w:pPr>
              <w:jc w:val="center"/>
              <w:ind w:right="500"/>
              <w:spacing w:after="0"/>
              <w:rPr>
                <w:sz w:val="20"/>
                <w:szCs w:val="20"/>
                <w:color w:val="auto"/>
              </w:rPr>
            </w:pPr>
            <w:r>
              <w:rPr>
                <w:rFonts w:ascii="Arial" w:cs="Arial" w:eastAsia="Arial" w:hAnsi="Arial"/>
                <w:sz w:val="18"/>
                <w:szCs w:val="18"/>
                <w:b w:val="1"/>
                <w:bCs w:val="1"/>
                <w:color w:val="auto"/>
                <w:w w:val="97"/>
              </w:rPr>
              <w:t>Carrying</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4"/>
          </w:tcPr>
          <w:p>
            <w:pPr>
              <w:jc w:val="center"/>
              <w:ind w:right="220"/>
              <w:spacing w:after="0" w:line="170" w:lineRule="exact"/>
              <w:rPr>
                <w:sz w:val="20"/>
                <w:szCs w:val="20"/>
                <w:color w:val="auto"/>
              </w:rPr>
            </w:pPr>
            <w:r>
              <w:rPr>
                <w:rFonts w:ascii="Arial" w:cs="Arial" w:eastAsia="Arial" w:hAnsi="Arial"/>
                <w:sz w:val="18"/>
                <w:szCs w:val="18"/>
                <w:b w:val="1"/>
                <w:bCs w:val="1"/>
                <w:color w:val="auto"/>
                <w:w w:val="90"/>
              </w:rPr>
              <w:t>(In thousands)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640" w:type="dxa"/>
            <w:vAlign w:val="bottom"/>
            <w:tcBorders>
              <w:top w:val="single" w:sz="8" w:color="auto"/>
            </w:tcBorders>
          </w:tcPr>
          <w:p>
            <w:pPr>
              <w:spacing w:after="0"/>
              <w:rPr>
                <w:sz w:val="21"/>
                <w:szCs w:val="21"/>
                <w:color w:val="auto"/>
              </w:rPr>
            </w:pPr>
          </w:p>
        </w:tc>
        <w:tc>
          <w:tcPr>
            <w:tcW w:w="2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4080" w:type="dxa"/>
            <w:vAlign w:val="bottom"/>
            <w:gridSpan w:val="9"/>
          </w:tcPr>
          <w:p>
            <w:pPr>
              <w:ind w:left="600"/>
              <w:spacing w:after="0"/>
              <w:rPr>
                <w:sz w:val="20"/>
                <w:szCs w:val="20"/>
                <w:color w:val="auto"/>
              </w:rPr>
            </w:pPr>
            <w:r>
              <w:rPr>
                <w:rFonts w:ascii="Arial" w:cs="Arial" w:eastAsia="Arial" w:hAnsi="Arial"/>
                <w:sz w:val="18"/>
                <w:szCs w:val="18"/>
                <w:b w:val="1"/>
                <w:bCs w:val="1"/>
                <w:color w:val="auto"/>
              </w:rPr>
              <w:t>Fair Value Measurements Using:</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9"/>
                <w:szCs w:val="19"/>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Level 1</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24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13,936</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13,936</w:t>
            </w:r>
          </w:p>
        </w:tc>
        <w:tc>
          <w:tcPr>
            <w:tcW w:w="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13,936</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Restricted cash and equivalents</w:t>
            </w:r>
          </w:p>
        </w:tc>
        <w:tc>
          <w:tcPr>
            <w:tcW w:w="1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112,754</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112,754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112,754</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2,172,365</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2,104,503</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2,104,503</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Accrued interest receivable</w:t>
            </w:r>
          </w:p>
        </w:tc>
        <w:tc>
          <w:tcPr>
            <w:tcW w:w="1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36,233</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36,233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36,233</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Warehouse lines of credit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103,358</w:t>
            </w:r>
          </w:p>
        </w:tc>
        <w:tc>
          <w:tcPr>
            <w:tcW w:w="3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103,358</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103,358</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payable</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3,715</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3,715</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3,715</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Securitization trust debt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2,080,900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2,138,892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2,138,892</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1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14,949</w:t>
            </w:r>
          </w:p>
        </w:tc>
        <w:tc>
          <w:tcPr>
            <w:tcW w:w="2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14,949</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14,949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summary presents a description of the methodologies and assumptions used to estimate the fair value of our financial instruments. Much of the information used to determine fair value is highly subjective. When applicable, readily available market information has been utilized. However, for a significant portion of our financial instruments, active markets do not exist. Therefore, significant elements of judgment were required in estimating fair value for certain items. The subjective factors include, among other things, the estimated timing and amount of cash flows, risk characteristics, credit quality and interest rates, all of which are subject to change. Since the fair value is estimated as of September 30, 2017 and December 31, 2016, the amounts that will actually be realized or paid at settlement or maturity of the instruments could be significantly different.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Cash, Cash Equivalents and Restricted Cash and Equivalents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value equals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net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fair value of finance receivables is estimated by discounting future cash flows expected to be collected using current rates at which similar receivables could be originated.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Interest Receivable and Payable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value approximates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Lines of Credit and Subordinated Renewable Notes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carrying value approximates fair value because the related interest rates are estimated to reflect current market conditions for similar types of secured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 Trust 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is estimated by discounting future cash flows using interest rates that we believe reflect the current market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b w:val="1"/>
          <w:bCs w:val="1"/>
          <w:i w:val="1"/>
          <w:iCs w:val="1"/>
          <w:color w:val="auto"/>
        </w:rPr>
        <w:t>.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low incomes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have also (i) acquired installment purchase contracts in four merger and acquisition transactions, (ii) purchased immaterial amounts of vehicle purchase money loans from non-affiliated lenders, and (iii) directly originated an immaterial amount of vehicle purchase money loans by lending money directly to consumers. In this report, we refer to all of such contracts and loans as "automobile contracts."</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were incorporated and began our operations in March 1991. From inception through September 30, 2017, we have originated a total of approximately $13.9 billion of automobile contracts, primarily by purchasing retail installment sales contracts from dealers, and to a lesser degree, by originating loans secured by automobiles directly with consumers. In addition, we acquired a total of approximately $822.3 million of automobile contracts in mergers and acquisitions in 2002, 2003, 2004 and, most recently, in September 2011. The September 2011 acquisition consisted of approximately $217.8 million of automobile contracts that we purchased from Fireside Bank of Pleasanton, California. In 2004 and 2009, we were appointed as a third-party servicer for certain portfolios of automobile contracts originated and owned by non-affiliated entities. Recent contract purchase volumes and managed portfolio levels are shown in the table below:</w:t>
      </w:r>
    </w:p>
    <w:p>
      <w:pPr>
        <w:spacing w:after="0" w:line="185"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6220" w:type="dxa"/>
            <w:vAlign w:val="bottom"/>
            <w:gridSpan w:val="5"/>
          </w:tcPr>
          <w:p>
            <w:pPr>
              <w:ind w:left="1760"/>
              <w:spacing w:after="0"/>
              <w:rPr>
                <w:sz w:val="20"/>
                <w:szCs w:val="20"/>
                <w:color w:val="auto"/>
              </w:rPr>
            </w:pPr>
            <w:r>
              <w:rPr>
                <w:rFonts w:ascii="Arial" w:cs="Arial" w:eastAsia="Arial" w:hAnsi="Arial"/>
                <w:sz w:val="18"/>
                <w:szCs w:val="18"/>
                <w:b w:val="1"/>
                <w:bCs w:val="1"/>
                <w:color w:val="auto"/>
                <w:w w:val="92"/>
              </w:rPr>
              <w:t>Contract Purchases and Outstanding Managed Portfolio</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4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20" w:type="dxa"/>
            <w:vAlign w:val="bottom"/>
            <w:gridSpan w:val="5"/>
          </w:tcPr>
          <w:p>
            <w:pPr>
              <w:ind w:left="100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4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2"/>
          </w:tcPr>
          <w:p>
            <w:pPr>
              <w:jc w:val="center"/>
              <w:ind w:right="540"/>
              <w:spacing w:after="0" w:line="191" w:lineRule="exact"/>
              <w:rPr>
                <w:sz w:val="20"/>
                <w:szCs w:val="20"/>
                <w:color w:val="auto"/>
              </w:rPr>
            </w:pPr>
            <w:r>
              <w:rPr>
                <w:rFonts w:ascii="Arial" w:cs="Arial" w:eastAsia="Arial" w:hAnsi="Arial"/>
                <w:sz w:val="18"/>
                <w:szCs w:val="18"/>
                <w:b w:val="1"/>
                <w:bCs w:val="1"/>
                <w:color w:val="auto"/>
                <w:w w:val="90"/>
              </w:rPr>
              <w:t>Contracts</w:t>
            </w:r>
          </w:p>
        </w:tc>
        <w:tc>
          <w:tcPr>
            <w:tcW w:w="2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ind w:right="90"/>
              <w:spacing w:after="0" w:line="191" w:lineRule="exact"/>
              <w:rPr>
                <w:sz w:val="20"/>
                <w:szCs w:val="20"/>
                <w:color w:val="auto"/>
              </w:rPr>
            </w:pPr>
            <w:r>
              <w:rPr>
                <w:rFonts w:ascii="Arial" w:cs="Arial" w:eastAsia="Arial" w:hAnsi="Arial"/>
                <w:sz w:val="18"/>
                <w:szCs w:val="18"/>
                <w:b w:val="1"/>
                <w:bCs w:val="1"/>
                <w:color w:val="auto"/>
                <w:w w:val="92"/>
              </w:rPr>
              <w:t>Managed</w:t>
            </w:r>
          </w:p>
        </w:tc>
        <w:tc>
          <w:tcPr>
            <w:tcW w:w="100" w:type="dxa"/>
            <w:vAlign w:val="bottom"/>
          </w:tcPr>
          <w:p>
            <w:pPr>
              <w:spacing w:after="0"/>
              <w:rPr>
                <w:sz w:val="16"/>
                <w:szCs w:val="16"/>
                <w:color w:val="auto"/>
              </w:rPr>
            </w:pPr>
          </w:p>
        </w:tc>
      </w:tr>
      <w:tr>
        <w:trPr>
          <w:trHeight w:val="216"/>
        </w:trPr>
        <w:tc>
          <w:tcPr>
            <w:tcW w:w="4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6"/>
              </w:rPr>
              <w:t>Purchased</w:t>
            </w:r>
          </w:p>
        </w:tc>
        <w:tc>
          <w:tcPr>
            <w:tcW w:w="20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Portfolio</w:t>
            </w:r>
          </w:p>
        </w:tc>
      </w:tr>
      <w:tr>
        <w:trPr>
          <w:trHeight w:val="234"/>
        </w:trPr>
        <w:tc>
          <w:tcPr>
            <w:tcW w:w="4320" w:type="dxa"/>
            <w:vAlign w:val="bottom"/>
            <w:gridSpan w:val="2"/>
          </w:tcPr>
          <w:p>
            <w:pPr>
              <w:ind w:left="1740"/>
              <w:spacing w:after="0"/>
              <w:rPr>
                <w:sz w:val="20"/>
                <w:szCs w:val="20"/>
                <w:color w:val="auto"/>
              </w:rPr>
            </w:pPr>
            <w:r>
              <w:rPr>
                <w:rFonts w:ascii="Arial" w:cs="Arial" w:eastAsia="Arial" w:hAnsi="Arial"/>
                <w:sz w:val="18"/>
                <w:szCs w:val="18"/>
                <w:b w:val="1"/>
                <w:bCs w:val="1"/>
                <w:color w:val="auto"/>
              </w:rPr>
              <w:t>Period</w:t>
            </w:r>
          </w:p>
        </w:tc>
        <w:tc>
          <w:tcPr>
            <w:tcW w:w="240" w:type="dxa"/>
            <w:vAlign w:val="bottom"/>
          </w:tcPr>
          <w:p>
            <w:pPr>
              <w:spacing w:after="0"/>
              <w:rPr>
                <w:sz w:val="20"/>
                <w:szCs w:val="20"/>
                <w:color w:val="auto"/>
              </w:rPr>
            </w:pPr>
          </w:p>
        </w:tc>
        <w:tc>
          <w:tcPr>
            <w:tcW w:w="16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0"/>
              </w:rPr>
              <w:t>in Period</w:t>
            </w:r>
          </w:p>
        </w:tc>
        <w:tc>
          <w:tcPr>
            <w:tcW w:w="200" w:type="dxa"/>
            <w:vAlign w:val="bottom"/>
          </w:tcPr>
          <w:p>
            <w:pPr>
              <w:spacing w:after="0"/>
              <w:rPr>
                <w:sz w:val="20"/>
                <w:szCs w:val="20"/>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at Period End</w:t>
            </w:r>
          </w:p>
        </w:tc>
      </w:tr>
      <w:tr>
        <w:trPr>
          <w:trHeight w:val="210"/>
        </w:trPr>
        <w:tc>
          <w:tcPr>
            <w:tcW w:w="400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333333"/>
                <w:w w:val="89"/>
              </w:rPr>
              <w:t>2008</w:t>
            </w:r>
          </w:p>
        </w:tc>
        <w:tc>
          <w:tcPr>
            <w:tcW w:w="3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296,817</w:t>
            </w:r>
          </w:p>
        </w:tc>
        <w:tc>
          <w:tcPr>
            <w:tcW w:w="30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1,664,122</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4000" w:type="dxa"/>
            <w:vAlign w:val="bottom"/>
          </w:tcPr>
          <w:p>
            <w:pPr>
              <w:jc w:val="center"/>
              <w:spacing w:after="0"/>
              <w:rPr>
                <w:sz w:val="20"/>
                <w:szCs w:val="20"/>
                <w:color w:val="auto"/>
              </w:rPr>
            </w:pPr>
            <w:r>
              <w:rPr>
                <w:rFonts w:ascii="Arial" w:cs="Arial" w:eastAsia="Arial" w:hAnsi="Arial"/>
                <w:sz w:val="18"/>
                <w:szCs w:val="18"/>
                <w:color w:val="333333"/>
                <w:w w:val="89"/>
              </w:rPr>
              <w:t>2009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8,599</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1,194,722</w:t>
            </w:r>
          </w:p>
        </w:tc>
      </w:tr>
      <w:tr>
        <w:trPr>
          <w:trHeight w:val="216"/>
        </w:trPr>
        <w:tc>
          <w:tcPr>
            <w:tcW w:w="400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2010</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113,023</w:t>
            </w:r>
          </w:p>
        </w:tc>
        <w:tc>
          <w:tcPr>
            <w:tcW w:w="20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756,203</w:t>
            </w:r>
          </w:p>
        </w:tc>
      </w:tr>
      <w:tr>
        <w:trPr>
          <w:trHeight w:val="216"/>
        </w:trPr>
        <w:tc>
          <w:tcPr>
            <w:tcW w:w="4000" w:type="dxa"/>
            <w:vAlign w:val="bottom"/>
          </w:tcPr>
          <w:p>
            <w:pPr>
              <w:jc w:val="center"/>
              <w:ind w:left="10"/>
              <w:spacing w:after="0"/>
              <w:rPr>
                <w:sz w:val="20"/>
                <w:szCs w:val="20"/>
                <w:color w:val="auto"/>
              </w:rPr>
            </w:pPr>
            <w:r>
              <w:rPr>
                <w:rFonts w:ascii="Arial" w:cs="Arial" w:eastAsia="Arial" w:hAnsi="Arial"/>
                <w:sz w:val="18"/>
                <w:szCs w:val="18"/>
                <w:color w:val="333333"/>
                <w:w w:val="84"/>
              </w:rPr>
              <w:t>2011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284,236</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794,649</w:t>
            </w:r>
          </w:p>
        </w:tc>
      </w:tr>
      <w:tr>
        <w:trPr>
          <w:trHeight w:val="216"/>
        </w:trPr>
        <w:tc>
          <w:tcPr>
            <w:tcW w:w="400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2012</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551,742</w:t>
            </w:r>
          </w:p>
        </w:tc>
        <w:tc>
          <w:tcPr>
            <w:tcW w:w="20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897,575</w:t>
            </w:r>
          </w:p>
        </w:tc>
      </w:tr>
      <w:tr>
        <w:trPr>
          <w:trHeight w:val="216"/>
        </w:trPr>
        <w:tc>
          <w:tcPr>
            <w:tcW w:w="4000" w:type="dxa"/>
            <w:vAlign w:val="bottom"/>
          </w:tcPr>
          <w:p>
            <w:pPr>
              <w:jc w:val="center"/>
              <w:spacing w:after="0"/>
              <w:rPr>
                <w:sz w:val="20"/>
                <w:szCs w:val="20"/>
                <w:color w:val="auto"/>
              </w:rPr>
            </w:pPr>
            <w:r>
              <w:rPr>
                <w:rFonts w:ascii="Arial" w:cs="Arial" w:eastAsia="Arial" w:hAnsi="Arial"/>
                <w:sz w:val="18"/>
                <w:szCs w:val="18"/>
                <w:color w:val="333333"/>
                <w:w w:val="89"/>
              </w:rPr>
              <w:t>2013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764,087</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1,231,422</w:t>
            </w:r>
          </w:p>
        </w:tc>
      </w:tr>
      <w:tr>
        <w:trPr>
          <w:trHeight w:val="216"/>
        </w:trPr>
        <w:tc>
          <w:tcPr>
            <w:tcW w:w="400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2014</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944,944</w:t>
            </w:r>
          </w:p>
        </w:tc>
        <w:tc>
          <w:tcPr>
            <w:tcW w:w="20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1,643,920</w:t>
            </w:r>
          </w:p>
        </w:tc>
      </w:tr>
      <w:tr>
        <w:trPr>
          <w:trHeight w:val="216"/>
        </w:trPr>
        <w:tc>
          <w:tcPr>
            <w:tcW w:w="4000" w:type="dxa"/>
            <w:vAlign w:val="bottom"/>
          </w:tcPr>
          <w:p>
            <w:pPr>
              <w:jc w:val="center"/>
              <w:spacing w:after="0"/>
              <w:rPr>
                <w:sz w:val="20"/>
                <w:szCs w:val="20"/>
                <w:color w:val="auto"/>
              </w:rPr>
            </w:pPr>
            <w:r>
              <w:rPr>
                <w:rFonts w:ascii="Arial" w:cs="Arial" w:eastAsia="Arial" w:hAnsi="Arial"/>
                <w:sz w:val="18"/>
                <w:szCs w:val="18"/>
                <w:color w:val="333333"/>
                <w:w w:val="89"/>
              </w:rPr>
              <w:t>2015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1,060,538</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2,031,136</w:t>
            </w:r>
          </w:p>
        </w:tc>
      </w:tr>
      <w:tr>
        <w:trPr>
          <w:trHeight w:val="216"/>
        </w:trPr>
        <w:tc>
          <w:tcPr>
            <w:tcW w:w="400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2016</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1,088,785</w:t>
            </w:r>
          </w:p>
        </w:tc>
        <w:tc>
          <w:tcPr>
            <w:tcW w:w="20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2,308,070</w:t>
            </w:r>
          </w:p>
        </w:tc>
      </w:tr>
      <w:tr>
        <w:trPr>
          <w:trHeight w:val="230"/>
        </w:trPr>
        <w:tc>
          <w:tcPr>
            <w:tcW w:w="43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Nine months ended September 30, 2017</w:t>
            </w:r>
          </w:p>
        </w:tc>
        <w:tc>
          <w:tcPr>
            <w:tcW w:w="240" w:type="dxa"/>
            <w:vAlign w:val="bottom"/>
          </w:tcPr>
          <w:p>
            <w:pPr>
              <w:spacing w:after="0"/>
              <w:rPr>
                <w:sz w:val="20"/>
                <w:szCs w:val="20"/>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668,284</w:t>
            </w:r>
          </w:p>
        </w:tc>
        <w:tc>
          <w:tcPr>
            <w:tcW w:w="200" w:type="dxa"/>
            <w:vAlign w:val="bottom"/>
          </w:tcPr>
          <w:p>
            <w:pPr>
              <w:spacing w:after="0"/>
              <w:rPr>
                <w:sz w:val="20"/>
                <w:szCs w:val="20"/>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2,345,998</w:t>
            </w:r>
          </w:p>
        </w:tc>
      </w:tr>
    </w:tbl>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principal executive offices are in Las Vegas, Nevada. Most of our operational and administrative functions take place in Irvine, California. Credit and underwriting functions are performed primarily in that California branch with certain of these functions also performed in our Florida and Nevada branches. We service our automobile contracts from our California, Nevada, Virginia, Florida and Illinois branches.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programs we offer to dealers and consumers are intended to serve a wide range of sub-prime customers, primarily through franchised new car dealers. We originate automobile contracts with the intention of financing them on a long-term basis through securitizations. Securitizations are transactions in which we sell a specified pool of contracts to a special purpose subsidiary of ours, which in turn issues asset-backed securities to fund the purchase of the pool of contracts from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Securitization and Warehouse Credit Facilities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0" w:name="page21"/>
    <w:bookmarkEnd w:id="20"/>
    <w:p>
      <w:pPr>
        <w:jc w:val="both"/>
        <w:ind w:firstLine="648"/>
        <w:spacing w:after="0" w:line="259" w:lineRule="auto"/>
        <w:rPr>
          <w:sz w:val="20"/>
          <w:szCs w:val="20"/>
          <w:color w:val="auto"/>
        </w:rPr>
      </w:pPr>
      <w:r>
        <w:rPr>
          <w:rFonts w:ascii="Arial" w:cs="Arial" w:eastAsia="Arial" w:hAnsi="Arial"/>
          <w:sz w:val="18"/>
          <w:szCs w:val="18"/>
          <w:color w:val="auto"/>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(ii) recognize interest expense on the securities issued in the transaction and (iii) record as expense a provision for credit losses on the contracts.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Since 1994 we have conducted 75 term securitizations of automobile contracts that we originated. As of September 30, 2017, 18 of those securitizations are active and all are structured as secured financings. From 1994 through April 2008 we generally utilized financial guarantees for the senior asset-backed notes issued in the securitization. Since September 2010 we have utilized senior subordinated structures without any financial guarantees. We have generally conducted our securitizations on a quarterly basis, near the end of each calendar quarter, resulting in four securitizations per calendar year. However, in 2015, we elected to defer what would have been our December securitization in favor of a securitization in January 2016, and since that time have generally conducted our securitizations near the beginning of each calendar quarter.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history of term securitizations, over the most recent ten years, is summarized in the table below:</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590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Recent Asset-Backed Term Securitizations</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3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00" w:type="dxa"/>
            <w:vAlign w:val="bottom"/>
            <w:gridSpan w:val="5"/>
          </w:tcPr>
          <w:p>
            <w:pPr>
              <w:ind w:left="128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3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Number of</w:t>
            </w:r>
          </w:p>
        </w:tc>
        <w:tc>
          <w:tcPr>
            <w:tcW w:w="3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86"/>
              </w:rPr>
              <w:t>Receivables</w:t>
            </w:r>
          </w:p>
        </w:tc>
        <w:tc>
          <w:tcPr>
            <w:tcW w:w="100" w:type="dxa"/>
            <w:vAlign w:val="bottom"/>
          </w:tcPr>
          <w:p>
            <w:pPr>
              <w:spacing w:after="0"/>
              <w:rPr>
                <w:sz w:val="16"/>
                <w:szCs w:val="16"/>
                <w:color w:val="auto"/>
              </w:rPr>
            </w:pPr>
          </w:p>
        </w:tc>
      </w:tr>
      <w:tr>
        <w:trPr>
          <w:trHeight w:val="216"/>
        </w:trPr>
        <w:tc>
          <w:tcPr>
            <w:tcW w:w="3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5"/>
              </w:rPr>
              <w:t>Term</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Pledged in Term</w:t>
            </w:r>
          </w:p>
        </w:tc>
      </w:tr>
      <w:tr>
        <w:trPr>
          <w:trHeight w:val="234"/>
        </w:trPr>
        <w:tc>
          <w:tcPr>
            <w:tcW w:w="4280" w:type="dxa"/>
            <w:vAlign w:val="bottom"/>
            <w:gridSpan w:val="2"/>
          </w:tcPr>
          <w:p>
            <w:pPr>
              <w:ind w:left="1740"/>
              <w:spacing w:after="0"/>
              <w:rPr>
                <w:sz w:val="20"/>
                <w:szCs w:val="20"/>
                <w:color w:val="auto"/>
              </w:rPr>
            </w:pPr>
            <w:r>
              <w:rPr>
                <w:rFonts w:ascii="Arial" w:cs="Arial" w:eastAsia="Arial" w:hAnsi="Arial"/>
                <w:sz w:val="18"/>
                <w:szCs w:val="18"/>
                <w:b w:val="1"/>
                <w:bCs w:val="1"/>
                <w:color w:val="auto"/>
              </w:rPr>
              <w:t>Period</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8"/>
              </w:rPr>
              <w:t>Securitizations</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Securitizations</w:t>
            </w:r>
          </w:p>
        </w:tc>
      </w:tr>
      <w:tr>
        <w:trPr>
          <w:trHeight w:val="210"/>
        </w:trPr>
        <w:tc>
          <w:tcPr>
            <w:tcW w:w="3980" w:type="dxa"/>
            <w:vAlign w:val="bottom"/>
            <w:tcBorders>
              <w:top w:val="single" w:sz="8" w:color="auto"/>
            </w:tcBorders>
            <w:shd w:val="clear" w:color="auto" w:fill="EEEEEE"/>
          </w:tcPr>
          <w:p>
            <w:pPr>
              <w:jc w:val="center"/>
              <w:ind w:left="10"/>
              <w:spacing w:after="0"/>
              <w:rPr>
                <w:sz w:val="20"/>
                <w:szCs w:val="20"/>
                <w:color w:val="auto"/>
              </w:rPr>
            </w:pPr>
            <w:r>
              <w:rPr>
                <w:rFonts w:ascii="Arial" w:cs="Arial" w:eastAsia="Arial" w:hAnsi="Arial"/>
                <w:sz w:val="18"/>
                <w:szCs w:val="18"/>
                <w:color w:val="333333"/>
                <w:w w:val="89"/>
              </w:rPr>
              <w:t>2006</w:t>
            </w:r>
          </w:p>
        </w:tc>
        <w:tc>
          <w:tcPr>
            <w:tcW w:w="300" w:type="dxa"/>
            <w:vAlign w:val="bottom"/>
            <w:tcBorders>
              <w:top w:val="single" w:sz="8" w:color="EEEEEE"/>
            </w:tcBorders>
            <w:shd w:val="clear" w:color="auto" w:fill="EEEEEE"/>
          </w:tcPr>
          <w:p>
            <w:pPr>
              <w:spacing w:after="0"/>
              <w:rPr>
                <w:sz w:val="18"/>
                <w:szCs w:val="18"/>
                <w:color w:val="auto"/>
              </w:rPr>
            </w:pPr>
          </w:p>
        </w:tc>
        <w:tc>
          <w:tcPr>
            <w:tcW w:w="1620" w:type="dxa"/>
            <w:vAlign w:val="bottom"/>
            <w:tcBorders>
              <w:top w:val="single" w:sz="8" w:color="auto"/>
            </w:tcBorders>
            <w:shd w:val="clear" w:color="auto" w:fill="EEEEEE"/>
          </w:tcPr>
          <w:p>
            <w:pPr>
              <w:jc w:val="right"/>
              <w:ind w:right="610"/>
              <w:spacing w:after="0"/>
              <w:rPr>
                <w:sz w:val="20"/>
                <w:szCs w:val="20"/>
                <w:color w:val="auto"/>
              </w:rPr>
            </w:pPr>
            <w:r>
              <w:rPr>
                <w:rFonts w:ascii="Arial" w:cs="Arial" w:eastAsia="Arial" w:hAnsi="Arial"/>
                <w:sz w:val="18"/>
                <w:szCs w:val="18"/>
                <w:color w:val="auto"/>
              </w:rPr>
              <w:t>4</w:t>
            </w:r>
          </w:p>
        </w:tc>
        <w:tc>
          <w:tcPr>
            <w:tcW w:w="3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957,681</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3980" w:type="dxa"/>
            <w:vAlign w:val="bottom"/>
          </w:tcPr>
          <w:p>
            <w:pPr>
              <w:jc w:val="center"/>
              <w:ind w:left="10"/>
              <w:spacing w:after="0"/>
              <w:rPr>
                <w:sz w:val="20"/>
                <w:szCs w:val="20"/>
                <w:color w:val="auto"/>
              </w:rPr>
            </w:pPr>
            <w:r>
              <w:rPr>
                <w:rFonts w:ascii="Arial" w:cs="Arial" w:eastAsia="Arial" w:hAnsi="Arial"/>
                <w:sz w:val="18"/>
                <w:szCs w:val="18"/>
                <w:color w:val="333333"/>
                <w:w w:val="89"/>
              </w:rPr>
              <w:t>2007</w:t>
            </w:r>
          </w:p>
        </w:tc>
        <w:tc>
          <w:tcPr>
            <w:tcW w:w="300" w:type="dxa"/>
            <w:vAlign w:val="bottom"/>
          </w:tcPr>
          <w:p>
            <w:pPr>
              <w:spacing w:after="0"/>
              <w:rPr>
                <w:sz w:val="18"/>
                <w:szCs w:val="18"/>
                <w:color w:val="auto"/>
              </w:rPr>
            </w:pPr>
          </w:p>
        </w:tc>
        <w:tc>
          <w:tcPr>
            <w:tcW w:w="1620" w:type="dxa"/>
            <w:vAlign w:val="bottom"/>
          </w:tcPr>
          <w:p>
            <w:pPr>
              <w:jc w:val="right"/>
              <w:ind w:right="61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1,118,097</w:t>
            </w:r>
          </w:p>
        </w:tc>
      </w:tr>
      <w:tr>
        <w:trPr>
          <w:trHeight w:val="216"/>
        </w:trPr>
        <w:tc>
          <w:tcPr>
            <w:tcW w:w="398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333333"/>
                <w:w w:val="89"/>
              </w:rPr>
              <w:t>2008</w:t>
            </w:r>
          </w:p>
        </w:tc>
        <w:tc>
          <w:tcPr>
            <w:tcW w:w="300" w:type="dxa"/>
            <w:vAlign w:val="bottom"/>
            <w:shd w:val="clear" w:color="auto" w:fill="EEEEEE"/>
          </w:tcPr>
          <w:p>
            <w:pPr>
              <w:spacing w:after="0"/>
              <w:rPr>
                <w:sz w:val="18"/>
                <w:szCs w:val="18"/>
                <w:color w:val="auto"/>
              </w:rPr>
            </w:pPr>
          </w:p>
        </w:tc>
        <w:tc>
          <w:tcPr>
            <w:tcW w:w="1620" w:type="dxa"/>
            <w:vAlign w:val="bottom"/>
            <w:shd w:val="clear" w:color="auto" w:fill="EEEEEE"/>
          </w:tcPr>
          <w:p>
            <w:pPr>
              <w:jc w:val="right"/>
              <w:ind w:right="610"/>
              <w:spacing w:after="0"/>
              <w:rPr>
                <w:sz w:val="20"/>
                <w:szCs w:val="20"/>
                <w:color w:val="auto"/>
              </w:rPr>
            </w:pPr>
            <w:r>
              <w:rPr>
                <w:rFonts w:ascii="Arial" w:cs="Arial" w:eastAsia="Arial" w:hAnsi="Arial"/>
                <w:sz w:val="18"/>
                <w:szCs w:val="18"/>
                <w:color w:val="auto"/>
              </w:rPr>
              <w:t>2</w:t>
            </w: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509,022</w:t>
            </w:r>
          </w:p>
        </w:tc>
      </w:tr>
      <w:tr>
        <w:trPr>
          <w:trHeight w:val="216"/>
        </w:trPr>
        <w:tc>
          <w:tcPr>
            <w:tcW w:w="3980" w:type="dxa"/>
            <w:vAlign w:val="bottom"/>
          </w:tcPr>
          <w:p>
            <w:pPr>
              <w:jc w:val="center"/>
              <w:ind w:left="10"/>
              <w:spacing w:after="0"/>
              <w:rPr>
                <w:sz w:val="20"/>
                <w:szCs w:val="20"/>
                <w:color w:val="auto"/>
              </w:rPr>
            </w:pPr>
            <w:r>
              <w:rPr>
                <w:rFonts w:ascii="Arial" w:cs="Arial" w:eastAsia="Arial" w:hAnsi="Arial"/>
                <w:sz w:val="18"/>
                <w:szCs w:val="18"/>
                <w:color w:val="333333"/>
                <w:w w:val="89"/>
              </w:rPr>
              <w:t>2009</w:t>
            </w:r>
          </w:p>
        </w:tc>
        <w:tc>
          <w:tcPr>
            <w:tcW w:w="300" w:type="dxa"/>
            <w:vAlign w:val="bottom"/>
          </w:tcPr>
          <w:p>
            <w:pPr>
              <w:spacing w:after="0"/>
              <w:rPr>
                <w:sz w:val="18"/>
                <w:szCs w:val="18"/>
                <w:color w:val="auto"/>
              </w:rPr>
            </w:pPr>
          </w:p>
        </w:tc>
        <w:tc>
          <w:tcPr>
            <w:tcW w:w="1620" w:type="dxa"/>
            <w:vAlign w:val="bottom"/>
          </w:tcPr>
          <w:p>
            <w:pPr>
              <w:jc w:val="right"/>
              <w:ind w:right="610"/>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333333"/>
                <w:w w:val="89"/>
              </w:rPr>
              <w:t>2010</w:t>
            </w:r>
          </w:p>
        </w:tc>
        <w:tc>
          <w:tcPr>
            <w:tcW w:w="300" w:type="dxa"/>
            <w:vAlign w:val="bottom"/>
            <w:shd w:val="clear" w:color="auto" w:fill="EEEEEE"/>
          </w:tcPr>
          <w:p>
            <w:pPr>
              <w:spacing w:after="0"/>
              <w:rPr>
                <w:sz w:val="18"/>
                <w:szCs w:val="18"/>
                <w:color w:val="auto"/>
              </w:rPr>
            </w:pPr>
          </w:p>
        </w:tc>
        <w:tc>
          <w:tcPr>
            <w:tcW w:w="1620" w:type="dxa"/>
            <w:vAlign w:val="bottom"/>
            <w:shd w:val="clear" w:color="auto" w:fill="EEEEEE"/>
          </w:tcPr>
          <w:p>
            <w:pPr>
              <w:jc w:val="right"/>
              <w:ind w:right="610"/>
              <w:spacing w:after="0"/>
              <w:rPr>
                <w:sz w:val="20"/>
                <w:szCs w:val="20"/>
                <w:color w:val="auto"/>
              </w:rPr>
            </w:pPr>
            <w:r>
              <w:rPr>
                <w:rFonts w:ascii="Arial" w:cs="Arial" w:eastAsia="Arial" w:hAnsi="Arial"/>
                <w:sz w:val="18"/>
                <w:szCs w:val="18"/>
                <w:color w:val="auto"/>
              </w:rPr>
              <w:t>1</w:t>
            </w: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103,772</w:t>
            </w:r>
          </w:p>
        </w:tc>
      </w:tr>
      <w:tr>
        <w:trPr>
          <w:trHeight w:val="216"/>
        </w:trPr>
        <w:tc>
          <w:tcPr>
            <w:tcW w:w="3980" w:type="dxa"/>
            <w:vAlign w:val="bottom"/>
          </w:tcPr>
          <w:p>
            <w:pPr>
              <w:jc w:val="center"/>
              <w:ind w:left="10"/>
              <w:spacing w:after="0"/>
              <w:rPr>
                <w:sz w:val="20"/>
                <w:szCs w:val="20"/>
                <w:color w:val="auto"/>
              </w:rPr>
            </w:pPr>
            <w:r>
              <w:rPr>
                <w:rFonts w:ascii="Arial" w:cs="Arial" w:eastAsia="Arial" w:hAnsi="Arial"/>
                <w:sz w:val="18"/>
                <w:szCs w:val="18"/>
                <w:color w:val="333333"/>
                <w:w w:val="89"/>
              </w:rPr>
              <w:t>2011</w:t>
            </w:r>
          </w:p>
        </w:tc>
        <w:tc>
          <w:tcPr>
            <w:tcW w:w="300" w:type="dxa"/>
            <w:vAlign w:val="bottom"/>
          </w:tcPr>
          <w:p>
            <w:pPr>
              <w:spacing w:after="0"/>
              <w:rPr>
                <w:sz w:val="18"/>
                <w:szCs w:val="18"/>
                <w:color w:val="auto"/>
              </w:rPr>
            </w:pPr>
          </w:p>
        </w:tc>
        <w:tc>
          <w:tcPr>
            <w:tcW w:w="1620" w:type="dxa"/>
            <w:vAlign w:val="bottom"/>
          </w:tcPr>
          <w:p>
            <w:pPr>
              <w:jc w:val="right"/>
              <w:ind w:right="61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335,593</w:t>
            </w:r>
          </w:p>
        </w:tc>
      </w:tr>
      <w:tr>
        <w:trPr>
          <w:trHeight w:val="216"/>
        </w:trPr>
        <w:tc>
          <w:tcPr>
            <w:tcW w:w="398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333333"/>
                <w:w w:val="89"/>
              </w:rPr>
              <w:t>2012</w:t>
            </w:r>
          </w:p>
        </w:tc>
        <w:tc>
          <w:tcPr>
            <w:tcW w:w="300" w:type="dxa"/>
            <w:vAlign w:val="bottom"/>
            <w:shd w:val="clear" w:color="auto" w:fill="EEEEEE"/>
          </w:tcPr>
          <w:p>
            <w:pPr>
              <w:spacing w:after="0"/>
              <w:rPr>
                <w:sz w:val="18"/>
                <w:szCs w:val="18"/>
                <w:color w:val="auto"/>
              </w:rPr>
            </w:pPr>
          </w:p>
        </w:tc>
        <w:tc>
          <w:tcPr>
            <w:tcW w:w="1620" w:type="dxa"/>
            <w:vAlign w:val="bottom"/>
            <w:shd w:val="clear" w:color="auto" w:fill="EEEEEE"/>
          </w:tcPr>
          <w:p>
            <w:pPr>
              <w:jc w:val="right"/>
              <w:ind w:right="610"/>
              <w:spacing w:after="0"/>
              <w:rPr>
                <w:sz w:val="20"/>
                <w:szCs w:val="20"/>
                <w:color w:val="auto"/>
              </w:rPr>
            </w:pPr>
            <w:r>
              <w:rPr>
                <w:rFonts w:ascii="Arial" w:cs="Arial" w:eastAsia="Arial" w:hAnsi="Arial"/>
                <w:sz w:val="18"/>
                <w:szCs w:val="18"/>
                <w:color w:val="auto"/>
              </w:rPr>
              <w:t>4</w:t>
            </w: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603,500</w:t>
            </w:r>
          </w:p>
        </w:tc>
      </w:tr>
      <w:tr>
        <w:trPr>
          <w:trHeight w:val="216"/>
        </w:trPr>
        <w:tc>
          <w:tcPr>
            <w:tcW w:w="3980" w:type="dxa"/>
            <w:vAlign w:val="bottom"/>
          </w:tcPr>
          <w:p>
            <w:pPr>
              <w:jc w:val="center"/>
              <w:ind w:left="10"/>
              <w:spacing w:after="0"/>
              <w:rPr>
                <w:sz w:val="20"/>
                <w:szCs w:val="20"/>
                <w:color w:val="auto"/>
              </w:rPr>
            </w:pPr>
            <w:r>
              <w:rPr>
                <w:rFonts w:ascii="Arial" w:cs="Arial" w:eastAsia="Arial" w:hAnsi="Arial"/>
                <w:sz w:val="18"/>
                <w:szCs w:val="18"/>
                <w:color w:val="333333"/>
                <w:w w:val="89"/>
              </w:rPr>
              <w:t>2013</w:t>
            </w:r>
          </w:p>
        </w:tc>
        <w:tc>
          <w:tcPr>
            <w:tcW w:w="300" w:type="dxa"/>
            <w:vAlign w:val="bottom"/>
          </w:tcPr>
          <w:p>
            <w:pPr>
              <w:spacing w:after="0"/>
              <w:rPr>
                <w:sz w:val="18"/>
                <w:szCs w:val="18"/>
                <w:color w:val="auto"/>
              </w:rPr>
            </w:pPr>
          </w:p>
        </w:tc>
        <w:tc>
          <w:tcPr>
            <w:tcW w:w="1620" w:type="dxa"/>
            <w:vAlign w:val="bottom"/>
          </w:tcPr>
          <w:p>
            <w:pPr>
              <w:jc w:val="right"/>
              <w:ind w:right="61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778,000</w:t>
            </w:r>
          </w:p>
        </w:tc>
      </w:tr>
      <w:tr>
        <w:trPr>
          <w:trHeight w:val="216"/>
        </w:trPr>
        <w:tc>
          <w:tcPr>
            <w:tcW w:w="398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333333"/>
                <w:w w:val="89"/>
              </w:rPr>
              <w:t>2014</w:t>
            </w:r>
          </w:p>
        </w:tc>
        <w:tc>
          <w:tcPr>
            <w:tcW w:w="300" w:type="dxa"/>
            <w:vAlign w:val="bottom"/>
            <w:shd w:val="clear" w:color="auto" w:fill="EEEEEE"/>
          </w:tcPr>
          <w:p>
            <w:pPr>
              <w:spacing w:after="0"/>
              <w:rPr>
                <w:sz w:val="18"/>
                <w:szCs w:val="18"/>
                <w:color w:val="auto"/>
              </w:rPr>
            </w:pPr>
          </w:p>
        </w:tc>
        <w:tc>
          <w:tcPr>
            <w:tcW w:w="1620" w:type="dxa"/>
            <w:vAlign w:val="bottom"/>
            <w:shd w:val="clear" w:color="auto" w:fill="EEEEEE"/>
          </w:tcPr>
          <w:p>
            <w:pPr>
              <w:jc w:val="right"/>
              <w:ind w:right="610"/>
              <w:spacing w:after="0"/>
              <w:rPr>
                <w:sz w:val="20"/>
                <w:szCs w:val="20"/>
                <w:color w:val="auto"/>
              </w:rPr>
            </w:pPr>
            <w:r>
              <w:rPr>
                <w:rFonts w:ascii="Arial" w:cs="Arial" w:eastAsia="Arial" w:hAnsi="Arial"/>
                <w:sz w:val="18"/>
                <w:szCs w:val="18"/>
                <w:color w:val="auto"/>
              </w:rPr>
              <w:t>4</w:t>
            </w: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923,000</w:t>
            </w:r>
          </w:p>
        </w:tc>
      </w:tr>
      <w:tr>
        <w:trPr>
          <w:trHeight w:val="216"/>
        </w:trPr>
        <w:tc>
          <w:tcPr>
            <w:tcW w:w="3980" w:type="dxa"/>
            <w:vAlign w:val="bottom"/>
          </w:tcPr>
          <w:p>
            <w:pPr>
              <w:jc w:val="center"/>
              <w:ind w:left="10"/>
              <w:spacing w:after="0"/>
              <w:rPr>
                <w:sz w:val="20"/>
                <w:szCs w:val="20"/>
                <w:color w:val="auto"/>
              </w:rPr>
            </w:pPr>
            <w:r>
              <w:rPr>
                <w:rFonts w:ascii="Arial" w:cs="Arial" w:eastAsia="Arial" w:hAnsi="Arial"/>
                <w:sz w:val="18"/>
                <w:szCs w:val="18"/>
                <w:color w:val="333333"/>
                <w:w w:val="89"/>
              </w:rPr>
              <w:t>2015</w:t>
            </w:r>
          </w:p>
        </w:tc>
        <w:tc>
          <w:tcPr>
            <w:tcW w:w="300" w:type="dxa"/>
            <w:vAlign w:val="bottom"/>
          </w:tcPr>
          <w:p>
            <w:pPr>
              <w:spacing w:after="0"/>
              <w:rPr>
                <w:sz w:val="18"/>
                <w:szCs w:val="18"/>
                <w:color w:val="auto"/>
              </w:rPr>
            </w:pPr>
          </w:p>
        </w:tc>
        <w:tc>
          <w:tcPr>
            <w:tcW w:w="1620" w:type="dxa"/>
            <w:vAlign w:val="bottom"/>
          </w:tcPr>
          <w:p>
            <w:pPr>
              <w:jc w:val="right"/>
              <w:ind w:right="61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795,000</w:t>
            </w:r>
          </w:p>
        </w:tc>
      </w:tr>
      <w:tr>
        <w:trPr>
          <w:trHeight w:val="216"/>
        </w:trPr>
        <w:tc>
          <w:tcPr>
            <w:tcW w:w="398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333333"/>
                <w:w w:val="89"/>
              </w:rPr>
              <w:t>2016</w:t>
            </w:r>
          </w:p>
        </w:tc>
        <w:tc>
          <w:tcPr>
            <w:tcW w:w="300" w:type="dxa"/>
            <w:vAlign w:val="bottom"/>
            <w:shd w:val="clear" w:color="auto" w:fill="EEEEEE"/>
          </w:tcPr>
          <w:p>
            <w:pPr>
              <w:spacing w:after="0"/>
              <w:rPr>
                <w:sz w:val="18"/>
                <w:szCs w:val="18"/>
                <w:color w:val="auto"/>
              </w:rPr>
            </w:pPr>
          </w:p>
        </w:tc>
        <w:tc>
          <w:tcPr>
            <w:tcW w:w="1620" w:type="dxa"/>
            <w:vAlign w:val="bottom"/>
            <w:shd w:val="clear" w:color="auto" w:fill="EEEEEE"/>
          </w:tcPr>
          <w:p>
            <w:pPr>
              <w:jc w:val="right"/>
              <w:ind w:right="610"/>
              <w:spacing w:after="0"/>
              <w:rPr>
                <w:sz w:val="20"/>
                <w:szCs w:val="20"/>
                <w:color w:val="auto"/>
              </w:rPr>
            </w:pPr>
            <w:r>
              <w:rPr>
                <w:rFonts w:ascii="Arial" w:cs="Arial" w:eastAsia="Arial" w:hAnsi="Arial"/>
                <w:sz w:val="18"/>
                <w:szCs w:val="18"/>
                <w:color w:val="auto"/>
              </w:rPr>
              <w:t>4</w:t>
            </w: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1,214,997</w:t>
            </w:r>
          </w:p>
        </w:tc>
      </w:tr>
      <w:tr>
        <w:trPr>
          <w:trHeight w:val="230"/>
        </w:trPr>
        <w:tc>
          <w:tcPr>
            <w:tcW w:w="42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Nine months ended September 30, 2017</w:t>
            </w:r>
          </w:p>
        </w:tc>
        <w:tc>
          <w:tcPr>
            <w:tcW w:w="1620" w:type="dxa"/>
            <w:vAlign w:val="bottom"/>
          </w:tcPr>
          <w:p>
            <w:pPr>
              <w:jc w:val="right"/>
              <w:ind w:right="61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670,000</w:t>
            </w:r>
          </w:p>
        </w:tc>
      </w:tr>
    </w:tbl>
    <w:p>
      <w:pPr>
        <w:spacing w:after="0" w:line="200" w:lineRule="exact"/>
        <w:rPr>
          <w:sz w:val="20"/>
          <w:szCs w:val="20"/>
          <w:color w:val="auto"/>
        </w:rPr>
      </w:pPr>
    </w:p>
    <w:p>
      <w:pPr>
        <w:spacing w:after="0" w:line="23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Generally, prior to a securitization transaction we fund our automobile contract purchases primarily with proceeds from warehouse credit facilities. Our current short-term funding capacity is $300 million, comprising three credit facilities. The first $100 million credit facility was established in May 2012. This facility was renewed in August 2016, extending the revolving period to August 2018, and adding an amortization period through August 2019. In April 2015, we entered into a $100 million facility, with a revolving period extending to April 2017, followed by an amortization period to April 2019. That facility was renewed in April 2017, extending the revolving period to April 2019, followed by an amortization period to April 2021. In November 2015, we entered into a third $100 million facility, with a revolving period extending to November 2017, followed by an amortization period to November 2019.</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will be obligated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 securitization,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September 30, 2017, we were in compliance with all such covenants.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three months ended September 30, 2017 with the three months ended September 30, 2016</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Revenues</w:t>
      </w:r>
      <w:r>
        <w:rPr>
          <w:rFonts w:ascii="Arial" w:cs="Arial" w:eastAsia="Arial" w:hAnsi="Arial"/>
          <w:sz w:val="17"/>
          <w:szCs w:val="17"/>
          <w:color w:val="auto"/>
        </w:rPr>
        <w:t>. During the three months ended September 30, 2017, our revenues were $109.5 million, an increase of $971,000, or .9%, from the prior</w:t>
      </w:r>
      <w:r>
        <w:rPr>
          <w:rFonts w:ascii="Arial" w:cs="Arial" w:eastAsia="Arial" w:hAnsi="Arial"/>
          <w:sz w:val="17"/>
          <w:szCs w:val="17"/>
          <w:i w:val="1"/>
          <w:iCs w:val="1"/>
          <w:color w:val="auto"/>
        </w:rPr>
        <w:t xml:space="preserve"> </w:t>
      </w:r>
      <w:r>
        <w:rPr>
          <w:rFonts w:ascii="Arial" w:cs="Arial" w:eastAsia="Arial" w:hAnsi="Arial"/>
          <w:sz w:val="17"/>
          <w:szCs w:val="17"/>
          <w:color w:val="auto"/>
        </w:rPr>
        <w:t>year revenue of $108.5 million. The primary reason for the increase in revenues is an increase in interest income. Interest income for the three months ended September 30, 2017 increased $1.6 million, or 1.6%, to $107.0 million from $105.4 million in the prior year. The primary reason for the increase in interest income is the increase in finance receivables held by consolidated subsidiaries. The table below shows the outstanding and average balances of our portfolio held by consolidated subsidiaries for the three months ended September 30, 2017 and 2016:</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19"/>
                <w:szCs w:val="19"/>
                <w:color w:val="auto"/>
              </w:rPr>
            </w:pPr>
          </w:p>
        </w:tc>
        <w:tc>
          <w:tcPr>
            <w:tcW w:w="17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0"/>
              </w:rPr>
              <w:t>September 30, 2017</w:t>
            </w:r>
          </w:p>
        </w:tc>
        <w:tc>
          <w:tcPr>
            <w:tcW w:w="18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September 30, 2016</w:t>
            </w:r>
          </w:p>
        </w:tc>
        <w:tc>
          <w:tcPr>
            <w:tcW w:w="0" w:type="dxa"/>
            <w:vAlign w:val="bottom"/>
          </w:tcPr>
          <w:p>
            <w:pPr>
              <w:spacing w:after="0"/>
              <w:rPr>
                <w:sz w:val="1"/>
                <w:szCs w:val="1"/>
                <w:color w:val="auto"/>
              </w:rPr>
            </w:pPr>
          </w:p>
        </w:tc>
      </w:tr>
      <w:tr>
        <w:trPr>
          <w:trHeight w:val="234"/>
        </w:trPr>
        <w:tc>
          <w:tcPr>
            <w:tcW w:w="778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88"/>
              </w:rPr>
              <w:t>Finance Receivables Owned by</w:t>
            </w:r>
          </w:p>
        </w:tc>
        <w:tc>
          <w:tcPr>
            <w:tcW w:w="280" w:type="dxa"/>
            <w:vAlign w:val="bottom"/>
          </w:tcPr>
          <w:p>
            <w:pPr>
              <w:spacing w:after="0"/>
              <w:rPr>
                <w:sz w:val="20"/>
                <w:szCs w:val="20"/>
                <w:color w:val="auto"/>
              </w:rPr>
            </w:pPr>
          </w:p>
        </w:tc>
        <w:tc>
          <w:tcPr>
            <w:tcW w:w="1500" w:type="dxa"/>
            <w:vAlign w:val="bottom"/>
          </w:tcPr>
          <w:p>
            <w:pPr>
              <w:jc w:val="right"/>
              <w:ind w:right="570"/>
              <w:spacing w:after="0"/>
              <w:rPr>
                <w:sz w:val="20"/>
                <w:szCs w:val="20"/>
                <w:color w:val="auto"/>
              </w:rPr>
            </w:pPr>
            <w:r>
              <w:rPr>
                <w:rFonts w:ascii="Arial" w:cs="Arial" w:eastAsia="Arial" w:hAnsi="Arial"/>
                <w:sz w:val="18"/>
                <w:szCs w:val="18"/>
                <w:b w:val="1"/>
                <w:bCs w:val="1"/>
                <w:color w:val="auto"/>
              </w:rPr>
              <w:t>Amount</w:t>
            </w:r>
          </w:p>
        </w:tc>
        <w:tc>
          <w:tcPr>
            <w:tcW w:w="580" w:type="dxa"/>
            <w:vAlign w:val="bottom"/>
          </w:tcPr>
          <w:p>
            <w:pPr>
              <w:spacing w:after="0"/>
              <w:rPr>
                <w:sz w:val="20"/>
                <w:szCs w:val="20"/>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191"/>
        </w:trPr>
        <w:tc>
          <w:tcPr>
            <w:tcW w:w="7780" w:type="dxa"/>
            <w:vAlign w:val="bottom"/>
            <w:vMerge w:val="continue"/>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rPr>
              <w:t>($ in millions)</w:t>
            </w: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7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Consolidated Subsidiaries</w:t>
            </w: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Average balance for the three-month period</w:t>
            </w:r>
          </w:p>
        </w:tc>
        <w:tc>
          <w:tcPr>
            <w:tcW w:w="280" w:type="dxa"/>
            <w:vAlign w:val="bottom"/>
            <w:shd w:val="clear" w:color="auto" w:fill="EEEEEE"/>
          </w:tcPr>
          <w:p>
            <w:pPr>
              <w:jc w:val="right"/>
              <w:ind w:right="120"/>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2,344.9</w:t>
            </w:r>
          </w:p>
        </w:tc>
        <w:tc>
          <w:tcPr>
            <w:tcW w:w="580" w:type="dxa"/>
            <w:vAlign w:val="bottom"/>
            <w:shd w:val="clear" w:color="auto" w:fill="EEEEEE"/>
          </w:tcPr>
          <w:p>
            <w:pPr>
              <w:jc w:val="right"/>
              <w:ind w:right="23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2,281.5</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Ending balance for the period</w:t>
            </w:r>
          </w:p>
        </w:tc>
        <w:tc>
          <w:tcPr>
            <w:tcW w:w="280" w:type="dxa"/>
            <w:vAlign w:val="bottom"/>
            <w:shd w:val="clear" w:color="auto" w:fill="EEEEEE"/>
          </w:tcPr>
          <w:p>
            <w:pPr>
              <w:jc w:val="right"/>
              <w:ind w:right="120"/>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2,346.0</w:t>
            </w:r>
          </w:p>
        </w:tc>
        <w:tc>
          <w:tcPr>
            <w:tcW w:w="580" w:type="dxa"/>
            <w:vAlign w:val="bottom"/>
            <w:shd w:val="clear" w:color="auto" w:fill="EEEEEE"/>
          </w:tcPr>
          <w:p>
            <w:pPr>
              <w:jc w:val="right"/>
              <w:ind w:right="23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2,291.7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three months ended September 30, 2017, other income of $2.5 million decreased by $667,000, or 21.2% compared to the prior year. The three-month period ended September 30, 2017 includes a decrease of $453,000 in revenue associated with direct mail and other related products and services that we offer to our dealers, a decrease of $90,000 in payments from third-party providers of convenience fees paid by our customers for web based and other electronic payments, and a decrease of $150,000 on payments to us for our interest in certain sold charge offs and acquired third-party portfolios, Those decreases were somewhat offset by an increase of $21,000 on sales tax refunds.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Our operating expenses consist largely of provision for credit losses, interest expense, employee costs, marketing and general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expenses. Provision for credit losses and interest expense are significantly affected by the volume of automobile contracts we purchased during the trailing 12-month period and by the outstanding balance of finance receivables held by consolidated subsidiaries.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marketing and advertising expenses, and depreciation and amortization.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Total operating expenses were $101.4 million for the three months ended September 30, 2017, compared to $96.1 million for the prior period, an increase of $5.3 million, or 5.5%. The increase is primarily due to the increase in our consolidated portfolio and associated servicing costs, and the related increases in interest expense and in our provision for credit losses.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2" w:name="page23"/>
    <w:bookmarkEnd w:id="22"/>
    <w:p>
      <w:pPr>
        <w:jc w:val="both"/>
        <w:ind w:firstLine="648"/>
        <w:spacing w:after="0" w:line="286" w:lineRule="auto"/>
        <w:rPr>
          <w:sz w:val="20"/>
          <w:szCs w:val="20"/>
          <w:color w:val="auto"/>
        </w:rPr>
      </w:pPr>
      <w:r>
        <w:rPr>
          <w:rFonts w:ascii="Arial" w:cs="Arial" w:eastAsia="Arial" w:hAnsi="Arial"/>
          <w:sz w:val="17"/>
          <w:szCs w:val="17"/>
          <w:color w:val="auto"/>
        </w:rPr>
        <w:t>Employee costs increased by $1.8 million or 10.6%, to $18.5 million during the three months ended September 30, 2017, representing 18.2% of total operating expenses, from $16.7 million for the prior year, or 17.4% of total operating expenses. The table below summarizes our employees by category as well as contract purchases and units in our managed portfolio as of, and for the three-month periods ended, September 30, 2017 and 2016: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 2017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September 30, 2016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80" w:type="dxa"/>
            <w:vAlign w:val="bottom"/>
            <w:tcBorders>
              <w:top w:val="single" w:sz="8" w:color="auto"/>
            </w:tcBorders>
            <w:gridSpan w:val="5"/>
          </w:tcPr>
          <w:p>
            <w:pPr>
              <w:jc w:val="right"/>
              <w:ind w:right="1390"/>
              <w:spacing w:after="0"/>
              <w:rPr>
                <w:sz w:val="20"/>
                <w:szCs w:val="20"/>
                <w:color w:val="auto"/>
              </w:rPr>
            </w:pPr>
            <w:r>
              <w:rPr>
                <w:rFonts w:ascii="Arial" w:cs="Arial" w:eastAsia="Arial" w:hAnsi="Arial"/>
                <w:sz w:val="18"/>
                <w:szCs w:val="18"/>
                <w:b w:val="1"/>
                <w:bCs w:val="1"/>
                <w:color w:val="auto"/>
              </w:rPr>
              <w:t>($ in millions)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204.7</w:t>
            </w:r>
          </w:p>
        </w:tc>
        <w:tc>
          <w:tcPr>
            <w:tcW w:w="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242.1</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12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12,589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14,706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2,346.0</w:t>
            </w:r>
          </w:p>
        </w:tc>
        <w:tc>
          <w:tcPr>
            <w:tcW w:w="160" w:type="dxa"/>
            <w:vAlign w:val="bottom"/>
            <w:shd w:val="clear" w:color="auto" w:fill="EEEEEE"/>
          </w:tcPr>
          <w:p>
            <w:pPr>
              <w:spacing w:after="0"/>
              <w:rPr>
                <w:sz w:val="18"/>
                <w:szCs w:val="18"/>
                <w:color w:val="auto"/>
              </w:rPr>
            </w:pPr>
          </w:p>
        </w:tc>
        <w:tc>
          <w:tcPr>
            <w:tcW w:w="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2,291.9</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12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174,383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167,636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12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210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EEEEEE"/>
          </w:tcPr>
          <w:p>
            <w:pPr>
              <w:spacing w:after="0"/>
              <w:rPr>
                <w:sz w:val="20"/>
                <w:szCs w:val="20"/>
                <w:color w:val="auto"/>
              </w:rPr>
            </w:pPr>
            <w:r>
              <w:rPr>
                <w:rFonts w:ascii="Arial" w:cs="Arial" w:eastAsia="Arial" w:hAnsi="Arial"/>
                <w:sz w:val="18"/>
                <w:szCs w:val="18"/>
                <w:color w:val="auto"/>
              </w:rPr>
              <w:t>Number of Marketing staff</w:t>
            </w:r>
          </w:p>
        </w:tc>
        <w:tc>
          <w:tcPr>
            <w:tcW w:w="120" w:type="dxa"/>
            <w:vAlign w:val="bottom"/>
            <w:shd w:val="clear" w:color="auto" w:fill="EEEEEE"/>
          </w:tcPr>
          <w:p>
            <w:pPr>
              <w:spacing w:after="0"/>
              <w:rPr>
                <w:sz w:val="18"/>
                <w:szCs w:val="18"/>
                <w:color w:val="auto"/>
              </w:rPr>
            </w:pPr>
          </w:p>
        </w:tc>
        <w:tc>
          <w:tcPr>
            <w:tcW w:w="18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98</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12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564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521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120" w:type="dxa"/>
            <w:vAlign w:val="bottom"/>
            <w:shd w:val="clear" w:color="auto" w:fill="EEEEEE"/>
          </w:tcPr>
          <w:p>
            <w:pPr>
              <w:spacing w:after="0"/>
              <w:rPr>
                <w:sz w:val="19"/>
                <w:szCs w:val="19"/>
                <w:color w:val="auto"/>
              </w:rPr>
            </w:pPr>
          </w:p>
        </w:tc>
        <w:tc>
          <w:tcPr>
            <w:tcW w:w="1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93</w:t>
            </w:r>
          </w:p>
        </w:tc>
        <w:tc>
          <w:tcPr>
            <w:tcW w:w="1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8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12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$6.40 million, an increase of $39,000, or .6% compared to the previous year and represented 6.3% of total operating expenses.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expense for the three months ended September 30, 2017 increased by $2.4 million to $23.3 million, or 11.6% and represented 23.0% of total operating expenses, compared to $20.9 million in the previous year, when it was 21.7% of total operating expenses.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Interest on securitization trust debt increased by $2.7 million, or 15.1%, for the three months ended September 30, 2017 compared to the prior period. The average balance of securitization trust debt increased 1.4% to $2,184.2 million for the three months ended September 30, 2017 compared to $2,154.4 million for the three months ended September 30, 2016. In addition, the blended interest rates on new term securitizations have generally increased since June 2014. As a result, the cost of securitization debt during the three-month period ended September 30, 2017 was 3.8%, compared to 3.4% in the prior year period. For any particular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accept, which in turn, is influenced by investor demand for our bonds at the time of the securitization. These and other factors have resulted in a general trend toward higher securitization trust debt interest costs since June 2014, although that trend has reversed somewhat since July 2016. The blended interest rates of our recent securitizations are summarized in the table below:</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Blended Cost of Funds on Recent Asset-Backed Term Securitizations</w:t>
      </w:r>
    </w:p>
    <w:p>
      <w:pPr>
        <w:spacing w:after="0" w:line="225"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Blended Cost of</w:t>
            </w:r>
          </w:p>
        </w:tc>
      </w:tr>
      <w:tr>
        <w:trPr>
          <w:trHeight w:val="234"/>
        </w:trPr>
        <w:tc>
          <w:tcPr>
            <w:tcW w:w="4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Period</w:t>
            </w: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Funds</w:t>
            </w:r>
          </w:p>
        </w:tc>
      </w:tr>
      <w:tr>
        <w:trPr>
          <w:trHeight w:val="210"/>
        </w:trPr>
        <w:tc>
          <w:tcPr>
            <w:tcW w:w="376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333333"/>
                <w:w w:val="87"/>
              </w:rPr>
              <w:t>June 2014</w:t>
            </w:r>
          </w:p>
        </w:tc>
        <w:tc>
          <w:tcPr>
            <w:tcW w:w="320" w:type="dxa"/>
            <w:vAlign w:val="bottom"/>
            <w:tcBorders>
              <w:top w:val="single" w:sz="8" w:color="EEEEEE"/>
            </w:tcBorders>
            <w:shd w:val="clear" w:color="auto" w:fill="EEEEEE"/>
          </w:tcPr>
          <w:p>
            <w:pPr>
              <w:spacing w:after="0"/>
              <w:rPr>
                <w:sz w:val="18"/>
                <w:szCs w:val="18"/>
                <w:color w:val="auto"/>
              </w:rPr>
            </w:pPr>
          </w:p>
        </w:tc>
        <w:tc>
          <w:tcPr>
            <w:tcW w:w="148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3"/>
              </w:rPr>
              <w:t>2.37%</w:t>
            </w:r>
          </w:p>
        </w:tc>
        <w:tc>
          <w:tcPr>
            <w:tcW w:w="140" w:type="dxa"/>
            <w:vAlign w:val="bottom"/>
            <w:tcBorders>
              <w:top w:val="single" w:sz="8" w:color="EEEEEE"/>
            </w:tcBorders>
            <w:shd w:val="clear" w:color="auto" w:fill="EEEEEE"/>
          </w:tcPr>
          <w:p>
            <w:pPr>
              <w:spacing w:after="0"/>
              <w:rPr>
                <w:sz w:val="18"/>
                <w:szCs w:val="18"/>
                <w:color w:val="auto"/>
              </w:rPr>
            </w:pPr>
          </w:p>
        </w:tc>
      </w:tr>
      <w:tr>
        <w:trPr>
          <w:trHeight w:val="216"/>
        </w:trPr>
        <w:tc>
          <w:tcPr>
            <w:tcW w:w="4080" w:type="dxa"/>
            <w:vAlign w:val="bottom"/>
            <w:gridSpan w:val="2"/>
          </w:tcPr>
          <w:p>
            <w:pPr>
              <w:jc w:val="center"/>
              <w:ind w:right="340"/>
              <w:spacing w:after="0"/>
              <w:rPr>
                <w:sz w:val="20"/>
                <w:szCs w:val="20"/>
                <w:color w:val="auto"/>
              </w:rPr>
            </w:pPr>
            <w:r>
              <w:rPr>
                <w:rFonts w:ascii="Arial" w:cs="Arial" w:eastAsia="Arial" w:hAnsi="Arial"/>
                <w:sz w:val="18"/>
                <w:szCs w:val="18"/>
                <w:color w:val="333333"/>
                <w:w w:val="88"/>
              </w:rPr>
              <w:t>September 2014</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2.71%</w:t>
            </w:r>
          </w:p>
        </w:tc>
        <w:tc>
          <w:tcPr>
            <w:tcW w:w="140" w:type="dxa"/>
            <w:vAlign w:val="bottom"/>
          </w:tcPr>
          <w:p>
            <w:pPr>
              <w:spacing w:after="0"/>
              <w:rPr>
                <w:sz w:val="18"/>
                <w:szCs w:val="18"/>
                <w:color w:val="auto"/>
              </w:rPr>
            </w:pPr>
          </w:p>
        </w:tc>
      </w:tr>
      <w:tr>
        <w:trPr>
          <w:trHeight w:val="216"/>
        </w:trPr>
        <w:tc>
          <w:tcPr>
            <w:tcW w:w="4080" w:type="dxa"/>
            <w:vAlign w:val="bottom"/>
            <w:gridSpan w:val="2"/>
            <w:shd w:val="clear" w:color="auto" w:fill="EEEEEE"/>
          </w:tcPr>
          <w:p>
            <w:pPr>
              <w:jc w:val="center"/>
              <w:ind w:right="340"/>
              <w:spacing w:after="0"/>
              <w:rPr>
                <w:sz w:val="20"/>
                <w:szCs w:val="20"/>
                <w:color w:val="auto"/>
              </w:rPr>
            </w:pPr>
            <w:r>
              <w:rPr>
                <w:rFonts w:ascii="Arial" w:cs="Arial" w:eastAsia="Arial" w:hAnsi="Arial"/>
                <w:sz w:val="18"/>
                <w:szCs w:val="18"/>
                <w:color w:val="333333"/>
                <w:w w:val="88"/>
              </w:rPr>
              <w:t>December 2014</w:t>
            </w:r>
          </w:p>
        </w:tc>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3"/>
              </w:rPr>
              <w:t>3.07%</w:t>
            </w:r>
          </w:p>
        </w:tc>
        <w:tc>
          <w:tcPr>
            <w:tcW w:w="140" w:type="dxa"/>
            <w:vAlign w:val="bottom"/>
            <w:shd w:val="clear" w:color="auto" w:fill="EEEEEE"/>
          </w:tcPr>
          <w:p>
            <w:pPr>
              <w:spacing w:after="0"/>
              <w:rPr>
                <w:sz w:val="18"/>
                <w:szCs w:val="18"/>
                <w:color w:val="auto"/>
              </w:rPr>
            </w:pPr>
          </w:p>
        </w:tc>
      </w:tr>
      <w:tr>
        <w:trPr>
          <w:trHeight w:val="216"/>
        </w:trPr>
        <w:tc>
          <w:tcPr>
            <w:tcW w:w="4080" w:type="dxa"/>
            <w:vAlign w:val="bottom"/>
            <w:gridSpan w:val="2"/>
          </w:tcPr>
          <w:p>
            <w:pPr>
              <w:jc w:val="center"/>
              <w:ind w:right="340"/>
              <w:spacing w:after="0"/>
              <w:rPr>
                <w:sz w:val="20"/>
                <w:szCs w:val="20"/>
                <w:color w:val="auto"/>
              </w:rPr>
            </w:pPr>
            <w:r>
              <w:rPr>
                <w:rFonts w:ascii="Arial" w:cs="Arial" w:eastAsia="Arial" w:hAnsi="Arial"/>
                <w:sz w:val="18"/>
                <w:szCs w:val="18"/>
                <w:color w:val="333333"/>
                <w:w w:val="90"/>
              </w:rPr>
              <w:t>March 2015</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3.04%</w:t>
            </w:r>
          </w:p>
        </w:tc>
        <w:tc>
          <w:tcPr>
            <w:tcW w:w="140" w:type="dxa"/>
            <w:vAlign w:val="bottom"/>
          </w:tcPr>
          <w:p>
            <w:pPr>
              <w:spacing w:after="0"/>
              <w:rPr>
                <w:sz w:val="18"/>
                <w:szCs w:val="18"/>
                <w:color w:val="auto"/>
              </w:rPr>
            </w:pPr>
          </w:p>
        </w:tc>
      </w:tr>
      <w:tr>
        <w:trPr>
          <w:trHeight w:val="216"/>
        </w:trPr>
        <w:tc>
          <w:tcPr>
            <w:tcW w:w="4080" w:type="dxa"/>
            <w:vAlign w:val="bottom"/>
            <w:gridSpan w:val="2"/>
            <w:shd w:val="clear" w:color="auto" w:fill="EEEEEE"/>
          </w:tcPr>
          <w:p>
            <w:pPr>
              <w:jc w:val="center"/>
              <w:ind w:right="340"/>
              <w:spacing w:after="0"/>
              <w:rPr>
                <w:sz w:val="20"/>
                <w:szCs w:val="20"/>
                <w:color w:val="auto"/>
              </w:rPr>
            </w:pPr>
            <w:r>
              <w:rPr>
                <w:rFonts w:ascii="Arial" w:cs="Arial" w:eastAsia="Arial" w:hAnsi="Arial"/>
                <w:sz w:val="18"/>
                <w:szCs w:val="18"/>
                <w:color w:val="333333"/>
                <w:w w:val="87"/>
              </w:rPr>
              <w:t>June 2015</w:t>
            </w:r>
          </w:p>
        </w:tc>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3"/>
              </w:rPr>
              <w:t>3.18%</w:t>
            </w:r>
          </w:p>
        </w:tc>
        <w:tc>
          <w:tcPr>
            <w:tcW w:w="140" w:type="dxa"/>
            <w:vAlign w:val="bottom"/>
            <w:shd w:val="clear" w:color="auto" w:fill="EEEEEE"/>
          </w:tcPr>
          <w:p>
            <w:pPr>
              <w:spacing w:after="0"/>
              <w:rPr>
                <w:sz w:val="18"/>
                <w:szCs w:val="18"/>
                <w:color w:val="auto"/>
              </w:rPr>
            </w:pPr>
          </w:p>
        </w:tc>
      </w:tr>
      <w:tr>
        <w:trPr>
          <w:trHeight w:val="216"/>
        </w:trPr>
        <w:tc>
          <w:tcPr>
            <w:tcW w:w="4080" w:type="dxa"/>
            <w:vAlign w:val="bottom"/>
            <w:gridSpan w:val="2"/>
          </w:tcPr>
          <w:p>
            <w:pPr>
              <w:jc w:val="center"/>
              <w:ind w:right="340"/>
              <w:spacing w:after="0"/>
              <w:rPr>
                <w:sz w:val="20"/>
                <w:szCs w:val="20"/>
                <w:color w:val="auto"/>
              </w:rPr>
            </w:pPr>
            <w:r>
              <w:rPr>
                <w:rFonts w:ascii="Arial" w:cs="Arial" w:eastAsia="Arial" w:hAnsi="Arial"/>
                <w:sz w:val="18"/>
                <w:szCs w:val="18"/>
                <w:color w:val="333333"/>
                <w:w w:val="88"/>
              </w:rPr>
              <w:t>September 2015</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3.78%</w:t>
            </w:r>
          </w:p>
        </w:tc>
        <w:tc>
          <w:tcPr>
            <w:tcW w:w="140" w:type="dxa"/>
            <w:vAlign w:val="bottom"/>
          </w:tcPr>
          <w:p>
            <w:pPr>
              <w:spacing w:after="0"/>
              <w:rPr>
                <w:sz w:val="18"/>
                <w:szCs w:val="18"/>
                <w:color w:val="auto"/>
              </w:rPr>
            </w:pPr>
          </w:p>
        </w:tc>
      </w:tr>
      <w:tr>
        <w:trPr>
          <w:trHeight w:val="216"/>
        </w:trPr>
        <w:tc>
          <w:tcPr>
            <w:tcW w:w="4080" w:type="dxa"/>
            <w:vAlign w:val="bottom"/>
            <w:gridSpan w:val="2"/>
            <w:shd w:val="clear" w:color="auto" w:fill="EEEEEE"/>
          </w:tcPr>
          <w:p>
            <w:pPr>
              <w:jc w:val="center"/>
              <w:ind w:right="340"/>
              <w:spacing w:after="0"/>
              <w:rPr>
                <w:sz w:val="20"/>
                <w:szCs w:val="20"/>
                <w:color w:val="auto"/>
              </w:rPr>
            </w:pPr>
            <w:r>
              <w:rPr>
                <w:rFonts w:ascii="Arial" w:cs="Arial" w:eastAsia="Arial" w:hAnsi="Arial"/>
                <w:sz w:val="18"/>
                <w:szCs w:val="18"/>
                <w:color w:val="333333"/>
                <w:w w:val="89"/>
              </w:rPr>
              <w:t>January 2016</w:t>
            </w:r>
          </w:p>
        </w:tc>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3"/>
              </w:rPr>
              <w:t>4.34%</w:t>
            </w:r>
          </w:p>
        </w:tc>
        <w:tc>
          <w:tcPr>
            <w:tcW w:w="140" w:type="dxa"/>
            <w:vAlign w:val="bottom"/>
            <w:shd w:val="clear" w:color="auto" w:fill="EEEEEE"/>
          </w:tcPr>
          <w:p>
            <w:pPr>
              <w:spacing w:after="0"/>
              <w:rPr>
                <w:sz w:val="18"/>
                <w:szCs w:val="18"/>
                <w:color w:val="auto"/>
              </w:rPr>
            </w:pPr>
          </w:p>
        </w:tc>
      </w:tr>
      <w:tr>
        <w:trPr>
          <w:trHeight w:val="216"/>
        </w:trPr>
        <w:tc>
          <w:tcPr>
            <w:tcW w:w="4080" w:type="dxa"/>
            <w:vAlign w:val="bottom"/>
            <w:gridSpan w:val="2"/>
          </w:tcPr>
          <w:p>
            <w:pPr>
              <w:jc w:val="center"/>
              <w:ind w:right="340"/>
              <w:spacing w:after="0"/>
              <w:rPr>
                <w:sz w:val="20"/>
                <w:szCs w:val="20"/>
                <w:color w:val="auto"/>
              </w:rPr>
            </w:pPr>
            <w:r>
              <w:rPr>
                <w:rFonts w:ascii="Arial" w:cs="Arial" w:eastAsia="Arial" w:hAnsi="Arial"/>
                <w:sz w:val="18"/>
                <w:szCs w:val="18"/>
                <w:color w:val="333333"/>
                <w:w w:val="96"/>
              </w:rPr>
              <w:t>April 2016</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4.65%</w:t>
            </w:r>
          </w:p>
        </w:tc>
        <w:tc>
          <w:tcPr>
            <w:tcW w:w="140" w:type="dxa"/>
            <w:vAlign w:val="bottom"/>
          </w:tcPr>
          <w:p>
            <w:pPr>
              <w:spacing w:after="0"/>
              <w:rPr>
                <w:sz w:val="18"/>
                <w:szCs w:val="18"/>
                <w:color w:val="auto"/>
              </w:rPr>
            </w:pPr>
          </w:p>
        </w:tc>
      </w:tr>
      <w:tr>
        <w:trPr>
          <w:trHeight w:val="216"/>
        </w:trPr>
        <w:tc>
          <w:tcPr>
            <w:tcW w:w="4080" w:type="dxa"/>
            <w:vAlign w:val="bottom"/>
            <w:gridSpan w:val="2"/>
            <w:shd w:val="clear" w:color="auto" w:fill="EEEEEE"/>
          </w:tcPr>
          <w:p>
            <w:pPr>
              <w:jc w:val="center"/>
              <w:ind w:right="340"/>
              <w:spacing w:after="0"/>
              <w:rPr>
                <w:sz w:val="20"/>
                <w:szCs w:val="20"/>
                <w:color w:val="auto"/>
              </w:rPr>
            </w:pPr>
            <w:r>
              <w:rPr>
                <w:rFonts w:ascii="Arial" w:cs="Arial" w:eastAsia="Arial" w:hAnsi="Arial"/>
                <w:sz w:val="18"/>
                <w:szCs w:val="18"/>
                <w:color w:val="auto"/>
                <w:w w:val="90"/>
              </w:rPr>
              <w:t>July 2016</w:t>
            </w:r>
          </w:p>
        </w:tc>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3"/>
              </w:rPr>
              <w:t>4.48%</w:t>
            </w:r>
          </w:p>
        </w:tc>
        <w:tc>
          <w:tcPr>
            <w:tcW w:w="140" w:type="dxa"/>
            <w:vAlign w:val="bottom"/>
            <w:shd w:val="clear" w:color="auto" w:fill="EEEEEE"/>
          </w:tcPr>
          <w:p>
            <w:pPr>
              <w:spacing w:after="0"/>
              <w:rPr>
                <w:sz w:val="18"/>
                <w:szCs w:val="18"/>
                <w:color w:val="auto"/>
              </w:rPr>
            </w:pPr>
          </w:p>
        </w:tc>
      </w:tr>
      <w:tr>
        <w:trPr>
          <w:trHeight w:val="216"/>
        </w:trPr>
        <w:tc>
          <w:tcPr>
            <w:tcW w:w="40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October 2016</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3.66%</w:t>
            </w:r>
          </w:p>
        </w:tc>
        <w:tc>
          <w:tcPr>
            <w:tcW w:w="140" w:type="dxa"/>
            <w:vAlign w:val="bottom"/>
          </w:tcPr>
          <w:p>
            <w:pPr>
              <w:spacing w:after="0"/>
              <w:rPr>
                <w:sz w:val="18"/>
                <w:szCs w:val="18"/>
                <w:color w:val="auto"/>
              </w:rPr>
            </w:pPr>
          </w:p>
        </w:tc>
      </w:tr>
      <w:tr>
        <w:trPr>
          <w:trHeight w:val="216"/>
        </w:trPr>
        <w:tc>
          <w:tcPr>
            <w:tcW w:w="4080" w:type="dxa"/>
            <w:vAlign w:val="bottom"/>
            <w:gridSpan w:val="2"/>
            <w:shd w:val="clear" w:color="auto" w:fill="EEEEEE"/>
          </w:tcPr>
          <w:p>
            <w:pPr>
              <w:jc w:val="center"/>
              <w:ind w:right="340"/>
              <w:spacing w:after="0"/>
              <w:rPr>
                <w:sz w:val="20"/>
                <w:szCs w:val="20"/>
                <w:color w:val="auto"/>
              </w:rPr>
            </w:pPr>
            <w:r>
              <w:rPr>
                <w:rFonts w:ascii="Arial" w:cs="Arial" w:eastAsia="Arial" w:hAnsi="Arial"/>
                <w:sz w:val="18"/>
                <w:szCs w:val="18"/>
                <w:color w:val="auto"/>
                <w:w w:val="89"/>
              </w:rPr>
              <w:t>January 2017</w:t>
            </w:r>
          </w:p>
        </w:tc>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3"/>
              </w:rPr>
              <w:t>3.90%</w:t>
            </w:r>
          </w:p>
        </w:tc>
        <w:tc>
          <w:tcPr>
            <w:tcW w:w="140" w:type="dxa"/>
            <w:vAlign w:val="bottom"/>
            <w:shd w:val="clear" w:color="auto" w:fill="EEEEEE"/>
          </w:tcPr>
          <w:p>
            <w:pPr>
              <w:spacing w:after="0"/>
              <w:rPr>
                <w:sz w:val="18"/>
                <w:szCs w:val="18"/>
                <w:color w:val="auto"/>
              </w:rPr>
            </w:pPr>
          </w:p>
        </w:tc>
      </w:tr>
      <w:tr>
        <w:trPr>
          <w:trHeight w:val="216"/>
        </w:trPr>
        <w:tc>
          <w:tcPr>
            <w:tcW w:w="408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April 2017</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3.45%</w:t>
            </w:r>
          </w:p>
        </w:tc>
        <w:tc>
          <w:tcPr>
            <w:tcW w:w="140" w:type="dxa"/>
            <w:vAlign w:val="bottom"/>
          </w:tcPr>
          <w:p>
            <w:pPr>
              <w:spacing w:after="0"/>
              <w:rPr>
                <w:sz w:val="18"/>
                <w:szCs w:val="18"/>
                <w:color w:val="auto"/>
              </w:rPr>
            </w:pPr>
          </w:p>
        </w:tc>
      </w:tr>
      <w:tr>
        <w:trPr>
          <w:trHeight w:val="216"/>
        </w:trPr>
        <w:tc>
          <w:tcPr>
            <w:tcW w:w="4080" w:type="dxa"/>
            <w:vAlign w:val="bottom"/>
            <w:gridSpan w:val="2"/>
            <w:shd w:val="clear" w:color="auto" w:fill="EEEEEE"/>
          </w:tcPr>
          <w:p>
            <w:pPr>
              <w:jc w:val="center"/>
              <w:ind w:right="340"/>
              <w:spacing w:after="0"/>
              <w:rPr>
                <w:sz w:val="20"/>
                <w:szCs w:val="20"/>
                <w:color w:val="auto"/>
              </w:rPr>
            </w:pPr>
            <w:r>
              <w:rPr>
                <w:rFonts w:ascii="Arial" w:cs="Arial" w:eastAsia="Arial" w:hAnsi="Arial"/>
                <w:sz w:val="18"/>
                <w:szCs w:val="18"/>
                <w:color w:val="auto"/>
                <w:w w:val="90"/>
              </w:rPr>
              <w:t>July 2017</w:t>
            </w:r>
          </w:p>
        </w:tc>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3"/>
              </w:rPr>
              <w:t>3.52%</w:t>
            </w:r>
          </w:p>
        </w:tc>
        <w:tc>
          <w:tcPr>
            <w:tcW w:w="140" w:type="dxa"/>
            <w:vAlign w:val="bottom"/>
            <w:shd w:val="clear" w:color="auto" w:fill="EEEEEE"/>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3" w:name="page24"/>
    <w:bookmarkEnd w:id="23"/>
    <w:p>
      <w:pPr>
        <w:jc w:val="both"/>
        <w:ind w:firstLine="648"/>
        <w:spacing w:after="0" w:line="312" w:lineRule="auto"/>
        <w:rPr>
          <w:sz w:val="20"/>
          <w:szCs w:val="20"/>
          <w:color w:val="auto"/>
        </w:rPr>
      </w:pPr>
      <w:r>
        <w:rPr>
          <w:rFonts w:ascii="Arial" w:cs="Arial" w:eastAsia="Arial" w:hAnsi="Arial"/>
          <w:sz w:val="16"/>
          <w:szCs w:val="16"/>
          <w:color w:val="auto"/>
        </w:rPr>
        <w:t>Interest expense on subordinated renewable notes increased by $23,000, or 7.1%. The increase is due to an increase in the average balance of $1.4 million, or 9.3%, for the three months ended September 30, 2017 compared to the prior period. That increase was somewhat offset by a decrease in the average yield of subordinated notes to 8.7% in the three-month period ended September 30, 2017 compared to 8.9% in the prior period.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Interest expense on warehouse debt increased by $117,000, or 5.6%, for the three months ended September 30, 2017 compared to the prior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When possible, we hold contracts with our own cash rather than pledging them to one of our warehouse facilities to minimize interest expense.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prior year period, we incurred $227,000 in interest expense on a residual interest financing facility which was repaid in full in November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the components of interest income and interest expense and a net interest yield analysis for the three-month periods ended September 30, 2017 and 2016: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8"/>
                <w:szCs w:val="18"/>
                <w:b w:val="1"/>
                <w:bCs w:val="1"/>
                <w:color w:val="auto"/>
                <w:w w:val="90"/>
              </w:rPr>
              <w:t>Three Months Ended September 30,</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40" w:type="dxa"/>
            <w:vAlign w:val="bottom"/>
            <w:gridSpan w:val="5"/>
          </w:tcPr>
          <w:p>
            <w:pPr>
              <w:jc w:val="center"/>
              <w:ind w:right="440"/>
              <w:spacing w:after="0" w:line="191" w:lineRule="exact"/>
              <w:rPr>
                <w:sz w:val="20"/>
                <w:szCs w:val="20"/>
                <w:color w:val="auto"/>
              </w:rPr>
            </w:pPr>
            <w:r>
              <w:rPr>
                <w:rFonts w:ascii="Arial" w:cs="Arial" w:eastAsia="Arial" w:hAnsi="Arial"/>
                <w:sz w:val="18"/>
                <w:szCs w:val="18"/>
                <w:b w:val="1"/>
                <w:bCs w:val="1"/>
                <w:color w:val="auto"/>
                <w:w w:val="89"/>
              </w:rPr>
              <w:t>(Dollars in thousands)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Annualized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Annualized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Average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Average</w:t>
            </w:r>
          </w:p>
        </w:tc>
        <w:tc>
          <w:tcPr>
            <w:tcW w:w="12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4"/>
            <w:vMerge w:val="restart"/>
          </w:tcPr>
          <w:p>
            <w:pPr>
              <w:jc w:val="center"/>
              <w:ind w:right="520"/>
              <w:spacing w:after="0"/>
              <w:rPr>
                <w:sz w:val="20"/>
                <w:szCs w:val="20"/>
                <w:color w:val="auto"/>
              </w:rPr>
            </w:pPr>
            <w:r>
              <w:rPr>
                <w:rFonts w:ascii="Arial" w:cs="Arial" w:eastAsia="Arial" w:hAnsi="Arial"/>
                <w:sz w:val="18"/>
                <w:szCs w:val="18"/>
                <w:b w:val="1"/>
                <w:bCs w:val="1"/>
                <w:color w:val="auto"/>
                <w:w w:val="88"/>
              </w:rPr>
              <w:t>Interest Earning Assets</w:t>
            </w:r>
          </w:p>
        </w:tc>
        <w:tc>
          <w:tcPr>
            <w:tcW w:w="12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Balance (1)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Interest</w:t>
            </w:r>
          </w:p>
        </w:tc>
        <w:tc>
          <w:tcPr>
            <w:tcW w:w="24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Yield/Rate</w:t>
            </w:r>
          </w:p>
        </w:tc>
        <w:tc>
          <w:tcPr>
            <w:tcW w:w="120" w:type="dxa"/>
            <w:vAlign w:val="bottom"/>
          </w:tcPr>
          <w:p>
            <w:pPr>
              <w:spacing w:after="0"/>
              <w:rPr>
                <w:sz w:val="20"/>
                <w:szCs w:val="20"/>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Balance (1)</w:t>
            </w:r>
          </w:p>
        </w:tc>
        <w:tc>
          <w:tcPr>
            <w:tcW w:w="18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Interest</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Yield/Rate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gridSpan w:val="4"/>
            <w:vMerge w:val="continue"/>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 (2)</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2,313,083</w:t>
            </w:r>
          </w:p>
        </w:tc>
        <w:tc>
          <w:tcPr>
            <w:tcW w:w="36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107,014</w:t>
            </w:r>
          </w:p>
        </w:tc>
        <w:tc>
          <w:tcPr>
            <w:tcW w:w="172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2,247,917</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105,376</w:t>
            </w: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40" w:type="dxa"/>
            <w:vAlign w:val="bottom"/>
            <w:gridSpan w:val="5"/>
            <w:shd w:val="clear" w:color="auto" w:fill="EEEEEE"/>
          </w:tcPr>
          <w:p>
            <w:pPr>
              <w:jc w:val="center"/>
              <w:ind w:right="36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20" w:type="dxa"/>
            <w:vAlign w:val="bottom"/>
            <w:shd w:val="clear" w:color="auto" w:fill="EEEEEE"/>
          </w:tcPr>
          <w:p>
            <w:pPr>
              <w:spacing w:after="0"/>
              <w:rPr>
                <w:sz w:val="15"/>
                <w:szCs w:val="15"/>
                <w:color w:val="auto"/>
              </w:rPr>
            </w:pPr>
          </w:p>
        </w:tc>
        <w:tc>
          <w:tcPr>
            <w:tcW w:w="104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98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116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02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96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104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EEEEEE"/>
          </w:tcPr>
          <w:p>
            <w:pPr>
              <w:spacing w:after="0" w:line="20" w:lineRule="exact"/>
              <w:rPr>
                <w:sz w:val="1"/>
                <w:szCs w:val="1"/>
                <w:color w:val="auto"/>
              </w:rPr>
            </w:pPr>
          </w:p>
        </w:tc>
        <w:tc>
          <w:tcPr>
            <w:tcW w:w="1780" w:type="dxa"/>
            <w:vAlign w:val="bottom"/>
            <w:tcBorders>
              <w:top w:val="single" w:sz="8" w:color="auto"/>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EEEEEE"/>
          </w:tcPr>
          <w:p>
            <w:pPr>
              <w:spacing w:after="0" w:line="20" w:lineRule="exact"/>
              <w:rPr>
                <w:sz w:val="1"/>
                <w:szCs w:val="1"/>
                <w:color w:val="auto"/>
              </w:rPr>
            </w:pPr>
          </w:p>
        </w:tc>
        <w:tc>
          <w:tcPr>
            <w:tcW w:w="5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9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1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960" w:type="dxa"/>
            <w:vAlign w:val="bottom"/>
            <w:tcBorders>
              <w:top w:val="single" w:sz="8" w:color="EEEEEE"/>
            </w:tcBorders>
            <w:shd w:val="clear" w:color="auto" w:fill="EEEEEE"/>
          </w:tcPr>
          <w:p>
            <w:pPr>
              <w:spacing w:after="0" w:line="20" w:lineRule="exact"/>
              <w:rPr>
                <w:sz w:val="1"/>
                <w:szCs w:val="1"/>
                <w:color w:val="auto"/>
              </w:rPr>
            </w:pPr>
          </w:p>
        </w:tc>
        <w:tc>
          <w:tcPr>
            <w:tcW w:w="420" w:type="dxa"/>
            <w:vAlign w:val="bottom"/>
            <w:tcBorders>
              <w:top w:val="single" w:sz="8" w:color="EEEEEE"/>
            </w:tcBorders>
            <w:shd w:val="clear" w:color="auto" w:fill="EEEEEE"/>
          </w:tcPr>
          <w:p>
            <w:pPr>
              <w:spacing w:after="0" w:line="20" w:lineRule="exact"/>
              <w:rPr>
                <w:sz w:val="1"/>
                <w:szCs w:val="1"/>
                <w:color w:val="auto"/>
              </w:rPr>
            </w:pPr>
          </w:p>
        </w:tc>
        <w:tc>
          <w:tcPr>
            <w:tcW w:w="10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5"/>
          </w:tcPr>
          <w:p>
            <w:pPr>
              <w:spacing w:after="0"/>
              <w:rPr>
                <w:sz w:val="20"/>
                <w:szCs w:val="20"/>
                <w:color w:val="auto"/>
              </w:rPr>
            </w:pPr>
            <w:r>
              <w:rPr>
                <w:rFonts w:ascii="Arial" w:cs="Arial" w:eastAsia="Arial" w:hAnsi="Arial"/>
                <w:sz w:val="18"/>
                <w:szCs w:val="18"/>
                <w:color w:val="auto"/>
              </w:rPr>
              <w:t>Warehouse lines of credit (3)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66,514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1,994</w:t>
            </w:r>
          </w:p>
        </w:tc>
        <w:tc>
          <w:tcPr>
            <w:tcW w:w="1720" w:type="dxa"/>
            <w:vAlign w:val="bottom"/>
            <w:gridSpan w:val="3"/>
          </w:tcPr>
          <w:p>
            <w:pPr>
              <w:jc w:val="right"/>
              <w:ind w:right="320"/>
              <w:spacing w:after="0"/>
              <w:rPr>
                <w:sz w:val="20"/>
                <w:szCs w:val="20"/>
                <w:color w:val="auto"/>
              </w:rPr>
            </w:pPr>
            <w:r>
              <w:rPr>
                <w:rFonts w:ascii="Arial" w:cs="Arial" w:eastAsia="Arial" w:hAnsi="Arial"/>
                <w:sz w:val="18"/>
                <w:szCs w:val="18"/>
                <w:color w:val="auto"/>
              </w:rPr>
              <w:t>11.9%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74,602</w:t>
            </w:r>
          </w:p>
        </w:tc>
        <w:tc>
          <w:tcPr>
            <w:tcW w:w="1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2,111</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1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7,055</w:t>
            </w:r>
          </w:p>
        </w:tc>
        <w:tc>
          <w:tcPr>
            <w:tcW w:w="18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227</w:t>
            </w: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5"/>
          </w:tcPr>
          <w:p>
            <w:pPr>
              <w:spacing w:after="0"/>
              <w:rPr>
                <w:sz w:val="20"/>
                <w:szCs w:val="20"/>
                <w:color w:val="auto"/>
              </w:rPr>
            </w:pPr>
            <w:r>
              <w:rPr>
                <w:rFonts w:ascii="Arial" w:cs="Arial" w:eastAsia="Arial" w:hAnsi="Arial"/>
                <w:sz w:val="18"/>
                <w:szCs w:val="18"/>
                <w:color w:val="auto"/>
              </w:rPr>
              <w:t>Securitization trust debt</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2,184,164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20,973</w:t>
            </w:r>
          </w:p>
        </w:tc>
        <w:tc>
          <w:tcPr>
            <w:tcW w:w="1720" w:type="dxa"/>
            <w:vAlign w:val="bottom"/>
            <w:gridSpan w:val="3"/>
          </w:tcPr>
          <w:p>
            <w:pPr>
              <w:jc w:val="right"/>
              <w:ind w:right="32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2,154,424</w:t>
            </w:r>
          </w:p>
        </w:tc>
        <w:tc>
          <w:tcPr>
            <w:tcW w:w="1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18,228</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12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16,113</w:t>
            </w:r>
          </w:p>
        </w:tc>
        <w:tc>
          <w:tcPr>
            <w:tcW w:w="1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350</w:t>
            </w:r>
          </w:p>
        </w:tc>
        <w:tc>
          <w:tcPr>
            <w:tcW w:w="172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8.7%</w:t>
            </w:r>
          </w:p>
        </w:tc>
        <w:tc>
          <w:tcPr>
            <w:tcW w:w="12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14,739</w:t>
            </w:r>
          </w:p>
        </w:tc>
        <w:tc>
          <w:tcPr>
            <w:tcW w:w="18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327</w:t>
            </w: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720" w:type="dxa"/>
            <w:vAlign w:val="bottom"/>
            <w:gridSpan w:val="3"/>
            <w:vMerge w:val="restart"/>
          </w:tcPr>
          <w:p>
            <w:pPr>
              <w:jc w:val="right"/>
              <w:ind w:right="32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2,266,791</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23,317</w:t>
            </w:r>
          </w:p>
        </w:tc>
        <w:tc>
          <w:tcPr>
            <w:tcW w:w="100" w:type="dxa"/>
            <w:vAlign w:val="bottom"/>
            <w:vMerge w:val="continue"/>
          </w:tcPr>
          <w:p>
            <w:pPr>
              <w:spacing w:after="0"/>
              <w:rPr>
                <w:sz w:val="24"/>
                <w:szCs w:val="24"/>
                <w:color w:val="auto"/>
              </w:rPr>
            </w:pPr>
          </w:p>
        </w:tc>
        <w:tc>
          <w:tcPr>
            <w:tcW w:w="1720" w:type="dxa"/>
            <w:vAlign w:val="bottom"/>
            <w:gridSpan w:val="3"/>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2,250,820</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20,893</w:t>
            </w:r>
          </w:p>
        </w:tc>
        <w:tc>
          <w:tcPr>
            <w:tcW w:w="420" w:type="dxa"/>
            <w:vAlign w:val="bottom"/>
            <w:vMerge w:val="continue"/>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7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5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bottom w:val="single" w:sz="8" w:color="auto"/>
            </w:tcBorders>
            <w:shd w:val="clear" w:color="auto" w:fill="EEEEEE"/>
          </w:tcPr>
          <w:p>
            <w:pPr>
              <w:spacing w:after="0"/>
              <w:rPr>
                <w:sz w:val="18"/>
                <w:szCs w:val="18"/>
                <w:color w:val="auto"/>
              </w:rPr>
            </w:pPr>
          </w:p>
        </w:tc>
        <w:tc>
          <w:tcPr>
            <w:tcW w:w="980" w:type="dxa"/>
            <w:vAlign w:val="bottom"/>
            <w:tcBorders>
              <w:top w:val="single" w:sz="8" w:color="EEEEEE"/>
              <w:bottom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bottom w:val="single" w:sz="8" w:color="auto"/>
            </w:tcBorders>
            <w:shd w:val="clear" w:color="auto" w:fill="EEEEEE"/>
          </w:tcPr>
          <w:p>
            <w:pPr>
              <w:spacing w:after="0"/>
              <w:rPr>
                <w:sz w:val="18"/>
                <w:szCs w:val="18"/>
                <w:color w:val="auto"/>
              </w:rPr>
            </w:pPr>
          </w:p>
        </w:tc>
        <w:tc>
          <w:tcPr>
            <w:tcW w:w="960" w:type="dxa"/>
            <w:vAlign w:val="bottom"/>
            <w:tcBorders>
              <w:top w:val="single" w:sz="8" w:color="EEEEEE"/>
              <w:bottom w:val="single" w:sz="8" w:color="auto"/>
            </w:tcBorders>
            <w:shd w:val="clear" w:color="auto" w:fill="EEEEEE"/>
          </w:tcPr>
          <w:p>
            <w:pPr>
              <w:spacing w:after="0"/>
              <w:rPr>
                <w:sz w:val="18"/>
                <w:szCs w:val="18"/>
                <w:color w:val="auto"/>
              </w:rPr>
            </w:pPr>
          </w:p>
        </w:tc>
        <w:tc>
          <w:tcPr>
            <w:tcW w:w="42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740" w:type="dxa"/>
            <w:vAlign w:val="bottom"/>
            <w:tcBorders>
              <w:bottom w:val="single" w:sz="8" w:color="EEEEEE"/>
            </w:tcBorders>
            <w:gridSpan w:val="5"/>
          </w:tcPr>
          <w:p>
            <w:pPr>
              <w:spacing w:after="0"/>
              <w:rPr>
                <w:sz w:val="20"/>
                <w:szCs w:val="20"/>
                <w:color w:val="auto"/>
              </w:rPr>
            </w:pPr>
            <w:r>
              <w:rPr>
                <w:rFonts w:ascii="Arial" w:cs="Arial" w:eastAsia="Arial" w:hAnsi="Arial"/>
                <w:sz w:val="18"/>
                <w:szCs w:val="18"/>
                <w:color w:val="auto"/>
              </w:rPr>
              <w:t>Net interest income/spread</w:t>
            </w:r>
          </w:p>
        </w:tc>
        <w:tc>
          <w:tcPr>
            <w:tcW w:w="120" w:type="dxa"/>
            <w:vAlign w:val="bottom"/>
            <w:tcBorders>
              <w:bottom w:val="single" w:sz="8" w:color="EEEEEE"/>
            </w:tcBorders>
          </w:tcPr>
          <w:p>
            <w:pPr>
              <w:spacing w:after="0"/>
              <w:rPr>
                <w:sz w:val="22"/>
                <w:szCs w:val="22"/>
                <w:color w:val="auto"/>
              </w:rPr>
            </w:pPr>
          </w:p>
        </w:tc>
        <w:tc>
          <w:tcPr>
            <w:tcW w:w="1040" w:type="dxa"/>
            <w:vAlign w:val="bottom"/>
            <w:tcBorders>
              <w:bottom w:val="single" w:sz="8" w:color="EEEEEE"/>
            </w:tcBorders>
          </w:tcPr>
          <w:p>
            <w:pPr>
              <w:spacing w:after="0"/>
              <w:rPr>
                <w:sz w:val="22"/>
                <w:szCs w:val="22"/>
                <w:color w:val="auto"/>
              </w:rPr>
            </w:pPr>
          </w:p>
        </w:tc>
        <w:tc>
          <w:tcPr>
            <w:tcW w:w="180" w:type="dxa"/>
            <w:vAlign w:val="bottom"/>
            <w:tcBorders>
              <w:bottom w:val="single" w:sz="8" w:color="EEEEEE"/>
            </w:tcBorders>
          </w:tcPr>
          <w:p>
            <w:pPr>
              <w:spacing w:after="0"/>
              <w:rPr>
                <w:sz w:val="22"/>
                <w:szCs w:val="22"/>
                <w:color w:val="auto"/>
              </w:rPr>
            </w:pPr>
          </w:p>
        </w:tc>
        <w:tc>
          <w:tcPr>
            <w:tcW w:w="180" w:type="dxa"/>
            <w:vAlign w:val="bottom"/>
            <w:tcBorders>
              <w:bottom w:val="single" w:sz="8" w:color="EEEEEE"/>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83,697</w:t>
            </w:r>
          </w:p>
        </w:tc>
        <w:tc>
          <w:tcPr>
            <w:tcW w:w="100" w:type="dxa"/>
            <w:vAlign w:val="bottom"/>
            <w:tcBorders>
              <w:bottom w:val="single" w:sz="8" w:color="EEEEEE"/>
            </w:tcBorders>
          </w:tcPr>
          <w:p>
            <w:pPr>
              <w:spacing w:after="0"/>
              <w:rPr>
                <w:sz w:val="22"/>
                <w:szCs w:val="22"/>
                <w:color w:val="auto"/>
              </w:rPr>
            </w:pPr>
          </w:p>
        </w:tc>
        <w:tc>
          <w:tcPr>
            <w:tcW w:w="240" w:type="dxa"/>
            <w:vAlign w:val="bottom"/>
            <w:tcBorders>
              <w:bottom w:val="single" w:sz="8" w:color="EEEEEE"/>
            </w:tcBorders>
          </w:tcPr>
          <w:p>
            <w:pPr>
              <w:spacing w:after="0"/>
              <w:rPr>
                <w:sz w:val="22"/>
                <w:szCs w:val="22"/>
                <w:color w:val="auto"/>
              </w:rPr>
            </w:pPr>
          </w:p>
        </w:tc>
        <w:tc>
          <w:tcPr>
            <w:tcW w:w="1160" w:type="dxa"/>
            <w:vAlign w:val="bottom"/>
            <w:tcBorders>
              <w:bottom w:val="single" w:sz="8" w:color="EEEEEE"/>
            </w:tcBorders>
          </w:tcPr>
          <w:p>
            <w:pPr>
              <w:spacing w:after="0"/>
              <w:rPr>
                <w:sz w:val="22"/>
                <w:szCs w:val="22"/>
                <w:color w:val="auto"/>
              </w:rPr>
            </w:pPr>
          </w:p>
        </w:tc>
        <w:tc>
          <w:tcPr>
            <w:tcW w:w="320" w:type="dxa"/>
            <w:vAlign w:val="bottom"/>
            <w:tcBorders>
              <w:bottom w:val="single" w:sz="8" w:color="EEEEEE"/>
            </w:tcBorders>
          </w:tcPr>
          <w:p>
            <w:pPr>
              <w:spacing w:after="0"/>
              <w:rPr>
                <w:sz w:val="22"/>
                <w:szCs w:val="22"/>
                <w:color w:val="auto"/>
              </w:rPr>
            </w:pPr>
          </w:p>
        </w:tc>
        <w:tc>
          <w:tcPr>
            <w:tcW w:w="120" w:type="dxa"/>
            <w:vAlign w:val="bottom"/>
            <w:tcBorders>
              <w:bottom w:val="single" w:sz="8" w:color="EEEEEE"/>
            </w:tcBorders>
          </w:tcPr>
          <w:p>
            <w:pPr>
              <w:spacing w:after="0"/>
              <w:rPr>
                <w:sz w:val="22"/>
                <w:szCs w:val="22"/>
                <w:color w:val="auto"/>
              </w:rPr>
            </w:pPr>
          </w:p>
        </w:tc>
        <w:tc>
          <w:tcPr>
            <w:tcW w:w="1020" w:type="dxa"/>
            <w:vAlign w:val="bottom"/>
            <w:tcBorders>
              <w:bottom w:val="single" w:sz="8" w:color="EEEEEE"/>
            </w:tcBorders>
          </w:tcPr>
          <w:p>
            <w:pPr>
              <w:spacing w:after="0"/>
              <w:rPr>
                <w:sz w:val="22"/>
                <w:szCs w:val="22"/>
                <w:color w:val="auto"/>
              </w:rPr>
            </w:pPr>
          </w:p>
        </w:tc>
        <w:tc>
          <w:tcPr>
            <w:tcW w:w="320" w:type="dxa"/>
            <w:vAlign w:val="bottom"/>
            <w:tcBorders>
              <w:bottom w:val="single" w:sz="8" w:color="EEEEEE"/>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84,483</w:t>
            </w:r>
          </w:p>
        </w:tc>
        <w:tc>
          <w:tcPr>
            <w:tcW w:w="420" w:type="dxa"/>
            <w:vAlign w:val="bottom"/>
            <w:tcBorders>
              <w:bottom w:val="single" w:sz="8" w:color="EEEEEE"/>
            </w:tcBorders>
          </w:tcPr>
          <w:p>
            <w:pPr>
              <w:spacing w:after="0"/>
              <w:rPr>
                <w:sz w:val="22"/>
                <w:szCs w:val="22"/>
                <w:color w:val="auto"/>
              </w:rPr>
            </w:pPr>
          </w:p>
        </w:tc>
        <w:tc>
          <w:tcPr>
            <w:tcW w:w="104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40" w:type="dxa"/>
            <w:vAlign w:val="bottom"/>
            <w:gridSpan w:val="5"/>
            <w:shd w:val="clear" w:color="auto" w:fill="EEEEEE"/>
          </w:tcPr>
          <w:p>
            <w:pPr>
              <w:spacing w:after="0" w:line="196" w:lineRule="exact"/>
              <w:rPr>
                <w:sz w:val="20"/>
                <w:szCs w:val="20"/>
                <w:color w:val="auto"/>
              </w:rPr>
            </w:pPr>
            <w:r>
              <w:rPr>
                <w:rFonts w:ascii="Arial" w:cs="Arial" w:eastAsia="Arial" w:hAnsi="Arial"/>
                <w:sz w:val="18"/>
                <w:szCs w:val="18"/>
                <w:color w:val="auto"/>
              </w:rPr>
              <w:t>Net interest yield (4)</w:t>
            </w:r>
          </w:p>
        </w:tc>
        <w:tc>
          <w:tcPr>
            <w:tcW w:w="1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720" w:type="dxa"/>
            <w:vAlign w:val="bottom"/>
            <w:gridSpan w:val="3"/>
            <w:shd w:val="clear" w:color="auto" w:fill="EEEEEE"/>
          </w:tcPr>
          <w:p>
            <w:pPr>
              <w:jc w:val="right"/>
              <w:ind w:right="320"/>
              <w:spacing w:after="0" w:line="196" w:lineRule="exact"/>
              <w:rPr>
                <w:sz w:val="20"/>
                <w:szCs w:val="20"/>
                <w:color w:val="auto"/>
              </w:rPr>
            </w:pPr>
            <w:r>
              <w:rPr>
                <w:rFonts w:ascii="Arial" w:cs="Arial" w:eastAsia="Arial" w:hAnsi="Arial"/>
                <w:sz w:val="18"/>
                <w:szCs w:val="18"/>
                <w:color w:val="auto"/>
              </w:rPr>
              <w:t>14.4%</w:t>
            </w: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140" w:type="dxa"/>
            <w:vAlign w:val="bottom"/>
            <w:gridSpan w:val="2"/>
            <w:shd w:val="clear" w:color="auto" w:fill="EEEEEE"/>
          </w:tcPr>
          <w:p>
            <w:pPr>
              <w:jc w:val="right"/>
              <w:ind w:right="100"/>
              <w:spacing w:after="0" w:line="196"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40" w:type="dxa"/>
            <w:vAlign w:val="bottom"/>
            <w:gridSpan w:val="5"/>
            <w:shd w:val="clear" w:color="auto" w:fill="EEEEEE"/>
          </w:tcPr>
          <w:p>
            <w:pPr>
              <w:spacing w:after="0" w:line="201" w:lineRule="exact"/>
              <w:rPr>
                <w:sz w:val="20"/>
                <w:szCs w:val="20"/>
                <w:color w:val="auto"/>
              </w:rPr>
            </w:pPr>
            <w:r>
              <w:rPr>
                <w:rFonts w:ascii="Arial" w:cs="Arial" w:eastAsia="Arial" w:hAnsi="Arial"/>
                <w:sz w:val="18"/>
                <w:szCs w:val="18"/>
                <w:color w:val="auto"/>
              </w:rPr>
              <w:t>Ratio of average interest earning</w:t>
            </w:r>
          </w:p>
        </w:tc>
        <w:tc>
          <w:tcPr>
            <w:tcW w:w="1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580" w:type="dxa"/>
            <w:vAlign w:val="bottom"/>
            <w:gridSpan w:val="4"/>
            <w:shd w:val="clear" w:color="auto" w:fill="EEEEEE"/>
          </w:tcPr>
          <w:p>
            <w:pPr>
              <w:ind w:left="20"/>
              <w:spacing w:after="0"/>
              <w:rPr>
                <w:sz w:val="20"/>
                <w:szCs w:val="20"/>
                <w:color w:val="auto"/>
              </w:rPr>
            </w:pPr>
            <w:r>
              <w:rPr>
                <w:rFonts w:ascii="Arial" w:cs="Arial" w:eastAsia="Arial" w:hAnsi="Arial"/>
                <w:sz w:val="18"/>
                <w:szCs w:val="18"/>
                <w:color w:val="auto"/>
              </w:rPr>
              <w:t>assets to average interest</w:t>
            </w:r>
          </w:p>
        </w:tc>
        <w:tc>
          <w:tcPr>
            <w:tcW w:w="1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2580" w:type="dxa"/>
            <w:vAlign w:val="bottom"/>
            <w:gridSpan w:val="4"/>
            <w:shd w:val="clear" w:color="auto" w:fill="EEEEEE"/>
          </w:tcPr>
          <w:p>
            <w:pPr>
              <w:ind w:left="20"/>
              <w:spacing w:after="0"/>
              <w:rPr>
                <w:sz w:val="20"/>
                <w:szCs w:val="20"/>
                <w:color w:val="auto"/>
              </w:rPr>
            </w:pPr>
            <w:r>
              <w:rPr>
                <w:rFonts w:ascii="Arial" w:cs="Arial" w:eastAsia="Arial" w:hAnsi="Arial"/>
                <w:sz w:val="18"/>
                <w:szCs w:val="18"/>
                <w:color w:val="auto"/>
              </w:rPr>
              <w:t>bearing liabilities</w:t>
            </w:r>
          </w:p>
        </w:tc>
        <w:tc>
          <w:tcPr>
            <w:tcW w:w="120" w:type="dxa"/>
            <w:vAlign w:val="bottom"/>
            <w:shd w:val="clear" w:color="auto" w:fill="EEEEEE"/>
          </w:tcPr>
          <w:p>
            <w:pPr>
              <w:spacing w:after="0"/>
              <w:rPr>
                <w:sz w:val="20"/>
                <w:szCs w:val="20"/>
                <w:color w:val="auto"/>
              </w:rPr>
            </w:pPr>
          </w:p>
        </w:tc>
        <w:tc>
          <w:tcPr>
            <w:tcW w:w="104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98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102%</w:t>
            </w:r>
          </w:p>
        </w:tc>
        <w:tc>
          <w:tcPr>
            <w:tcW w:w="3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02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20" w:hanging="287"/>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Average balances are based on month end balances except for warehouse lines of credit, which are based on daily balances.</w:t>
      </w:r>
    </w:p>
    <w:p>
      <w:pPr>
        <w:spacing w:after="0" w:line="23" w:lineRule="exact"/>
        <w:rPr>
          <w:rFonts w:ascii="Arial" w:cs="Arial" w:eastAsia="Arial" w:hAnsi="Arial"/>
          <w:sz w:val="18"/>
          <w:szCs w:val="18"/>
          <w:color w:val="auto"/>
        </w:rPr>
      </w:pPr>
    </w:p>
    <w:p>
      <w:pPr>
        <w:ind w:left="540" w:hanging="307"/>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of deferred fees and direct costs.</w:t>
      </w:r>
    </w:p>
    <w:p>
      <w:pPr>
        <w:spacing w:after="0" w:line="9" w:lineRule="exact"/>
        <w:rPr>
          <w:rFonts w:ascii="Arial" w:cs="Arial" w:eastAsia="Arial" w:hAnsi="Arial"/>
          <w:sz w:val="18"/>
          <w:szCs w:val="18"/>
          <w:color w:val="auto"/>
        </w:rPr>
      </w:pPr>
    </w:p>
    <w:p>
      <w:pPr>
        <w:ind w:left="540" w:hanging="307"/>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expense includes deferred financing costs and non-utilization fees.</w:t>
      </w:r>
    </w:p>
    <w:p>
      <w:pPr>
        <w:spacing w:after="0" w:line="9" w:lineRule="exact"/>
        <w:rPr>
          <w:rFonts w:ascii="Arial" w:cs="Arial" w:eastAsia="Arial" w:hAnsi="Arial"/>
          <w:sz w:val="18"/>
          <w:szCs w:val="18"/>
          <w:color w:val="auto"/>
        </w:rPr>
      </w:pPr>
    </w:p>
    <w:p>
      <w:pPr>
        <w:ind w:left="520" w:hanging="287"/>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Annualized net interest income divided by average interest earning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40" w:type="dxa"/>
            <w:vAlign w:val="bottom"/>
            <w:gridSpan w:val="10"/>
          </w:tcPr>
          <w:p>
            <w:pPr>
              <w:jc w:val="center"/>
              <w:ind w:right="420"/>
              <w:spacing w:after="0"/>
              <w:rPr>
                <w:sz w:val="20"/>
                <w:szCs w:val="20"/>
                <w:color w:val="auto"/>
              </w:rPr>
            </w:pPr>
            <w:r>
              <w:rPr>
                <w:rFonts w:ascii="Arial" w:cs="Arial" w:eastAsia="Arial" w:hAnsi="Arial"/>
                <w:sz w:val="18"/>
                <w:szCs w:val="18"/>
                <w:b w:val="1"/>
                <w:bCs w:val="1"/>
                <w:color w:val="auto"/>
                <w:w w:val="90"/>
              </w:rPr>
              <w:t>Three Months Ended September 30, 2017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40" w:type="dxa"/>
            <w:vAlign w:val="bottom"/>
            <w:gridSpan w:val="10"/>
          </w:tcPr>
          <w:p>
            <w:pPr>
              <w:jc w:val="right"/>
              <w:ind w:right="1100"/>
              <w:spacing w:after="0"/>
              <w:rPr>
                <w:sz w:val="20"/>
                <w:szCs w:val="20"/>
                <w:color w:val="auto"/>
              </w:rPr>
            </w:pPr>
            <w:r>
              <w:rPr>
                <w:rFonts w:ascii="Arial" w:cs="Arial" w:eastAsia="Arial" w:hAnsi="Arial"/>
                <w:sz w:val="18"/>
                <w:szCs w:val="18"/>
                <w:b w:val="1"/>
                <w:bCs w:val="1"/>
                <w:color w:val="auto"/>
              </w:rPr>
              <w:t>Compared to September 30, 2016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jc w:val="center"/>
              <w:ind w:right="460"/>
              <w:spacing w:after="0" w:line="191" w:lineRule="exact"/>
              <w:rPr>
                <w:sz w:val="20"/>
                <w:szCs w:val="20"/>
                <w:color w:val="auto"/>
              </w:rPr>
            </w:pPr>
            <w:r>
              <w:rPr>
                <w:rFonts w:ascii="Arial" w:cs="Arial" w:eastAsia="Arial" w:hAnsi="Arial"/>
                <w:sz w:val="18"/>
                <w:szCs w:val="18"/>
                <w:b w:val="1"/>
                <w:bCs w:val="1"/>
                <w:color w:val="auto"/>
                <w:w w:val="88"/>
              </w:rPr>
              <w:t>Total</w:t>
            </w:r>
          </w:p>
        </w:tc>
        <w:tc>
          <w:tcPr>
            <w:tcW w:w="1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9"/>
              </w:rPr>
              <w:t>Change Due</w:t>
            </w: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w w:val="97"/>
              </w:rPr>
              <w:t>Change Due</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Change</w:t>
            </w:r>
          </w:p>
        </w:tc>
        <w:tc>
          <w:tcPr>
            <w:tcW w:w="14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to Volume</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to Rate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gridSpan w:val="3"/>
            <w:vMerge w:val="restart"/>
          </w:tcPr>
          <w:p>
            <w:pPr>
              <w:jc w:val="center"/>
              <w:ind w:right="800"/>
              <w:spacing w:after="0"/>
              <w:rPr>
                <w:sz w:val="20"/>
                <w:szCs w:val="20"/>
                <w:color w:val="auto"/>
              </w:rPr>
            </w:pPr>
            <w:r>
              <w:rPr>
                <w:rFonts w:ascii="Arial" w:cs="Arial" w:eastAsia="Arial" w:hAnsi="Arial"/>
                <w:sz w:val="18"/>
                <w:szCs w:val="18"/>
                <w:b w:val="1"/>
                <w:bCs w:val="1"/>
                <w:color w:val="auto"/>
                <w:w w:val="88"/>
              </w:rPr>
              <w:t>Interest Earning Assets</w:t>
            </w: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w w:val="91"/>
              </w:rPr>
              <w:t>(In thousands)</w:t>
            </w: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8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1,638</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3,373</w:t>
            </w:r>
          </w:p>
        </w:tc>
        <w:tc>
          <w:tcPr>
            <w:tcW w:w="180" w:type="dxa"/>
            <w:vAlign w:val="bottom"/>
            <w:gridSpan w:val="2"/>
            <w:shd w:val="clear" w:color="auto" w:fill="EEEEEE"/>
          </w:tcPr>
          <w:p>
            <w:pPr>
              <w:jc w:val="right"/>
              <w:ind w:right="50"/>
              <w:spacing w:after="0"/>
              <w:rPr>
                <w:sz w:val="20"/>
                <w:szCs w:val="20"/>
                <w:color w:val="auto"/>
              </w:rPr>
            </w:pPr>
            <w:r>
              <w:rPr>
                <w:rFonts w:ascii="Arial" w:cs="Arial" w:eastAsia="Arial" w:hAnsi="Arial"/>
                <w:sz w:val="15"/>
                <w:szCs w:val="15"/>
                <w:color w:val="auto"/>
                <w:w w:val="71"/>
              </w:rPr>
              <w:t>$</w:t>
            </w:r>
          </w:p>
        </w:tc>
        <w:tc>
          <w:tcPr>
            <w:tcW w:w="134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80" w:type="dxa"/>
            <w:vAlign w:val="bottom"/>
            <w:gridSpan w:val="5"/>
            <w:shd w:val="clear" w:color="auto" w:fill="EEEEEE"/>
          </w:tcPr>
          <w:p>
            <w:pPr>
              <w:jc w:val="center"/>
              <w:ind w:right="10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240" w:type="dxa"/>
            <w:vAlign w:val="bottom"/>
            <w:shd w:val="clear" w:color="auto" w:fill="EEEEEE"/>
          </w:tcPr>
          <w:p>
            <w:pPr>
              <w:spacing w:after="0"/>
              <w:rPr>
                <w:sz w:val="15"/>
                <w:szCs w:val="15"/>
                <w:color w:val="auto"/>
              </w:rPr>
            </w:pPr>
          </w:p>
        </w:tc>
        <w:tc>
          <w:tcPr>
            <w:tcW w:w="124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126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12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EEEEEE"/>
          </w:tcPr>
          <w:p>
            <w:pPr>
              <w:spacing w:after="0" w:line="20" w:lineRule="exact"/>
              <w:rPr>
                <w:sz w:val="1"/>
                <w:szCs w:val="1"/>
                <w:color w:val="auto"/>
              </w:rPr>
            </w:pPr>
          </w:p>
        </w:tc>
        <w:tc>
          <w:tcPr>
            <w:tcW w:w="1780" w:type="dxa"/>
            <w:vAlign w:val="bottom"/>
            <w:tcBorders>
              <w:top w:val="single" w:sz="8" w:color="auto"/>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EEEEEE"/>
          </w:tcPr>
          <w:p>
            <w:pPr>
              <w:spacing w:after="0" w:line="20" w:lineRule="exact"/>
              <w:rPr>
                <w:sz w:val="1"/>
                <w:szCs w:val="1"/>
                <w:color w:val="auto"/>
              </w:rPr>
            </w:pPr>
          </w:p>
        </w:tc>
        <w:tc>
          <w:tcPr>
            <w:tcW w:w="66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24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26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2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gridSpan w:val="5"/>
          </w:tcPr>
          <w:p>
            <w:pPr>
              <w:spacing w:after="0"/>
              <w:rPr>
                <w:sz w:val="20"/>
                <w:szCs w:val="20"/>
                <w:color w:val="auto"/>
              </w:rPr>
            </w:pPr>
            <w:r>
              <w:rPr>
                <w:rFonts w:ascii="Arial" w:cs="Arial" w:eastAsia="Arial" w:hAnsi="Arial"/>
                <w:sz w:val="18"/>
                <w:szCs w:val="18"/>
                <w:color w:val="auto"/>
              </w:rPr>
              <w:t>Warehouse lines of credit</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(233)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4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(227)</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(227)</w:t>
            </w: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34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5"/>
          </w:tcPr>
          <w:p>
            <w:pPr>
              <w:spacing w:after="0"/>
              <w:rPr>
                <w:sz w:val="20"/>
                <w:szCs w:val="20"/>
                <w:color w:val="auto"/>
              </w:rPr>
            </w:pPr>
            <w:r>
              <w:rPr>
                <w:rFonts w:ascii="Arial" w:cs="Arial" w:eastAsia="Arial" w:hAnsi="Arial"/>
                <w:sz w:val="18"/>
                <w:szCs w:val="18"/>
                <w:color w:val="auto"/>
              </w:rPr>
              <w:t>Securitization trust debt</w:t>
            </w:r>
          </w:p>
        </w:tc>
        <w:tc>
          <w:tcPr>
            <w:tcW w:w="2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561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2,184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8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240" w:type="dxa"/>
            <w:vAlign w:val="bottom"/>
            <w:shd w:val="clear" w:color="auto" w:fill="EEEEEE"/>
          </w:tcPr>
          <w:p>
            <w:pPr>
              <w:spacing w:after="0"/>
              <w:rPr>
                <w:sz w:val="19"/>
                <w:szCs w:val="19"/>
                <w:color w:val="auto"/>
              </w:rPr>
            </w:pPr>
          </w:p>
        </w:tc>
        <w:tc>
          <w:tcPr>
            <w:tcW w:w="12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23</w:t>
            </w:r>
          </w:p>
        </w:tc>
        <w:tc>
          <w:tcPr>
            <w:tcW w:w="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31</w:t>
            </w:r>
          </w:p>
        </w:tc>
        <w:tc>
          <w:tcPr>
            <w:tcW w:w="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34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2,424</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7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660" w:type="dxa"/>
            <w:vAlign w:val="bottom"/>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spacing w:after="0"/>
              <w:rPr>
                <w:sz w:val="19"/>
                <w:szCs w:val="19"/>
                <w:color w:val="auto"/>
              </w:rPr>
            </w:pPr>
          </w:p>
        </w:tc>
        <w:tc>
          <w:tcPr>
            <w:tcW w:w="1240" w:type="dxa"/>
            <w:vAlign w:val="bottom"/>
            <w:tcBorders>
              <w:bottom w:val="single" w:sz="8" w:color="auto"/>
            </w:tcBorders>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spacing w:after="0"/>
              <w:rPr>
                <w:sz w:val="19"/>
                <w:szCs w:val="19"/>
                <w:color w:val="auto"/>
              </w:rPr>
            </w:pPr>
          </w:p>
        </w:tc>
        <w:tc>
          <w:tcPr>
            <w:tcW w:w="1260" w:type="dxa"/>
            <w:vAlign w:val="bottom"/>
            <w:tcBorders>
              <w:bottom w:val="single" w:sz="8" w:color="auto"/>
            </w:tcBorders>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1240" w:type="dxa"/>
            <w:vAlign w:val="bottom"/>
            <w:tcBorders>
              <w:bottom w:val="single" w:sz="8" w:color="auto"/>
            </w:tcBorders>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gridSpan w:val="5"/>
          </w:tcPr>
          <w:p>
            <w:pPr>
              <w:spacing w:after="0"/>
              <w:rPr>
                <w:sz w:val="20"/>
                <w:szCs w:val="20"/>
                <w:color w:val="auto"/>
              </w:rPr>
            </w:pPr>
            <w:r>
              <w:rPr>
                <w:rFonts w:ascii="Arial" w:cs="Arial" w:eastAsia="Arial" w:hAnsi="Arial"/>
                <w:sz w:val="18"/>
                <w:szCs w:val="18"/>
                <w:color w:val="auto"/>
              </w:rPr>
              <w:t>Net interest income/spread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(786)</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3,241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(4,027</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reduction in the annualized yield on our finance receivables for the three months ended September 30, 2017 compared to the prior year period is the result of our decision to offer dealers slightly lower acquisition fees and also to require slightly lower contract interest rates on a portion of the contracts we purchase.</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Provision for credit losses was $47.3 million for the three months ended September 30, 2017, an increase of $1.1 million, or 2.3% compared to the prior year and represented 46.7% of total operating expenses. The provision for credit losses maintains the allowance for finance credit losses at levels that we feel are adequate for probable incurred credit losses that can be reasonably estimated. Our approach for establishing the allowance requires greater amounts of provision for credit losses early in the terms of our finance receivables. In addition, we monitor the delinquency and net charge off rates in our portfolio to consider how such rates may affect the allowance for finance credit losses. Consequently, the increase in provision expense is the result of the increase in contract purchases, the larger portfolio owned by our consolidated subsidiaries, and somewhat higher delinquency and charge off rates compared to the prior year.</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Marketing expenses consist primarily of commission-based compensation paid to our employee marketing representatives. Our marketing representatives earn a salary plus commissions based on volume of contract purchases and sales of ancillary products and services that we offer our dealers, such as training programs, internet lead sales, and direct mail products. Marketing expenses decreased by $656,000, or 14.7%, to $3.8 million during the three months ended September 30, 2017, compared to $4.5 million in the prior year period, and represented 3.8% of total operating expenses. For the three months ended September 30, 2017, we purchased 12,589 contracts representing $204.7 million in receivables compared to 14,706 contracts representing $242.1 million in receivables in the prior period.</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Occupancy expenses increased by $627,000 or 50.7%, to $1.9 million compared to $1.2 million in the previous year and represented 1.8% of total operating expenses. In July 2015, we entered into a lease for additional office space in Irvine, California. We then occupied that space, and incurred incremental occupancy expense, in phases. The first phase was in July 2015 and the second and final phase was in April 2016. In May 2017, we acquired additional office space in Las Vegas, Nevada.</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Depreciation and amortization expenses increased by $42,000 or 20.9%, to $244,000 compared to $202,000 in the previous year and represented 0.2% of total operating expenses.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the three months ended September 30, 2017, we recorded income tax expense of $3.4 million, representing a 42.5% effective income tax rate. In the prior year period, we recorded $5.1 million in income tax expense, representing a 41.0% effective income tax rate.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Comparison of Operating Results for the nine months ended September 30, 2017 with the nine months ended September 30, 2016</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Revenues</w:t>
      </w:r>
      <w:r>
        <w:rPr>
          <w:rFonts w:ascii="Arial" w:cs="Arial" w:eastAsia="Arial" w:hAnsi="Arial"/>
          <w:sz w:val="17"/>
          <w:szCs w:val="17"/>
          <w:color w:val="auto"/>
        </w:rPr>
        <w:t>. During the nine months ended September 30, 2017, our revenues were $327.2 million, an increase of $13.1 million, or 4.2%,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prior year revenue of $314.1 million. The primary reason for the increase in revenues is an increase in interest income. Interest income for the nine months ended September 30, 2017 increased $15.3 million, or 5.0%, to $319.0 million from $303.7 million in the prior year. The primary reason for the increase in interest income is the increase in finance receivables held by consolidated subsidiaries. The table below shows the outstanding and average balances of our portfolio held by consolidated subsidiaries for the nine months ended September 30, 2017 and 2016:</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19"/>
                <w:szCs w:val="19"/>
                <w:color w:val="auto"/>
              </w:rPr>
            </w:pPr>
          </w:p>
        </w:tc>
        <w:tc>
          <w:tcPr>
            <w:tcW w:w="17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0"/>
              </w:rPr>
              <w:t>September 30, 2017</w:t>
            </w:r>
          </w:p>
        </w:tc>
        <w:tc>
          <w:tcPr>
            <w:tcW w:w="18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September 30, 2016</w:t>
            </w:r>
          </w:p>
        </w:tc>
        <w:tc>
          <w:tcPr>
            <w:tcW w:w="0" w:type="dxa"/>
            <w:vAlign w:val="bottom"/>
          </w:tcPr>
          <w:p>
            <w:pPr>
              <w:spacing w:after="0"/>
              <w:rPr>
                <w:sz w:val="1"/>
                <w:szCs w:val="1"/>
                <w:color w:val="auto"/>
              </w:rPr>
            </w:pPr>
          </w:p>
        </w:tc>
      </w:tr>
      <w:tr>
        <w:trPr>
          <w:trHeight w:val="234"/>
        </w:trPr>
        <w:tc>
          <w:tcPr>
            <w:tcW w:w="778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88"/>
              </w:rPr>
              <w:t>Finance Receivables Owned by</w:t>
            </w:r>
          </w:p>
        </w:tc>
        <w:tc>
          <w:tcPr>
            <w:tcW w:w="280" w:type="dxa"/>
            <w:vAlign w:val="bottom"/>
          </w:tcPr>
          <w:p>
            <w:pPr>
              <w:spacing w:after="0"/>
              <w:rPr>
                <w:sz w:val="20"/>
                <w:szCs w:val="20"/>
                <w:color w:val="auto"/>
              </w:rPr>
            </w:pPr>
          </w:p>
        </w:tc>
        <w:tc>
          <w:tcPr>
            <w:tcW w:w="1500" w:type="dxa"/>
            <w:vAlign w:val="bottom"/>
          </w:tcPr>
          <w:p>
            <w:pPr>
              <w:jc w:val="right"/>
              <w:ind w:right="570"/>
              <w:spacing w:after="0"/>
              <w:rPr>
                <w:sz w:val="20"/>
                <w:szCs w:val="20"/>
                <w:color w:val="auto"/>
              </w:rPr>
            </w:pPr>
            <w:r>
              <w:rPr>
                <w:rFonts w:ascii="Arial" w:cs="Arial" w:eastAsia="Arial" w:hAnsi="Arial"/>
                <w:sz w:val="18"/>
                <w:szCs w:val="18"/>
                <w:b w:val="1"/>
                <w:bCs w:val="1"/>
                <w:color w:val="auto"/>
              </w:rPr>
              <w:t>Amount</w:t>
            </w:r>
          </w:p>
        </w:tc>
        <w:tc>
          <w:tcPr>
            <w:tcW w:w="580" w:type="dxa"/>
            <w:vAlign w:val="bottom"/>
          </w:tcPr>
          <w:p>
            <w:pPr>
              <w:spacing w:after="0"/>
              <w:rPr>
                <w:sz w:val="20"/>
                <w:szCs w:val="20"/>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191"/>
        </w:trPr>
        <w:tc>
          <w:tcPr>
            <w:tcW w:w="7780" w:type="dxa"/>
            <w:vAlign w:val="bottom"/>
            <w:vMerge w:val="continue"/>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rPr>
              <w:t>($ in millions)</w:t>
            </w: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7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Consolidated Subsidiaries</w:t>
            </w: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Average balance for the six-month period</w:t>
            </w:r>
          </w:p>
        </w:tc>
        <w:tc>
          <w:tcPr>
            <w:tcW w:w="280" w:type="dxa"/>
            <w:vAlign w:val="bottom"/>
            <w:shd w:val="clear" w:color="auto" w:fill="EEEEEE"/>
          </w:tcPr>
          <w:p>
            <w:pPr>
              <w:jc w:val="right"/>
              <w:ind w:right="120"/>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2,332.3</w:t>
            </w:r>
          </w:p>
        </w:tc>
        <w:tc>
          <w:tcPr>
            <w:tcW w:w="580" w:type="dxa"/>
            <w:vAlign w:val="bottom"/>
            <w:shd w:val="clear" w:color="auto" w:fill="EEEEEE"/>
          </w:tcPr>
          <w:p>
            <w:pPr>
              <w:jc w:val="right"/>
              <w:ind w:right="23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2,157.3</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Ending balance for the period</w:t>
            </w:r>
          </w:p>
        </w:tc>
        <w:tc>
          <w:tcPr>
            <w:tcW w:w="280" w:type="dxa"/>
            <w:vAlign w:val="bottom"/>
            <w:shd w:val="clear" w:color="auto" w:fill="EEEEEE"/>
          </w:tcPr>
          <w:p>
            <w:pPr>
              <w:jc w:val="right"/>
              <w:ind w:right="120"/>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2,346.0</w:t>
            </w:r>
          </w:p>
        </w:tc>
        <w:tc>
          <w:tcPr>
            <w:tcW w:w="580" w:type="dxa"/>
            <w:vAlign w:val="bottom"/>
            <w:shd w:val="clear" w:color="auto" w:fill="EEEEEE"/>
          </w:tcPr>
          <w:p>
            <w:pPr>
              <w:jc w:val="right"/>
              <w:ind w:right="23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2,291.7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nine months ended September 30, 2017, other income of $8.1 million decreased by $2.3 million, or 21.9% compared to the prior year. The nine-month period ended September 30, 2017 includes a decrease of $2.0 million in revenue associated with direct mail and other related products and services that we offer to our dealers, a decrease of $115,000 in payments from third-party providers of convenience fees paid by our customers for web based and other electronic payments, and a decrease of $142,000 on payments to us for our interest in certain sold charge offs and acquired third-party portfolios. Those decreases were somewhat offset by an increase of $32,000 on sales tax refunds.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Our operating expenses consist largely of provision for credit losses, interest expense, employee costs, marketing and general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expenses. Provision for credit losses and interest expense are significantly affected by the volume of automobile contracts we purchased during the trailing 12-month period and by the outstanding balance of finance receivables held by consolidated subsidiaries.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marketing and advertising expenses, and depreciation and amortization.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Total operating expenses were $303.3 million for the nine months ended September 30, 2017, compared to $277.1 million for the prior period, an increase of $26.2 million, or 9.5%. The increase is primarily due to the increase in our consolidated portfolio and associated servicing costs, and the related increases in interest expense and in our provision for credit losses.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6" w:name="page27"/>
    <w:bookmarkEnd w:id="26"/>
    <w:p>
      <w:pPr>
        <w:jc w:val="both"/>
        <w:ind w:firstLine="648"/>
        <w:spacing w:after="0" w:line="286" w:lineRule="auto"/>
        <w:rPr>
          <w:sz w:val="20"/>
          <w:szCs w:val="20"/>
          <w:color w:val="auto"/>
        </w:rPr>
      </w:pPr>
      <w:r>
        <w:rPr>
          <w:rFonts w:ascii="Arial" w:cs="Arial" w:eastAsia="Arial" w:hAnsi="Arial"/>
          <w:sz w:val="17"/>
          <w:szCs w:val="17"/>
          <w:color w:val="auto"/>
        </w:rPr>
        <w:t>Employee costs increased by $6.3 million or 13.3%, to $53.8 million during the nine months ended September 30, 2017, representing 17.7% of total operating expenses, from $47.5 million for the prior year, or 17.1% of total operating expenses. The table below summarizes our employees by category as well as contract purchases and units in our managed portfolio as of, and for the nine-month periods ended, September 30, 2017 and 2016: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 2017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September 30, 2016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80" w:type="dxa"/>
            <w:vAlign w:val="bottom"/>
            <w:tcBorders>
              <w:top w:val="single" w:sz="8" w:color="auto"/>
            </w:tcBorders>
            <w:gridSpan w:val="5"/>
          </w:tcPr>
          <w:p>
            <w:pPr>
              <w:jc w:val="right"/>
              <w:ind w:right="1390"/>
              <w:spacing w:after="0"/>
              <w:rPr>
                <w:sz w:val="20"/>
                <w:szCs w:val="20"/>
                <w:color w:val="auto"/>
              </w:rPr>
            </w:pPr>
            <w:r>
              <w:rPr>
                <w:rFonts w:ascii="Arial" w:cs="Arial" w:eastAsia="Arial" w:hAnsi="Arial"/>
                <w:sz w:val="18"/>
                <w:szCs w:val="18"/>
                <w:b w:val="1"/>
                <w:bCs w:val="1"/>
                <w:color w:val="auto"/>
              </w:rPr>
              <w:t>($ in millions)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668.3</w:t>
            </w:r>
          </w:p>
        </w:tc>
        <w:tc>
          <w:tcPr>
            <w:tcW w:w="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873.5</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12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41,137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53,244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2,346.0</w:t>
            </w:r>
          </w:p>
        </w:tc>
        <w:tc>
          <w:tcPr>
            <w:tcW w:w="160" w:type="dxa"/>
            <w:vAlign w:val="bottom"/>
            <w:shd w:val="clear" w:color="auto" w:fill="EEEEEE"/>
          </w:tcPr>
          <w:p>
            <w:pPr>
              <w:spacing w:after="0"/>
              <w:rPr>
                <w:sz w:val="18"/>
                <w:szCs w:val="18"/>
                <w:color w:val="auto"/>
              </w:rPr>
            </w:pPr>
          </w:p>
        </w:tc>
        <w:tc>
          <w:tcPr>
            <w:tcW w:w="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2,291.9</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12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174,383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167,636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12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210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EEEEEE"/>
          </w:tcPr>
          <w:p>
            <w:pPr>
              <w:spacing w:after="0"/>
              <w:rPr>
                <w:sz w:val="20"/>
                <w:szCs w:val="20"/>
                <w:color w:val="auto"/>
              </w:rPr>
            </w:pPr>
            <w:r>
              <w:rPr>
                <w:rFonts w:ascii="Arial" w:cs="Arial" w:eastAsia="Arial" w:hAnsi="Arial"/>
                <w:sz w:val="18"/>
                <w:szCs w:val="18"/>
                <w:color w:val="auto"/>
              </w:rPr>
              <w:t>Number of Marketing staff</w:t>
            </w:r>
          </w:p>
        </w:tc>
        <w:tc>
          <w:tcPr>
            <w:tcW w:w="120" w:type="dxa"/>
            <w:vAlign w:val="bottom"/>
            <w:shd w:val="clear" w:color="auto" w:fill="EEEEEE"/>
          </w:tcPr>
          <w:p>
            <w:pPr>
              <w:spacing w:after="0"/>
              <w:rPr>
                <w:sz w:val="18"/>
                <w:szCs w:val="18"/>
                <w:color w:val="auto"/>
              </w:rPr>
            </w:pPr>
          </w:p>
        </w:tc>
        <w:tc>
          <w:tcPr>
            <w:tcW w:w="18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98</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12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564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521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120" w:type="dxa"/>
            <w:vAlign w:val="bottom"/>
            <w:shd w:val="clear" w:color="auto" w:fill="EEEEEE"/>
          </w:tcPr>
          <w:p>
            <w:pPr>
              <w:spacing w:after="0"/>
              <w:rPr>
                <w:sz w:val="19"/>
                <w:szCs w:val="19"/>
                <w:color w:val="auto"/>
              </w:rPr>
            </w:pPr>
          </w:p>
        </w:tc>
        <w:tc>
          <w:tcPr>
            <w:tcW w:w="1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93</w:t>
            </w:r>
          </w:p>
        </w:tc>
        <w:tc>
          <w:tcPr>
            <w:tcW w:w="1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8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12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$20.1 million, an increase of $1.9 million, or 10.3% compared to the previous year and represented 6.6% of total operating expenses.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expense for the nine months ended September 30, 2017 increased by $10.2 million to $68.6 million, or 17.5% and represented 22.6% of total operating expenses, compared to $58.4 million in the previous year, when it was 21.1% of total operating expenses.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Interest on securitization trust debt increased by $11.7 million, or 23.5%, for the nine months ended September 30, 2017 compared to the prior period. The average balance of securitization trust debt increased 6.2% to $2,173.4 million for the nine months ended September 30, 2017 compared to $2,046.8 million for the nine months ended September 30, 2016. In addition, the blended interest rates on new term securitizations have generally increased since September 2014. As a result, the cost of securitization debt during the nine-month period ended September 30, 2017 was 3.8%, compared to 3.2% in the prior year period. For any particular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accept, which in turn, is influenced by investor demand for our bonds at the time of the securitization. These and other factors have resulted in a general trend toward higher securitization trust debt interest costs since September 2014, although that trend has reversed somewhat since July 2016. The blended interest rates of our recent securitizations are summarized in the table below:</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Blended Cost of Funds on Recent Asset-Backed Term Securitizations</w:t>
      </w:r>
    </w:p>
    <w:p>
      <w:pPr>
        <w:spacing w:after="0" w:line="225"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398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89"/>
              </w:rPr>
              <w:t>Period</w:t>
            </w:r>
          </w:p>
        </w:tc>
        <w:tc>
          <w:tcPr>
            <w:tcW w:w="17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Blended Cost of</w:t>
            </w:r>
          </w:p>
        </w:tc>
        <w:tc>
          <w:tcPr>
            <w:tcW w:w="0" w:type="dxa"/>
            <w:vAlign w:val="bottom"/>
          </w:tcPr>
          <w:p>
            <w:pPr>
              <w:spacing w:after="0"/>
              <w:rPr>
                <w:sz w:val="1"/>
                <w:szCs w:val="1"/>
                <w:color w:val="auto"/>
              </w:rPr>
            </w:pPr>
          </w:p>
        </w:tc>
      </w:tr>
      <w:tr>
        <w:trPr>
          <w:trHeight w:val="234"/>
        </w:trPr>
        <w:tc>
          <w:tcPr>
            <w:tcW w:w="3980" w:type="dxa"/>
            <w:vAlign w:val="bottom"/>
            <w:vMerge w:val="continue"/>
          </w:tcPr>
          <w:p>
            <w:pPr>
              <w:spacing w:after="0"/>
              <w:rPr>
                <w:sz w:val="20"/>
                <w:szCs w:val="20"/>
                <w:color w:val="auto"/>
              </w:rPr>
            </w:pPr>
          </w:p>
        </w:tc>
        <w:tc>
          <w:tcPr>
            <w:tcW w:w="17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Funds</w:t>
            </w:r>
          </w:p>
        </w:tc>
        <w:tc>
          <w:tcPr>
            <w:tcW w:w="0" w:type="dxa"/>
            <w:vAlign w:val="bottom"/>
          </w:tcPr>
          <w:p>
            <w:pPr>
              <w:spacing w:after="0"/>
              <w:rPr>
                <w:sz w:val="1"/>
                <w:szCs w:val="1"/>
                <w:color w:val="auto"/>
              </w:rPr>
            </w:pPr>
          </w:p>
        </w:tc>
      </w:tr>
      <w:tr>
        <w:trPr>
          <w:trHeight w:val="210"/>
        </w:trPr>
        <w:tc>
          <w:tcPr>
            <w:tcW w:w="3980" w:type="dxa"/>
            <w:vAlign w:val="bottom"/>
            <w:tcBorders>
              <w:top w:val="single" w:sz="8" w:color="EEEEEE"/>
            </w:tcBorders>
            <w:shd w:val="clear" w:color="auto" w:fill="EEEEEE"/>
          </w:tcPr>
          <w:p>
            <w:pPr>
              <w:jc w:val="center"/>
              <w:ind w:right="150"/>
              <w:spacing w:after="0"/>
              <w:rPr>
                <w:sz w:val="20"/>
                <w:szCs w:val="20"/>
                <w:color w:val="auto"/>
              </w:rPr>
            </w:pPr>
            <w:r>
              <w:rPr>
                <w:rFonts w:ascii="Arial" w:cs="Arial" w:eastAsia="Arial" w:hAnsi="Arial"/>
                <w:sz w:val="18"/>
                <w:szCs w:val="18"/>
                <w:color w:val="333333"/>
                <w:w w:val="87"/>
              </w:rPr>
              <w:t>June 2014</w:t>
            </w:r>
          </w:p>
        </w:tc>
        <w:tc>
          <w:tcPr>
            <w:tcW w:w="1580" w:type="dxa"/>
            <w:vAlign w:val="bottom"/>
            <w:tcBorders>
              <w:top w:val="single" w:sz="8" w:color="auto"/>
            </w:tcBorders>
            <w:shd w:val="clear" w:color="auto" w:fill="EEEEEE"/>
          </w:tcPr>
          <w:p>
            <w:pPr>
              <w:jc w:val="center"/>
              <w:ind w:left="10"/>
              <w:spacing w:after="0"/>
              <w:rPr>
                <w:sz w:val="20"/>
                <w:szCs w:val="20"/>
                <w:color w:val="auto"/>
              </w:rPr>
            </w:pPr>
            <w:r>
              <w:rPr>
                <w:rFonts w:ascii="Arial" w:cs="Arial" w:eastAsia="Arial" w:hAnsi="Arial"/>
                <w:sz w:val="18"/>
                <w:szCs w:val="18"/>
                <w:color w:val="auto"/>
                <w:w w:val="93"/>
              </w:rPr>
              <w:t>2.37%</w:t>
            </w:r>
          </w:p>
        </w:tc>
        <w:tc>
          <w:tcPr>
            <w:tcW w:w="14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jc w:val="center"/>
              <w:ind w:right="150"/>
              <w:spacing w:after="0"/>
              <w:rPr>
                <w:sz w:val="20"/>
                <w:szCs w:val="20"/>
                <w:color w:val="auto"/>
              </w:rPr>
            </w:pPr>
            <w:r>
              <w:rPr>
                <w:rFonts w:ascii="Arial" w:cs="Arial" w:eastAsia="Arial" w:hAnsi="Arial"/>
                <w:sz w:val="18"/>
                <w:szCs w:val="18"/>
                <w:color w:val="333333"/>
                <w:w w:val="88"/>
              </w:rPr>
              <w:t>September 2014</w:t>
            </w:r>
          </w:p>
        </w:tc>
        <w:tc>
          <w:tcPr>
            <w:tcW w:w="1580" w:type="dxa"/>
            <w:vAlign w:val="bottom"/>
          </w:tcPr>
          <w:p>
            <w:pPr>
              <w:jc w:val="center"/>
              <w:ind w:left="10"/>
              <w:spacing w:after="0"/>
              <w:rPr>
                <w:sz w:val="20"/>
                <w:szCs w:val="20"/>
                <w:color w:val="auto"/>
              </w:rPr>
            </w:pPr>
            <w:r>
              <w:rPr>
                <w:rFonts w:ascii="Arial" w:cs="Arial" w:eastAsia="Arial" w:hAnsi="Arial"/>
                <w:sz w:val="18"/>
                <w:szCs w:val="18"/>
                <w:color w:val="auto"/>
                <w:w w:val="93"/>
              </w:rPr>
              <w:t>2.71%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EEEEEE"/>
          </w:tcPr>
          <w:p>
            <w:pPr>
              <w:jc w:val="center"/>
              <w:ind w:right="150"/>
              <w:spacing w:after="0"/>
              <w:rPr>
                <w:sz w:val="20"/>
                <w:szCs w:val="20"/>
                <w:color w:val="auto"/>
              </w:rPr>
            </w:pPr>
            <w:r>
              <w:rPr>
                <w:rFonts w:ascii="Arial" w:cs="Arial" w:eastAsia="Arial" w:hAnsi="Arial"/>
                <w:sz w:val="18"/>
                <w:szCs w:val="18"/>
                <w:color w:val="333333"/>
                <w:w w:val="88"/>
              </w:rPr>
              <w:t>December 2014</w:t>
            </w:r>
          </w:p>
        </w:tc>
        <w:tc>
          <w:tcPr>
            <w:tcW w:w="158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3"/>
              </w:rPr>
              <w:t>3.07%</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jc w:val="center"/>
              <w:ind w:right="150"/>
              <w:spacing w:after="0"/>
              <w:rPr>
                <w:sz w:val="20"/>
                <w:szCs w:val="20"/>
                <w:color w:val="auto"/>
              </w:rPr>
            </w:pPr>
            <w:r>
              <w:rPr>
                <w:rFonts w:ascii="Arial" w:cs="Arial" w:eastAsia="Arial" w:hAnsi="Arial"/>
                <w:sz w:val="18"/>
                <w:szCs w:val="18"/>
                <w:color w:val="333333"/>
                <w:w w:val="90"/>
              </w:rPr>
              <w:t>March 2015</w:t>
            </w:r>
          </w:p>
        </w:tc>
        <w:tc>
          <w:tcPr>
            <w:tcW w:w="1580" w:type="dxa"/>
            <w:vAlign w:val="bottom"/>
          </w:tcPr>
          <w:p>
            <w:pPr>
              <w:jc w:val="center"/>
              <w:ind w:left="10"/>
              <w:spacing w:after="0"/>
              <w:rPr>
                <w:sz w:val="20"/>
                <w:szCs w:val="20"/>
                <w:color w:val="auto"/>
              </w:rPr>
            </w:pPr>
            <w:r>
              <w:rPr>
                <w:rFonts w:ascii="Arial" w:cs="Arial" w:eastAsia="Arial" w:hAnsi="Arial"/>
                <w:sz w:val="18"/>
                <w:szCs w:val="18"/>
                <w:color w:val="auto"/>
                <w:w w:val="93"/>
              </w:rPr>
              <w:t>3.04%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EEEEEE"/>
          </w:tcPr>
          <w:p>
            <w:pPr>
              <w:jc w:val="center"/>
              <w:ind w:right="150"/>
              <w:spacing w:after="0"/>
              <w:rPr>
                <w:sz w:val="20"/>
                <w:szCs w:val="20"/>
                <w:color w:val="auto"/>
              </w:rPr>
            </w:pPr>
            <w:r>
              <w:rPr>
                <w:rFonts w:ascii="Arial" w:cs="Arial" w:eastAsia="Arial" w:hAnsi="Arial"/>
                <w:sz w:val="18"/>
                <w:szCs w:val="18"/>
                <w:color w:val="333333"/>
                <w:w w:val="87"/>
              </w:rPr>
              <w:t>June 2015</w:t>
            </w:r>
          </w:p>
        </w:tc>
        <w:tc>
          <w:tcPr>
            <w:tcW w:w="158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3"/>
              </w:rPr>
              <w:t>3.18%</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jc w:val="center"/>
              <w:ind w:right="150"/>
              <w:spacing w:after="0"/>
              <w:rPr>
                <w:sz w:val="20"/>
                <w:szCs w:val="20"/>
                <w:color w:val="auto"/>
              </w:rPr>
            </w:pPr>
            <w:r>
              <w:rPr>
                <w:rFonts w:ascii="Arial" w:cs="Arial" w:eastAsia="Arial" w:hAnsi="Arial"/>
                <w:sz w:val="18"/>
                <w:szCs w:val="18"/>
                <w:color w:val="333333"/>
                <w:w w:val="88"/>
              </w:rPr>
              <w:t>September 2015</w:t>
            </w:r>
          </w:p>
        </w:tc>
        <w:tc>
          <w:tcPr>
            <w:tcW w:w="1580" w:type="dxa"/>
            <w:vAlign w:val="bottom"/>
          </w:tcPr>
          <w:p>
            <w:pPr>
              <w:jc w:val="center"/>
              <w:ind w:left="10"/>
              <w:spacing w:after="0"/>
              <w:rPr>
                <w:sz w:val="20"/>
                <w:szCs w:val="20"/>
                <w:color w:val="auto"/>
              </w:rPr>
            </w:pPr>
            <w:r>
              <w:rPr>
                <w:rFonts w:ascii="Arial" w:cs="Arial" w:eastAsia="Arial" w:hAnsi="Arial"/>
                <w:sz w:val="18"/>
                <w:szCs w:val="18"/>
                <w:color w:val="auto"/>
                <w:w w:val="93"/>
              </w:rPr>
              <w:t>3.78%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EEEEEE"/>
          </w:tcPr>
          <w:p>
            <w:pPr>
              <w:jc w:val="center"/>
              <w:ind w:right="150"/>
              <w:spacing w:after="0"/>
              <w:rPr>
                <w:sz w:val="20"/>
                <w:szCs w:val="20"/>
                <w:color w:val="auto"/>
              </w:rPr>
            </w:pPr>
            <w:r>
              <w:rPr>
                <w:rFonts w:ascii="Arial" w:cs="Arial" w:eastAsia="Arial" w:hAnsi="Arial"/>
                <w:sz w:val="18"/>
                <w:szCs w:val="18"/>
                <w:color w:val="333333"/>
                <w:w w:val="89"/>
              </w:rPr>
              <w:t>January 2016</w:t>
            </w:r>
          </w:p>
        </w:tc>
        <w:tc>
          <w:tcPr>
            <w:tcW w:w="158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3"/>
              </w:rPr>
              <w:t>4.34%</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jc w:val="center"/>
              <w:ind w:right="150"/>
              <w:spacing w:after="0"/>
              <w:rPr>
                <w:sz w:val="20"/>
                <w:szCs w:val="20"/>
                <w:color w:val="auto"/>
              </w:rPr>
            </w:pPr>
            <w:r>
              <w:rPr>
                <w:rFonts w:ascii="Arial" w:cs="Arial" w:eastAsia="Arial" w:hAnsi="Arial"/>
                <w:sz w:val="18"/>
                <w:szCs w:val="18"/>
                <w:color w:val="333333"/>
                <w:w w:val="96"/>
              </w:rPr>
              <w:t>April 2016</w:t>
            </w:r>
          </w:p>
        </w:tc>
        <w:tc>
          <w:tcPr>
            <w:tcW w:w="1580" w:type="dxa"/>
            <w:vAlign w:val="bottom"/>
          </w:tcPr>
          <w:p>
            <w:pPr>
              <w:jc w:val="center"/>
              <w:ind w:left="10"/>
              <w:spacing w:after="0"/>
              <w:rPr>
                <w:sz w:val="20"/>
                <w:szCs w:val="20"/>
                <w:color w:val="auto"/>
              </w:rPr>
            </w:pPr>
            <w:r>
              <w:rPr>
                <w:rFonts w:ascii="Arial" w:cs="Arial" w:eastAsia="Arial" w:hAnsi="Arial"/>
                <w:sz w:val="18"/>
                <w:szCs w:val="18"/>
                <w:color w:val="auto"/>
                <w:w w:val="93"/>
              </w:rPr>
              <w:t>4.65%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EEEEEE"/>
          </w:tcPr>
          <w:p>
            <w:pPr>
              <w:jc w:val="center"/>
              <w:ind w:right="150"/>
              <w:spacing w:after="0"/>
              <w:rPr>
                <w:sz w:val="20"/>
                <w:szCs w:val="20"/>
                <w:color w:val="auto"/>
              </w:rPr>
            </w:pPr>
            <w:r>
              <w:rPr>
                <w:rFonts w:ascii="Arial" w:cs="Arial" w:eastAsia="Arial" w:hAnsi="Arial"/>
                <w:sz w:val="18"/>
                <w:szCs w:val="18"/>
                <w:color w:val="auto"/>
                <w:w w:val="90"/>
              </w:rPr>
              <w:t>July 2016</w:t>
            </w:r>
          </w:p>
        </w:tc>
        <w:tc>
          <w:tcPr>
            <w:tcW w:w="158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3"/>
              </w:rPr>
              <w:t>4.48%</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jc w:val="center"/>
              <w:ind w:right="150"/>
              <w:spacing w:after="0"/>
              <w:rPr>
                <w:sz w:val="20"/>
                <w:szCs w:val="20"/>
                <w:color w:val="auto"/>
              </w:rPr>
            </w:pPr>
            <w:r>
              <w:rPr>
                <w:rFonts w:ascii="Arial" w:cs="Arial" w:eastAsia="Arial" w:hAnsi="Arial"/>
                <w:sz w:val="18"/>
                <w:szCs w:val="18"/>
                <w:color w:val="auto"/>
                <w:w w:val="89"/>
              </w:rPr>
              <w:t>October 2016</w:t>
            </w:r>
          </w:p>
        </w:tc>
        <w:tc>
          <w:tcPr>
            <w:tcW w:w="1580" w:type="dxa"/>
            <w:vAlign w:val="bottom"/>
          </w:tcPr>
          <w:p>
            <w:pPr>
              <w:jc w:val="center"/>
              <w:ind w:left="10"/>
              <w:spacing w:after="0"/>
              <w:rPr>
                <w:sz w:val="20"/>
                <w:szCs w:val="20"/>
                <w:color w:val="auto"/>
              </w:rPr>
            </w:pPr>
            <w:r>
              <w:rPr>
                <w:rFonts w:ascii="Arial" w:cs="Arial" w:eastAsia="Arial" w:hAnsi="Arial"/>
                <w:sz w:val="18"/>
                <w:szCs w:val="18"/>
                <w:color w:val="auto"/>
                <w:w w:val="93"/>
              </w:rPr>
              <w:t>3.66%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EEEEEE"/>
          </w:tcPr>
          <w:p>
            <w:pPr>
              <w:jc w:val="center"/>
              <w:ind w:right="150"/>
              <w:spacing w:after="0"/>
              <w:rPr>
                <w:sz w:val="20"/>
                <w:szCs w:val="20"/>
                <w:color w:val="auto"/>
              </w:rPr>
            </w:pPr>
            <w:r>
              <w:rPr>
                <w:rFonts w:ascii="Arial" w:cs="Arial" w:eastAsia="Arial" w:hAnsi="Arial"/>
                <w:sz w:val="18"/>
                <w:szCs w:val="18"/>
                <w:color w:val="auto"/>
                <w:w w:val="89"/>
              </w:rPr>
              <w:t>January 2017</w:t>
            </w:r>
          </w:p>
        </w:tc>
        <w:tc>
          <w:tcPr>
            <w:tcW w:w="158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3"/>
              </w:rPr>
              <w:t>3.90%</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jc w:val="center"/>
              <w:ind w:right="150"/>
              <w:spacing w:after="0"/>
              <w:rPr>
                <w:sz w:val="20"/>
                <w:szCs w:val="20"/>
                <w:color w:val="auto"/>
              </w:rPr>
            </w:pPr>
            <w:r>
              <w:rPr>
                <w:rFonts w:ascii="Arial" w:cs="Arial" w:eastAsia="Arial" w:hAnsi="Arial"/>
                <w:sz w:val="18"/>
                <w:szCs w:val="18"/>
                <w:color w:val="auto"/>
                <w:w w:val="96"/>
              </w:rPr>
              <w:t>April 2017</w:t>
            </w:r>
          </w:p>
        </w:tc>
        <w:tc>
          <w:tcPr>
            <w:tcW w:w="1580" w:type="dxa"/>
            <w:vAlign w:val="bottom"/>
          </w:tcPr>
          <w:p>
            <w:pPr>
              <w:jc w:val="center"/>
              <w:ind w:left="10"/>
              <w:spacing w:after="0"/>
              <w:rPr>
                <w:sz w:val="20"/>
                <w:szCs w:val="20"/>
                <w:color w:val="auto"/>
              </w:rPr>
            </w:pPr>
            <w:r>
              <w:rPr>
                <w:rFonts w:ascii="Arial" w:cs="Arial" w:eastAsia="Arial" w:hAnsi="Arial"/>
                <w:sz w:val="18"/>
                <w:szCs w:val="18"/>
                <w:color w:val="auto"/>
                <w:w w:val="93"/>
              </w:rPr>
              <w:t>3.45%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EEEEEE"/>
          </w:tcPr>
          <w:p>
            <w:pPr>
              <w:jc w:val="center"/>
              <w:ind w:right="150"/>
              <w:spacing w:after="0"/>
              <w:rPr>
                <w:sz w:val="20"/>
                <w:szCs w:val="20"/>
                <w:color w:val="auto"/>
              </w:rPr>
            </w:pPr>
            <w:r>
              <w:rPr>
                <w:rFonts w:ascii="Arial" w:cs="Arial" w:eastAsia="Arial" w:hAnsi="Arial"/>
                <w:sz w:val="18"/>
                <w:szCs w:val="18"/>
                <w:color w:val="auto"/>
                <w:w w:val="90"/>
              </w:rPr>
              <w:t>July 2017</w:t>
            </w:r>
          </w:p>
        </w:tc>
        <w:tc>
          <w:tcPr>
            <w:tcW w:w="158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3"/>
              </w:rPr>
              <w:t>3.52%</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7" w:name="page28"/>
    <w:bookmarkEnd w:id="27"/>
    <w:p>
      <w:pPr>
        <w:jc w:val="both"/>
        <w:ind w:firstLine="648"/>
        <w:spacing w:after="0" w:line="259" w:lineRule="auto"/>
        <w:rPr>
          <w:sz w:val="20"/>
          <w:szCs w:val="20"/>
          <w:color w:val="auto"/>
        </w:rPr>
      </w:pPr>
      <w:r>
        <w:rPr>
          <w:rFonts w:ascii="Arial" w:cs="Arial" w:eastAsia="Arial" w:hAnsi="Arial"/>
          <w:sz w:val="18"/>
          <w:szCs w:val="18"/>
          <w:color w:val="auto"/>
        </w:rPr>
        <w:t>Interest expense on subordinated renewable notes decreased by $83,000, or 7.9%. The decrease is due to a decrease in the average yield on our subordinated renewable notes to 8.2% for the nine-month period ended September 30, 2017 compared to the prior year when the average yield on our subordinated renewable notes was 9.3%. The decrease in the average yield on our subordinated renewable notes offset an increase in the average balance of $713,000, or 3.9%, for the nine months ended September 30, 2017 compared to the prior period.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Interest expense on warehouse debt decreased by $696,000, or 10.3%, for the nine months ended September 30, 2017 compared to the prior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When possible, we hold contracts with our own cash rather than pledging them to one of our warehouse facilities to minimize interest expense.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prior year period, we incurred $744,000 in interest expense on a residual interest financing facility which was repaid in full in November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components of interest income and interest expense and a net interest yield analysis for the nine-month periods ended September 30, 2017 and 2016: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8"/>
                <w:szCs w:val="18"/>
                <w:b w:val="1"/>
                <w:bCs w:val="1"/>
                <w:color w:val="auto"/>
                <w:w w:val="91"/>
              </w:rPr>
              <w:t>Nine Months Ended September 30,</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5"/>
          </w:tcPr>
          <w:p>
            <w:pPr>
              <w:jc w:val="center"/>
              <w:ind w:right="440"/>
              <w:spacing w:after="0" w:line="191" w:lineRule="exact"/>
              <w:rPr>
                <w:sz w:val="20"/>
                <w:szCs w:val="20"/>
                <w:color w:val="auto"/>
              </w:rPr>
            </w:pPr>
            <w:r>
              <w:rPr>
                <w:rFonts w:ascii="Arial" w:cs="Arial" w:eastAsia="Arial" w:hAnsi="Arial"/>
                <w:sz w:val="18"/>
                <w:szCs w:val="18"/>
                <w:b w:val="1"/>
                <w:bCs w:val="1"/>
                <w:color w:val="auto"/>
                <w:w w:val="89"/>
              </w:rPr>
              <w:t>(Dollars in thousands)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Annualized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Annualized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gridSpan w:val="3"/>
            <w:vMerge w:val="restart"/>
          </w:tcPr>
          <w:p>
            <w:pPr>
              <w:jc w:val="center"/>
              <w:ind w:right="400"/>
              <w:spacing w:after="0"/>
              <w:rPr>
                <w:sz w:val="20"/>
                <w:szCs w:val="20"/>
                <w:color w:val="auto"/>
              </w:rPr>
            </w:pPr>
            <w:r>
              <w:rPr>
                <w:rFonts w:ascii="Arial" w:cs="Arial" w:eastAsia="Arial" w:hAnsi="Arial"/>
                <w:sz w:val="18"/>
                <w:szCs w:val="18"/>
                <w:b w:val="1"/>
                <w:bCs w:val="1"/>
                <w:color w:val="auto"/>
                <w:w w:val="89"/>
              </w:rPr>
              <w:t>Interest Earning Assets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Balance (1)</w:t>
            </w:r>
          </w:p>
        </w:tc>
        <w:tc>
          <w:tcPr>
            <w:tcW w:w="18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Interest</w:t>
            </w:r>
          </w:p>
        </w:tc>
        <w:tc>
          <w:tcPr>
            <w:tcW w:w="22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Yield/Rate</w:t>
            </w:r>
          </w:p>
        </w:tc>
        <w:tc>
          <w:tcPr>
            <w:tcW w:w="120" w:type="dxa"/>
            <w:vAlign w:val="bottom"/>
          </w:tcPr>
          <w:p>
            <w:pPr>
              <w:spacing w:after="0"/>
              <w:rPr>
                <w:sz w:val="20"/>
                <w:szCs w:val="20"/>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Balance (1)</w:t>
            </w:r>
          </w:p>
        </w:tc>
        <w:tc>
          <w:tcPr>
            <w:tcW w:w="18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Interest</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Yield/Rate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 (2)</w:t>
            </w:r>
          </w:p>
        </w:tc>
        <w:tc>
          <w:tcPr>
            <w:tcW w:w="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2,297,218</w:t>
            </w: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319,074</w:t>
            </w:r>
          </w:p>
        </w:tc>
        <w:tc>
          <w:tcPr>
            <w:tcW w:w="170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2,162,357</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303,748</w:t>
            </w: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40" w:type="dxa"/>
            <w:vAlign w:val="bottom"/>
            <w:gridSpan w:val="5"/>
            <w:shd w:val="clear" w:color="auto" w:fill="EEEEEE"/>
          </w:tcPr>
          <w:p>
            <w:pPr>
              <w:jc w:val="center"/>
              <w:ind w:right="4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8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06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98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220" w:type="dxa"/>
            <w:vAlign w:val="bottom"/>
            <w:shd w:val="clear" w:color="auto" w:fill="EEEEEE"/>
          </w:tcPr>
          <w:p>
            <w:pPr>
              <w:spacing w:after="0"/>
              <w:rPr>
                <w:sz w:val="15"/>
                <w:szCs w:val="15"/>
                <w:color w:val="auto"/>
              </w:rPr>
            </w:pPr>
          </w:p>
        </w:tc>
        <w:tc>
          <w:tcPr>
            <w:tcW w:w="116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02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96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104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auto"/>
            </w:tcBorders>
            <w:shd w:val="clear" w:color="auto" w:fill="EEEEEE"/>
          </w:tcPr>
          <w:p>
            <w:pPr>
              <w:spacing w:after="0" w:line="20" w:lineRule="exact"/>
              <w:rPr>
                <w:sz w:val="1"/>
                <w:szCs w:val="1"/>
                <w:color w:val="auto"/>
              </w:rPr>
            </w:pPr>
          </w:p>
        </w:tc>
        <w:tc>
          <w:tcPr>
            <w:tcW w:w="1800" w:type="dxa"/>
            <w:vAlign w:val="bottom"/>
            <w:tcBorders>
              <w:top w:val="single" w:sz="8" w:color="auto"/>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6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9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1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960" w:type="dxa"/>
            <w:vAlign w:val="bottom"/>
            <w:tcBorders>
              <w:top w:val="single" w:sz="8" w:color="EEEEEE"/>
            </w:tcBorders>
            <w:shd w:val="clear" w:color="auto" w:fill="EEEEEE"/>
          </w:tcPr>
          <w:p>
            <w:pPr>
              <w:spacing w:after="0" w:line="20" w:lineRule="exact"/>
              <w:rPr>
                <w:sz w:val="1"/>
                <w:szCs w:val="1"/>
                <w:color w:val="auto"/>
              </w:rPr>
            </w:pPr>
          </w:p>
        </w:tc>
        <w:tc>
          <w:tcPr>
            <w:tcW w:w="420" w:type="dxa"/>
            <w:vAlign w:val="bottom"/>
            <w:tcBorders>
              <w:top w:val="single" w:sz="8" w:color="EEEEEE"/>
            </w:tcBorders>
            <w:shd w:val="clear" w:color="auto" w:fill="EEEEEE"/>
          </w:tcPr>
          <w:p>
            <w:pPr>
              <w:spacing w:after="0" w:line="20" w:lineRule="exact"/>
              <w:rPr>
                <w:sz w:val="1"/>
                <w:szCs w:val="1"/>
                <w:color w:val="auto"/>
              </w:rPr>
            </w:pPr>
          </w:p>
        </w:tc>
        <w:tc>
          <w:tcPr>
            <w:tcW w:w="10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auto"/>
              </w:rPr>
              <w:t>Warehouse lines of credit (3)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63,827</w:t>
            </w: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6,081</w:t>
            </w:r>
          </w:p>
        </w:tc>
        <w:tc>
          <w:tcPr>
            <w:tcW w:w="1700" w:type="dxa"/>
            <w:vAlign w:val="bottom"/>
            <w:gridSpan w:val="3"/>
          </w:tcPr>
          <w:p>
            <w:pPr>
              <w:jc w:val="right"/>
              <w:ind w:right="320"/>
              <w:spacing w:after="0"/>
              <w:rPr>
                <w:sz w:val="20"/>
                <w:szCs w:val="20"/>
                <w:color w:val="auto"/>
              </w:rPr>
            </w:pPr>
            <w:r>
              <w:rPr>
                <w:rFonts w:ascii="Arial" w:cs="Arial" w:eastAsia="Arial" w:hAnsi="Arial"/>
                <w:sz w:val="18"/>
                <w:szCs w:val="18"/>
                <w:color w:val="auto"/>
              </w:rPr>
              <w:t>12.7%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85,364</w:t>
            </w:r>
          </w:p>
        </w:tc>
        <w:tc>
          <w:tcPr>
            <w:tcW w:w="1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6,777</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7,811</w:t>
            </w:r>
          </w:p>
        </w:tc>
        <w:tc>
          <w:tcPr>
            <w:tcW w:w="18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744</w:t>
            </w: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auto"/>
              </w:rPr>
              <w:t>Securitization trust debt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2,173,365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61,589</w:t>
            </w:r>
          </w:p>
        </w:tc>
        <w:tc>
          <w:tcPr>
            <w:tcW w:w="1700" w:type="dxa"/>
            <w:vAlign w:val="bottom"/>
            <w:gridSpan w:val="3"/>
          </w:tcPr>
          <w:p>
            <w:pPr>
              <w:jc w:val="right"/>
              <w:ind w:right="32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2,046,847</w:t>
            </w:r>
          </w:p>
        </w:tc>
        <w:tc>
          <w:tcPr>
            <w:tcW w:w="1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49,867</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1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15,868</w:t>
            </w:r>
          </w:p>
        </w:tc>
        <w:tc>
          <w:tcPr>
            <w:tcW w:w="3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971</w:t>
            </w:r>
          </w:p>
        </w:tc>
        <w:tc>
          <w:tcPr>
            <w:tcW w:w="170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15,155</w:t>
            </w:r>
          </w:p>
        </w:tc>
        <w:tc>
          <w:tcPr>
            <w:tcW w:w="18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1,054</w:t>
            </w: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8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2,253,060</w:t>
            </w:r>
          </w:p>
        </w:tc>
        <w:tc>
          <w:tcPr>
            <w:tcW w:w="340" w:type="dxa"/>
            <w:vAlign w:val="bottom"/>
            <w:tcBorders>
              <w:bottom w:val="single" w:sz="8" w:color="EEEEEE"/>
            </w:tcBorders>
          </w:tcPr>
          <w:p>
            <w:pPr>
              <w:spacing w:after="0"/>
              <w:rPr>
                <w:sz w:val="24"/>
                <w:szCs w:val="24"/>
                <w:color w:val="auto"/>
              </w:rPr>
            </w:pPr>
          </w:p>
        </w:tc>
        <w:tc>
          <w:tcPr>
            <w:tcW w:w="180" w:type="dxa"/>
            <w:vAlign w:val="bottom"/>
            <w:tcBorders>
              <w:top w:val="single" w:sz="8" w:color="auto"/>
              <w:bottom w:val="single" w:sz="8" w:color="EEEEEE"/>
            </w:tcBorders>
          </w:tcPr>
          <w:p>
            <w:pPr>
              <w:spacing w:after="0"/>
              <w:rPr>
                <w:sz w:val="24"/>
                <w:szCs w:val="24"/>
                <w:color w:val="auto"/>
              </w:rPr>
            </w:pPr>
          </w:p>
        </w:tc>
        <w:tc>
          <w:tcPr>
            <w:tcW w:w="980" w:type="dxa"/>
            <w:vAlign w:val="bottom"/>
            <w:tcBorders>
              <w:top w:val="single" w:sz="8" w:color="auto"/>
              <w:bottom w:val="single" w:sz="8" w:color="EEEEEE"/>
            </w:tcBorders>
          </w:tcPr>
          <w:p>
            <w:pPr>
              <w:jc w:val="right"/>
              <w:spacing w:after="0"/>
              <w:rPr>
                <w:sz w:val="20"/>
                <w:szCs w:val="20"/>
                <w:color w:val="auto"/>
              </w:rPr>
            </w:pPr>
            <w:r>
              <w:rPr>
                <w:rFonts w:ascii="Arial" w:cs="Arial" w:eastAsia="Arial" w:hAnsi="Arial"/>
                <w:sz w:val="18"/>
                <w:szCs w:val="18"/>
                <w:color w:val="auto"/>
              </w:rPr>
              <w:t>68,641</w:t>
            </w:r>
          </w:p>
        </w:tc>
        <w:tc>
          <w:tcPr>
            <w:tcW w:w="140" w:type="dxa"/>
            <w:vAlign w:val="bottom"/>
            <w:tcBorders>
              <w:bottom w:val="single" w:sz="8" w:color="EEEEEE"/>
            </w:tcBorders>
          </w:tcPr>
          <w:p>
            <w:pPr>
              <w:spacing w:after="0"/>
              <w:rPr>
                <w:sz w:val="24"/>
                <w:szCs w:val="24"/>
                <w:color w:val="auto"/>
              </w:rPr>
            </w:pPr>
          </w:p>
        </w:tc>
        <w:tc>
          <w:tcPr>
            <w:tcW w:w="1700" w:type="dxa"/>
            <w:vAlign w:val="bottom"/>
            <w:tcBorders>
              <w:bottom w:val="single" w:sz="8" w:color="EEEEEE"/>
            </w:tcBorders>
            <w:gridSpan w:val="3"/>
          </w:tcPr>
          <w:p>
            <w:pPr>
              <w:jc w:val="right"/>
              <w:ind w:right="320"/>
              <w:spacing w:after="0"/>
              <w:rPr>
                <w:sz w:val="20"/>
                <w:szCs w:val="20"/>
                <w:color w:val="auto"/>
              </w:rPr>
            </w:pPr>
            <w:r>
              <w:rPr>
                <w:rFonts w:ascii="Arial" w:cs="Arial" w:eastAsia="Arial" w:hAnsi="Arial"/>
                <w:sz w:val="18"/>
                <w:szCs w:val="18"/>
                <w:color w:val="auto"/>
              </w:rPr>
              <w:t>4.1%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2,155,177</w:t>
            </w:r>
          </w:p>
        </w:tc>
        <w:tc>
          <w:tcPr>
            <w:tcW w:w="320" w:type="dxa"/>
            <w:vAlign w:val="bottom"/>
            <w:tcBorders>
              <w:bottom w:val="single" w:sz="8" w:color="EEEEEE"/>
            </w:tcBorders>
          </w:tcPr>
          <w:p>
            <w:pPr>
              <w:spacing w:after="0"/>
              <w:rPr>
                <w:sz w:val="24"/>
                <w:szCs w:val="24"/>
                <w:color w:val="auto"/>
              </w:rPr>
            </w:pPr>
          </w:p>
        </w:tc>
        <w:tc>
          <w:tcPr>
            <w:tcW w:w="180" w:type="dxa"/>
            <w:vAlign w:val="bottom"/>
            <w:tcBorders>
              <w:top w:val="single" w:sz="8" w:color="auto"/>
              <w:bottom w:val="single" w:sz="8" w:color="EEEEEE"/>
            </w:tcBorders>
          </w:tcPr>
          <w:p>
            <w:pPr>
              <w:spacing w:after="0"/>
              <w:rPr>
                <w:sz w:val="24"/>
                <w:szCs w:val="24"/>
                <w:color w:val="auto"/>
              </w:rPr>
            </w:pPr>
          </w:p>
        </w:tc>
        <w:tc>
          <w:tcPr>
            <w:tcW w:w="960" w:type="dxa"/>
            <w:vAlign w:val="bottom"/>
            <w:tcBorders>
              <w:top w:val="single" w:sz="8" w:color="auto"/>
              <w:bottom w:val="single" w:sz="8" w:color="EEEEEE"/>
            </w:tcBorders>
          </w:tcPr>
          <w:p>
            <w:pPr>
              <w:jc w:val="right"/>
              <w:spacing w:after="0"/>
              <w:rPr>
                <w:sz w:val="20"/>
                <w:szCs w:val="20"/>
                <w:color w:val="auto"/>
              </w:rPr>
            </w:pPr>
            <w:r>
              <w:rPr>
                <w:rFonts w:ascii="Arial" w:cs="Arial" w:eastAsia="Arial" w:hAnsi="Arial"/>
                <w:sz w:val="18"/>
                <w:szCs w:val="18"/>
                <w:color w:val="auto"/>
              </w:rPr>
              <w:t>58,442</w:t>
            </w:r>
          </w:p>
        </w:tc>
        <w:tc>
          <w:tcPr>
            <w:tcW w:w="420" w:type="dxa"/>
            <w:vAlign w:val="bottom"/>
            <w:tcBorders>
              <w:bottom w:val="single" w:sz="8" w:color="EEEEEE"/>
            </w:tcBorders>
          </w:tcPr>
          <w:p>
            <w:pPr>
              <w:spacing w:after="0"/>
              <w:rPr>
                <w:sz w:val="24"/>
                <w:szCs w:val="24"/>
                <w:color w:val="auto"/>
              </w:rPr>
            </w:pPr>
          </w:p>
        </w:tc>
        <w:tc>
          <w:tcPr>
            <w:tcW w:w="1140" w:type="dxa"/>
            <w:vAlign w:val="bottom"/>
            <w:tcBorders>
              <w:bottom w:val="single" w:sz="8" w:color="EEEEEE"/>
            </w:tcBorders>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tcBorders>
              <w:bottom w:val="single" w:sz="8" w:color="auto"/>
            </w:tcBorders>
            <w:shd w:val="clear" w:color="auto" w:fill="EEEEEE"/>
          </w:tcPr>
          <w:p>
            <w:pPr>
              <w:spacing w:after="0"/>
              <w:rPr>
                <w:sz w:val="18"/>
                <w:szCs w:val="18"/>
                <w:color w:val="auto"/>
              </w:rPr>
            </w:pPr>
          </w:p>
        </w:tc>
        <w:tc>
          <w:tcPr>
            <w:tcW w:w="980" w:type="dxa"/>
            <w:vAlign w:val="bottom"/>
            <w:tcBorders>
              <w:bottom w:val="single" w:sz="8" w:color="auto"/>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tcBorders>
              <w:bottom w:val="single" w:sz="8" w:color="auto"/>
            </w:tcBorders>
            <w:shd w:val="clear" w:color="auto" w:fill="EEEEEE"/>
          </w:tcPr>
          <w:p>
            <w:pPr>
              <w:spacing w:after="0"/>
              <w:rPr>
                <w:sz w:val="18"/>
                <w:szCs w:val="18"/>
                <w:color w:val="auto"/>
              </w:rPr>
            </w:pPr>
          </w:p>
        </w:tc>
        <w:tc>
          <w:tcPr>
            <w:tcW w:w="960" w:type="dxa"/>
            <w:vAlign w:val="bottom"/>
            <w:tcBorders>
              <w:bottom w:val="single" w:sz="8" w:color="auto"/>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540" w:type="dxa"/>
            <w:vAlign w:val="bottom"/>
            <w:tcBorders>
              <w:bottom w:val="single" w:sz="8" w:color="EEEEEE"/>
            </w:tcBorders>
            <w:gridSpan w:val="5"/>
          </w:tcPr>
          <w:p>
            <w:pPr>
              <w:spacing w:after="0"/>
              <w:rPr>
                <w:sz w:val="20"/>
                <w:szCs w:val="20"/>
                <w:color w:val="auto"/>
              </w:rPr>
            </w:pPr>
            <w:r>
              <w:rPr>
                <w:rFonts w:ascii="Arial" w:cs="Arial" w:eastAsia="Arial" w:hAnsi="Arial"/>
                <w:sz w:val="18"/>
                <w:szCs w:val="18"/>
                <w:color w:val="auto"/>
              </w:rPr>
              <w:t>Net interest income/spread</w:t>
            </w:r>
          </w:p>
        </w:tc>
        <w:tc>
          <w:tcPr>
            <w:tcW w:w="180" w:type="dxa"/>
            <w:vAlign w:val="bottom"/>
            <w:tcBorders>
              <w:bottom w:val="single" w:sz="8" w:color="EEEEEE"/>
            </w:tcBorders>
          </w:tcPr>
          <w:p>
            <w:pPr>
              <w:spacing w:after="0"/>
              <w:rPr>
                <w:sz w:val="22"/>
                <w:szCs w:val="22"/>
                <w:color w:val="auto"/>
              </w:rPr>
            </w:pPr>
          </w:p>
        </w:tc>
        <w:tc>
          <w:tcPr>
            <w:tcW w:w="120" w:type="dxa"/>
            <w:vAlign w:val="bottom"/>
            <w:tcBorders>
              <w:bottom w:val="single" w:sz="8" w:color="EEEEEE"/>
            </w:tcBorders>
          </w:tcPr>
          <w:p>
            <w:pPr>
              <w:spacing w:after="0"/>
              <w:rPr>
                <w:sz w:val="22"/>
                <w:szCs w:val="22"/>
                <w:color w:val="auto"/>
              </w:rPr>
            </w:pPr>
          </w:p>
        </w:tc>
        <w:tc>
          <w:tcPr>
            <w:tcW w:w="1060" w:type="dxa"/>
            <w:vAlign w:val="bottom"/>
            <w:tcBorders>
              <w:bottom w:val="single" w:sz="8" w:color="EEEEEE"/>
            </w:tcBorders>
          </w:tcPr>
          <w:p>
            <w:pPr>
              <w:spacing w:after="0"/>
              <w:rPr>
                <w:sz w:val="22"/>
                <w:szCs w:val="22"/>
                <w:color w:val="auto"/>
              </w:rPr>
            </w:pPr>
          </w:p>
        </w:tc>
        <w:tc>
          <w:tcPr>
            <w:tcW w:w="340" w:type="dxa"/>
            <w:vAlign w:val="bottom"/>
            <w:tcBorders>
              <w:bottom w:val="single" w:sz="8" w:color="EEEEEE"/>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250,433</w:t>
            </w:r>
          </w:p>
        </w:tc>
        <w:tc>
          <w:tcPr>
            <w:tcW w:w="140" w:type="dxa"/>
            <w:vAlign w:val="bottom"/>
            <w:tcBorders>
              <w:bottom w:val="single" w:sz="8" w:color="EEEEEE"/>
            </w:tcBorders>
          </w:tcPr>
          <w:p>
            <w:pPr>
              <w:spacing w:after="0"/>
              <w:rPr>
                <w:sz w:val="22"/>
                <w:szCs w:val="22"/>
                <w:color w:val="auto"/>
              </w:rPr>
            </w:pPr>
          </w:p>
        </w:tc>
        <w:tc>
          <w:tcPr>
            <w:tcW w:w="220" w:type="dxa"/>
            <w:vAlign w:val="bottom"/>
            <w:tcBorders>
              <w:bottom w:val="single" w:sz="8" w:color="EEEEEE"/>
            </w:tcBorders>
          </w:tcPr>
          <w:p>
            <w:pPr>
              <w:spacing w:after="0"/>
              <w:rPr>
                <w:sz w:val="22"/>
                <w:szCs w:val="22"/>
                <w:color w:val="auto"/>
              </w:rPr>
            </w:pPr>
          </w:p>
        </w:tc>
        <w:tc>
          <w:tcPr>
            <w:tcW w:w="1160" w:type="dxa"/>
            <w:vAlign w:val="bottom"/>
            <w:tcBorders>
              <w:bottom w:val="single" w:sz="8" w:color="EEEEEE"/>
            </w:tcBorders>
          </w:tcPr>
          <w:p>
            <w:pPr>
              <w:spacing w:after="0"/>
              <w:rPr>
                <w:sz w:val="22"/>
                <w:szCs w:val="22"/>
                <w:color w:val="auto"/>
              </w:rPr>
            </w:pPr>
          </w:p>
        </w:tc>
        <w:tc>
          <w:tcPr>
            <w:tcW w:w="320" w:type="dxa"/>
            <w:vAlign w:val="bottom"/>
            <w:tcBorders>
              <w:bottom w:val="single" w:sz="8" w:color="EEEEEE"/>
            </w:tcBorders>
          </w:tcPr>
          <w:p>
            <w:pPr>
              <w:spacing w:after="0"/>
              <w:rPr>
                <w:sz w:val="22"/>
                <w:szCs w:val="22"/>
                <w:color w:val="auto"/>
              </w:rPr>
            </w:pPr>
          </w:p>
        </w:tc>
        <w:tc>
          <w:tcPr>
            <w:tcW w:w="120" w:type="dxa"/>
            <w:vAlign w:val="bottom"/>
            <w:tcBorders>
              <w:bottom w:val="single" w:sz="8" w:color="EEEEEE"/>
            </w:tcBorders>
          </w:tcPr>
          <w:p>
            <w:pPr>
              <w:spacing w:after="0"/>
              <w:rPr>
                <w:sz w:val="22"/>
                <w:szCs w:val="22"/>
                <w:color w:val="auto"/>
              </w:rPr>
            </w:pPr>
          </w:p>
        </w:tc>
        <w:tc>
          <w:tcPr>
            <w:tcW w:w="1020" w:type="dxa"/>
            <w:vAlign w:val="bottom"/>
            <w:tcBorders>
              <w:bottom w:val="single" w:sz="8" w:color="EEEEEE"/>
            </w:tcBorders>
          </w:tcPr>
          <w:p>
            <w:pPr>
              <w:spacing w:after="0"/>
              <w:rPr>
                <w:sz w:val="22"/>
                <w:szCs w:val="22"/>
                <w:color w:val="auto"/>
              </w:rPr>
            </w:pPr>
          </w:p>
        </w:tc>
        <w:tc>
          <w:tcPr>
            <w:tcW w:w="320" w:type="dxa"/>
            <w:vAlign w:val="bottom"/>
            <w:tcBorders>
              <w:bottom w:val="single" w:sz="8" w:color="EEEEEE"/>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245,306</w:t>
            </w:r>
          </w:p>
        </w:tc>
        <w:tc>
          <w:tcPr>
            <w:tcW w:w="420" w:type="dxa"/>
            <w:vAlign w:val="bottom"/>
            <w:tcBorders>
              <w:bottom w:val="single" w:sz="8" w:color="EEEEEE"/>
            </w:tcBorders>
          </w:tcPr>
          <w:p>
            <w:pPr>
              <w:spacing w:after="0"/>
              <w:rPr>
                <w:sz w:val="22"/>
                <w:szCs w:val="22"/>
                <w:color w:val="auto"/>
              </w:rPr>
            </w:pPr>
          </w:p>
        </w:tc>
        <w:tc>
          <w:tcPr>
            <w:tcW w:w="104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540" w:type="dxa"/>
            <w:vAlign w:val="bottom"/>
            <w:gridSpan w:val="5"/>
            <w:shd w:val="clear" w:color="auto" w:fill="EEEEEE"/>
          </w:tcPr>
          <w:p>
            <w:pPr>
              <w:spacing w:after="0" w:line="196" w:lineRule="exact"/>
              <w:rPr>
                <w:sz w:val="20"/>
                <w:szCs w:val="20"/>
                <w:color w:val="auto"/>
              </w:rPr>
            </w:pPr>
            <w:r>
              <w:rPr>
                <w:rFonts w:ascii="Arial" w:cs="Arial" w:eastAsia="Arial" w:hAnsi="Arial"/>
                <w:sz w:val="18"/>
                <w:szCs w:val="18"/>
                <w:color w:val="auto"/>
              </w:rPr>
              <w:t>Net interest yield (4)</w:t>
            </w:r>
          </w:p>
        </w:tc>
        <w:tc>
          <w:tcPr>
            <w:tcW w:w="1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700" w:type="dxa"/>
            <w:vAlign w:val="bottom"/>
            <w:gridSpan w:val="3"/>
            <w:shd w:val="clear" w:color="auto" w:fill="EEEEEE"/>
          </w:tcPr>
          <w:p>
            <w:pPr>
              <w:jc w:val="right"/>
              <w:ind w:right="320"/>
              <w:spacing w:after="0" w:line="196" w:lineRule="exact"/>
              <w:rPr>
                <w:sz w:val="20"/>
                <w:szCs w:val="20"/>
                <w:color w:val="auto"/>
              </w:rPr>
            </w:pPr>
            <w:r>
              <w:rPr>
                <w:rFonts w:ascii="Arial" w:cs="Arial" w:eastAsia="Arial" w:hAnsi="Arial"/>
                <w:sz w:val="18"/>
                <w:szCs w:val="18"/>
                <w:color w:val="auto"/>
              </w:rPr>
              <w:t>14.4%</w:t>
            </w: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140" w:type="dxa"/>
            <w:vAlign w:val="bottom"/>
            <w:gridSpan w:val="2"/>
            <w:shd w:val="clear" w:color="auto" w:fill="EEEEEE"/>
          </w:tcPr>
          <w:p>
            <w:pPr>
              <w:jc w:val="right"/>
              <w:ind w:right="100"/>
              <w:spacing w:after="0" w:line="196"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40" w:type="dxa"/>
            <w:vAlign w:val="bottom"/>
            <w:gridSpan w:val="5"/>
            <w:shd w:val="clear" w:color="auto" w:fill="EEEEEE"/>
          </w:tcPr>
          <w:p>
            <w:pPr>
              <w:spacing w:after="0" w:line="201" w:lineRule="exact"/>
              <w:rPr>
                <w:sz w:val="20"/>
                <w:szCs w:val="20"/>
                <w:color w:val="auto"/>
              </w:rPr>
            </w:pPr>
            <w:r>
              <w:rPr>
                <w:rFonts w:ascii="Arial" w:cs="Arial" w:eastAsia="Arial" w:hAnsi="Arial"/>
                <w:sz w:val="18"/>
                <w:szCs w:val="18"/>
                <w:color w:val="auto"/>
                <w:w w:val="96"/>
              </w:rPr>
              <w:t>Ratio of average interest earning</w:t>
            </w:r>
          </w:p>
        </w:tc>
        <w:tc>
          <w:tcPr>
            <w:tcW w:w="1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5"/>
            <w:shd w:val="clear" w:color="auto" w:fill="EEEEEE"/>
          </w:tcPr>
          <w:p>
            <w:pPr>
              <w:ind w:left="180"/>
              <w:spacing w:after="0"/>
              <w:rPr>
                <w:sz w:val="20"/>
                <w:szCs w:val="20"/>
                <w:color w:val="auto"/>
              </w:rPr>
            </w:pPr>
            <w:r>
              <w:rPr>
                <w:rFonts w:ascii="Arial" w:cs="Arial" w:eastAsia="Arial" w:hAnsi="Arial"/>
                <w:sz w:val="18"/>
                <w:szCs w:val="18"/>
                <w:color w:val="auto"/>
              </w:rPr>
              <w:t>assets to average interest</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40" w:type="dxa"/>
            <w:vAlign w:val="bottom"/>
            <w:gridSpan w:val="5"/>
            <w:shd w:val="clear" w:color="auto" w:fill="EEEEEE"/>
          </w:tcPr>
          <w:p>
            <w:pPr>
              <w:ind w:left="180"/>
              <w:spacing w:after="0"/>
              <w:rPr>
                <w:sz w:val="20"/>
                <w:szCs w:val="20"/>
                <w:color w:val="auto"/>
              </w:rPr>
            </w:pPr>
            <w:r>
              <w:rPr>
                <w:rFonts w:ascii="Arial" w:cs="Arial" w:eastAsia="Arial" w:hAnsi="Arial"/>
                <w:sz w:val="18"/>
                <w:szCs w:val="18"/>
                <w:color w:val="auto"/>
              </w:rPr>
              <w:t>bearing liabilities</w:t>
            </w:r>
          </w:p>
        </w:tc>
        <w:tc>
          <w:tcPr>
            <w:tcW w:w="1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06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9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102%</w:t>
            </w:r>
          </w:p>
        </w:tc>
        <w:tc>
          <w:tcPr>
            <w:tcW w:w="3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02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20" w:hanging="287"/>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Average balances are based on month end balances except for warehouse lines of credit, which are based on daily balances.</w:t>
      </w:r>
    </w:p>
    <w:p>
      <w:pPr>
        <w:spacing w:after="0" w:line="23" w:lineRule="exact"/>
        <w:rPr>
          <w:rFonts w:ascii="Arial" w:cs="Arial" w:eastAsia="Arial" w:hAnsi="Arial"/>
          <w:sz w:val="18"/>
          <w:szCs w:val="18"/>
          <w:color w:val="auto"/>
        </w:rPr>
      </w:pPr>
    </w:p>
    <w:p>
      <w:pPr>
        <w:ind w:left="540" w:hanging="307"/>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of deferred fees and direct costs.</w:t>
      </w:r>
    </w:p>
    <w:p>
      <w:pPr>
        <w:spacing w:after="0" w:line="9" w:lineRule="exact"/>
        <w:rPr>
          <w:rFonts w:ascii="Arial" w:cs="Arial" w:eastAsia="Arial" w:hAnsi="Arial"/>
          <w:sz w:val="18"/>
          <w:szCs w:val="18"/>
          <w:color w:val="auto"/>
        </w:rPr>
      </w:pPr>
    </w:p>
    <w:p>
      <w:pPr>
        <w:ind w:left="540" w:hanging="307"/>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expense includes deferred financing costs and non-utilization fees.</w:t>
      </w:r>
    </w:p>
    <w:p>
      <w:pPr>
        <w:spacing w:after="0" w:line="9" w:lineRule="exact"/>
        <w:rPr>
          <w:rFonts w:ascii="Arial" w:cs="Arial" w:eastAsia="Arial" w:hAnsi="Arial"/>
          <w:sz w:val="18"/>
          <w:szCs w:val="18"/>
          <w:color w:val="auto"/>
        </w:rPr>
      </w:pPr>
    </w:p>
    <w:p>
      <w:pPr>
        <w:ind w:left="520" w:hanging="287"/>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Annualized net interest income divided by average interest earning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60" w:type="dxa"/>
            <w:vAlign w:val="bottom"/>
            <w:gridSpan w:val="9"/>
          </w:tcPr>
          <w:p>
            <w:pPr>
              <w:jc w:val="center"/>
              <w:ind w:right="340"/>
              <w:spacing w:after="0"/>
              <w:rPr>
                <w:sz w:val="20"/>
                <w:szCs w:val="20"/>
                <w:color w:val="auto"/>
              </w:rPr>
            </w:pPr>
            <w:r>
              <w:rPr>
                <w:rFonts w:ascii="Arial" w:cs="Arial" w:eastAsia="Arial" w:hAnsi="Arial"/>
                <w:sz w:val="18"/>
                <w:szCs w:val="18"/>
                <w:b w:val="1"/>
                <w:bCs w:val="1"/>
                <w:color w:val="auto"/>
                <w:w w:val="90"/>
              </w:rPr>
              <w:t>Nine Months Ended September 30, 2017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6"/>
          </w:tcPr>
          <w:p>
            <w:pPr>
              <w:jc w:val="center"/>
              <w:ind w:left="790"/>
              <w:spacing w:after="0"/>
              <w:rPr>
                <w:sz w:val="20"/>
                <w:szCs w:val="20"/>
                <w:color w:val="auto"/>
              </w:rPr>
            </w:pPr>
            <w:r>
              <w:rPr>
                <w:rFonts w:ascii="Arial" w:cs="Arial" w:eastAsia="Arial" w:hAnsi="Arial"/>
                <w:sz w:val="18"/>
                <w:szCs w:val="18"/>
                <w:b w:val="1"/>
                <w:bCs w:val="1"/>
                <w:color w:val="auto"/>
                <w:w w:val="90"/>
              </w:rPr>
              <w:t>Compared to September 30, 2016</w:t>
            </w:r>
          </w:p>
        </w:tc>
        <w:tc>
          <w:tcPr>
            <w:tcW w:w="1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490"/>
              <w:spacing w:after="0" w:line="191" w:lineRule="exact"/>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center"/>
              <w:ind w:right="420"/>
              <w:spacing w:after="0" w:line="191" w:lineRule="exact"/>
              <w:rPr>
                <w:sz w:val="20"/>
                <w:szCs w:val="20"/>
                <w:color w:val="auto"/>
              </w:rPr>
            </w:pPr>
            <w:r>
              <w:rPr>
                <w:rFonts w:ascii="Arial" w:cs="Arial" w:eastAsia="Arial" w:hAnsi="Arial"/>
                <w:sz w:val="18"/>
                <w:szCs w:val="18"/>
                <w:b w:val="1"/>
                <w:bCs w:val="1"/>
                <w:color w:val="auto"/>
                <w:w w:val="91"/>
              </w:rPr>
              <w:t>Change Due</w:t>
            </w:r>
          </w:p>
        </w:tc>
        <w:tc>
          <w:tcPr>
            <w:tcW w:w="300" w:type="dxa"/>
            <w:vAlign w:val="bottom"/>
          </w:tcPr>
          <w:p>
            <w:pPr>
              <w:spacing w:after="0"/>
              <w:rPr>
                <w:sz w:val="16"/>
                <w:szCs w:val="16"/>
                <w:color w:val="auto"/>
              </w:rPr>
            </w:pPr>
          </w:p>
        </w:tc>
        <w:tc>
          <w:tcPr>
            <w:tcW w:w="112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87"/>
              </w:rPr>
              <w:t>Change Due</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to Volume</w:t>
            </w:r>
          </w:p>
        </w:tc>
        <w:tc>
          <w:tcPr>
            <w:tcW w:w="300" w:type="dxa"/>
            <w:vAlign w:val="bottom"/>
          </w:tcPr>
          <w:p>
            <w:pPr>
              <w:spacing w:after="0"/>
              <w:rPr>
                <w:sz w:val="20"/>
                <w:szCs w:val="20"/>
                <w:color w:val="auto"/>
              </w:rPr>
            </w:pPr>
          </w:p>
        </w:tc>
        <w:tc>
          <w:tcPr>
            <w:tcW w:w="122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to Rate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40" w:type="dxa"/>
            <w:vAlign w:val="bottom"/>
            <w:gridSpan w:val="3"/>
            <w:vMerge w:val="restart"/>
          </w:tcPr>
          <w:p>
            <w:pPr>
              <w:jc w:val="center"/>
              <w:ind w:right="740"/>
              <w:spacing w:after="0"/>
              <w:rPr>
                <w:sz w:val="20"/>
                <w:szCs w:val="20"/>
                <w:color w:val="auto"/>
              </w:rPr>
            </w:pPr>
            <w:r>
              <w:rPr>
                <w:rFonts w:ascii="Arial" w:cs="Arial" w:eastAsia="Arial" w:hAnsi="Arial"/>
                <w:sz w:val="18"/>
                <w:szCs w:val="18"/>
                <w:b w:val="1"/>
                <w:bCs w:val="1"/>
                <w:color w:val="auto"/>
                <w:w w:val="89"/>
              </w:rPr>
              <w:t>Interest Earning Assets</w:t>
            </w:r>
          </w:p>
        </w:tc>
        <w:tc>
          <w:tcPr>
            <w:tcW w:w="2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90"/>
              </w:rPr>
              <w:t>(In thousands)</w:t>
            </w: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4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15,326</w:t>
            </w:r>
          </w:p>
        </w:tc>
        <w:tc>
          <w:tcPr>
            <w:tcW w:w="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18,772</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(3,446)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60" w:type="dxa"/>
            <w:vAlign w:val="bottom"/>
            <w:gridSpan w:val="5"/>
            <w:shd w:val="clear" w:color="auto" w:fill="EEEEEE"/>
          </w:tcPr>
          <w:p>
            <w:pPr>
              <w:jc w:val="center"/>
              <w:ind w:right="24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240" w:type="dxa"/>
            <w:vAlign w:val="bottom"/>
            <w:shd w:val="clear" w:color="auto" w:fill="EEEEEE"/>
          </w:tcPr>
          <w:p>
            <w:pPr>
              <w:spacing w:after="0"/>
              <w:rPr>
                <w:sz w:val="15"/>
                <w:szCs w:val="15"/>
                <w:color w:val="auto"/>
              </w:rPr>
            </w:pPr>
          </w:p>
        </w:tc>
        <w:tc>
          <w:tcPr>
            <w:tcW w:w="1220" w:type="dxa"/>
            <w:vAlign w:val="bottom"/>
            <w:shd w:val="clear" w:color="auto" w:fill="EEEEEE"/>
          </w:tcPr>
          <w:p>
            <w:pPr>
              <w:spacing w:after="0"/>
              <w:rPr>
                <w:sz w:val="15"/>
                <w:szCs w:val="15"/>
                <w:color w:val="auto"/>
              </w:rPr>
            </w:pPr>
          </w:p>
        </w:tc>
        <w:tc>
          <w:tcPr>
            <w:tcW w:w="2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28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11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EEEEEE"/>
          </w:tcPr>
          <w:p>
            <w:pPr>
              <w:spacing w:after="0" w:line="20" w:lineRule="exact"/>
              <w:rPr>
                <w:sz w:val="1"/>
                <w:szCs w:val="1"/>
                <w:color w:val="auto"/>
              </w:rPr>
            </w:pPr>
          </w:p>
        </w:tc>
        <w:tc>
          <w:tcPr>
            <w:tcW w:w="1800" w:type="dxa"/>
            <w:vAlign w:val="bottom"/>
            <w:tcBorders>
              <w:top w:val="single" w:sz="8" w:color="auto"/>
            </w:tcBorders>
            <w:shd w:val="clear" w:color="auto" w:fill="EEEEEE"/>
          </w:tcPr>
          <w:p>
            <w:pPr>
              <w:spacing w:after="0" w:line="20" w:lineRule="exact"/>
              <w:rPr>
                <w:sz w:val="1"/>
                <w:szCs w:val="1"/>
                <w:color w:val="auto"/>
              </w:rPr>
            </w:pPr>
          </w:p>
        </w:tc>
        <w:tc>
          <w:tcPr>
            <w:tcW w:w="120" w:type="dxa"/>
            <w:vAlign w:val="bottom"/>
            <w:tcBorders>
              <w:top w:val="single" w:sz="8" w:color="auto"/>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2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28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11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5"/>
          </w:tcPr>
          <w:p>
            <w:pPr>
              <w:spacing w:after="0"/>
              <w:rPr>
                <w:sz w:val="20"/>
                <w:szCs w:val="20"/>
                <w:color w:val="auto"/>
              </w:rPr>
            </w:pPr>
            <w:r>
              <w:rPr>
                <w:rFonts w:ascii="Arial" w:cs="Arial" w:eastAsia="Arial" w:hAnsi="Arial"/>
                <w:sz w:val="18"/>
                <w:szCs w:val="18"/>
                <w:color w:val="auto"/>
              </w:rPr>
              <w:t>Warehouse lines of credit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(1,701)</w:t>
            </w:r>
          </w:p>
        </w:tc>
        <w:tc>
          <w:tcPr>
            <w:tcW w:w="3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4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(744)</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(744)</w:t>
            </w:r>
          </w:p>
        </w:tc>
        <w:tc>
          <w:tcPr>
            <w:tcW w:w="30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5"/>
          </w:tcPr>
          <w:p>
            <w:pPr>
              <w:spacing w:after="0"/>
              <w:rPr>
                <w:sz w:val="20"/>
                <w:szCs w:val="20"/>
                <w:color w:val="auto"/>
              </w:rPr>
            </w:pPr>
            <w:r>
              <w:rPr>
                <w:rFonts w:ascii="Arial" w:cs="Arial" w:eastAsia="Arial" w:hAnsi="Arial"/>
                <w:sz w:val="18"/>
                <w:szCs w:val="18"/>
                <w:color w:val="auto"/>
              </w:rPr>
              <w:t>Securitization trust debt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11,722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1,942</w:t>
            </w:r>
          </w:p>
        </w:tc>
        <w:tc>
          <w:tcPr>
            <w:tcW w:w="3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9,780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240" w:type="dxa"/>
            <w:vAlign w:val="bottom"/>
            <w:shd w:val="clear" w:color="auto" w:fill="EEEEEE"/>
          </w:tcPr>
          <w:p>
            <w:pPr>
              <w:spacing w:after="0"/>
              <w:rPr>
                <w:sz w:val="19"/>
                <w:szCs w:val="19"/>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w:t>
            </w:r>
          </w:p>
        </w:tc>
        <w:tc>
          <w:tcPr>
            <w:tcW w:w="2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48</w:t>
            </w:r>
          </w:p>
        </w:tc>
        <w:tc>
          <w:tcPr>
            <w:tcW w:w="300" w:type="dxa"/>
            <w:vAlign w:val="bottom"/>
            <w:shd w:val="clear" w:color="auto" w:fill="EEEEEE"/>
          </w:tcPr>
          <w:p>
            <w:pPr>
              <w:spacing w:after="0"/>
              <w:rPr>
                <w:sz w:val="19"/>
                <w:szCs w:val="19"/>
                <w:color w:val="auto"/>
              </w:rPr>
            </w:pPr>
          </w:p>
        </w:tc>
        <w:tc>
          <w:tcPr>
            <w:tcW w:w="12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10,199</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10,654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8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620" w:type="dxa"/>
            <w:vAlign w:val="bottom"/>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spacing w:after="0"/>
              <w:rPr>
                <w:sz w:val="19"/>
                <w:szCs w:val="19"/>
                <w:color w:val="auto"/>
              </w:rPr>
            </w:pPr>
          </w:p>
        </w:tc>
        <w:tc>
          <w:tcPr>
            <w:tcW w:w="1220" w:type="dxa"/>
            <w:vAlign w:val="bottom"/>
            <w:tcBorders>
              <w:bottom w:val="single" w:sz="8" w:color="auto"/>
            </w:tcBorders>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20" w:type="dxa"/>
            <w:vAlign w:val="bottom"/>
            <w:tcBorders>
              <w:bottom w:val="single" w:sz="8" w:color="auto"/>
            </w:tcBorders>
            <w:shd w:val="clear" w:color="auto" w:fill="EEEEEE"/>
          </w:tcPr>
          <w:p>
            <w:pPr>
              <w:spacing w:after="0"/>
              <w:rPr>
                <w:sz w:val="19"/>
                <w:szCs w:val="19"/>
                <w:color w:val="auto"/>
              </w:rPr>
            </w:pPr>
          </w:p>
        </w:tc>
        <w:tc>
          <w:tcPr>
            <w:tcW w:w="1280" w:type="dxa"/>
            <w:vAlign w:val="bottom"/>
            <w:tcBorders>
              <w:bottom w:val="single" w:sz="8" w:color="auto"/>
            </w:tcBorders>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spacing w:after="0"/>
              <w:rPr>
                <w:sz w:val="19"/>
                <w:szCs w:val="19"/>
                <w:color w:val="auto"/>
              </w:rPr>
            </w:pPr>
          </w:p>
        </w:tc>
        <w:tc>
          <w:tcPr>
            <w:tcW w:w="1120" w:type="dxa"/>
            <w:vAlign w:val="bottom"/>
            <w:tcBorders>
              <w:bottom w:val="single" w:sz="8" w:color="auto"/>
            </w:tcBorders>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gridSpan w:val="5"/>
          </w:tcPr>
          <w:p>
            <w:pPr>
              <w:spacing w:after="0"/>
              <w:rPr>
                <w:sz w:val="20"/>
                <w:szCs w:val="20"/>
                <w:color w:val="auto"/>
              </w:rPr>
            </w:pPr>
            <w:r>
              <w:rPr>
                <w:rFonts w:ascii="Arial" w:cs="Arial" w:eastAsia="Arial" w:hAnsi="Arial"/>
                <w:sz w:val="18"/>
                <w:szCs w:val="18"/>
                <w:color w:val="auto"/>
              </w:rPr>
              <w:t>Net interest income/spread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5,127</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19,227</w:t>
            </w:r>
          </w:p>
        </w:tc>
        <w:tc>
          <w:tcPr>
            <w:tcW w:w="3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(14,100</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reduction in the annualized yield on our finance receivables for the nine months ended September 30, 2017 compared to the prior year period is the result of our decision to offer dealers slightly lower acquisition fees and also to require slightly lower contract interest rates on a portion of the contracts we purchase.</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Provision for credit losses was $143.1 million for the nine months ended September 30, 2017, an increase of $8.2 million, or 6.1% compared to the prior year and represented 47.2% of total operating expenses. The provision for credit losses maintains the allowance for finance credit losses at levels that we feel are adequate for probable incurred credit losses that can be reasonably estimated. Our approach for establishing the allowance requires greater amounts of provision for credit losses early in the terms of our finance receivables. In addition, we monitor the delinquency and net charge off rates in our portfolio to consider how such rates may affect the allowance for finance credit losses. Consequently, the increase in provision expense is the result of the increase in contract purchases, the larger portfolio owned by our consolidated subsidiaries, and somewhat higher delinquency and charge off rates compared to the prior year.</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Marketing expenses consist primarily of commission-based compensation paid to our employee marketing representatives. Our marketing representatives earn a salary plus commissions based on volume of contract purchases and sales of ancillary products and services that we offer our dealers, such as training programs, internet lead sales, and direct mail products. Marketing expenses decreased by $2.1 million, or 15.2%, to $11.8 million during the nine months ended September 30, 2017, compared to $13.9 million in the prior year period, and represented 3.9% of total operating expenses. For the nine months ended September 30, 2017, we purchased 41,137 contracts representing $668.3 million in receivables compared to 53,244 contracts representing $873.5 million in receivables in the prior period.</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Occupancy expenses increased by $1.7 million or 45.7%, to $5.3 million compared to $3.6million in the previous year and represented 1.7% of total operating expenses. In July 2015, we entered into a lease for additional office space in Irvine, California. We then occupied that space, and incurred incremental occupancy expense, in phases. The first phase was in July 2015 and the second and final phase was in April 2016. In May 2017, we acquired additional office space in Las Vegas, Nevada.</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Depreciation and amortization expenses increased by $124,000 or 21.8%, to $692,000 compared to $568,000 in the previous year and represented 0.2% of total operating expenses.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the nine months ended September 30, 2017, we recorded income tax expense of $10.1 million, representing a 42.5% effective income tax rate. In the prior year period, we recorded $15.2 million in income tax expense, representing a 41.0% effective income tax rate.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Credit Experience</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financial results are dependent on the performance of the automobile contracts in which we retain an ownership interest. Broad economic factors such as recession and significant changes in unemployment levels influence the credit performance of our portfolio, as does the weighted average age of the receivables at any given time. The tables below document the delinquency, repossession and net credit loss experience of all such automobile contracts that we originated or own an interest in as of the respective dates shown. The tables do not include the experience of third party originated and owned portfolios.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Delinquency, Repossession and Extension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780" w:type="dxa"/>
            <w:vAlign w:val="bottom"/>
            <w:gridSpan w:val="6"/>
          </w:tcPr>
          <w:p>
            <w:pPr>
              <w:ind w:left="600"/>
              <w:spacing w:after="0"/>
              <w:rPr>
                <w:sz w:val="20"/>
                <w:szCs w:val="20"/>
                <w:color w:val="auto"/>
              </w:rPr>
            </w:pPr>
            <w:r>
              <w:rPr>
                <w:rFonts w:ascii="Arial" w:cs="Arial" w:eastAsia="Arial" w:hAnsi="Arial"/>
                <w:sz w:val="16"/>
                <w:szCs w:val="16"/>
                <w:b w:val="1"/>
                <w:bCs w:val="1"/>
                <w:color w:val="auto"/>
              </w:rPr>
              <w:t>September 30, 2017</w:t>
            </w:r>
          </w:p>
        </w:tc>
        <w:tc>
          <w:tcPr>
            <w:tcW w:w="2700" w:type="dxa"/>
            <w:vAlign w:val="bottom"/>
            <w:gridSpan w:val="6"/>
          </w:tcPr>
          <w:p>
            <w:pPr>
              <w:ind w:left="580"/>
              <w:spacing w:after="0"/>
              <w:rPr>
                <w:sz w:val="20"/>
                <w:szCs w:val="20"/>
                <w:color w:val="auto"/>
              </w:rPr>
            </w:pPr>
            <w:r>
              <w:rPr>
                <w:rFonts w:ascii="Arial" w:cs="Arial" w:eastAsia="Arial" w:hAnsi="Arial"/>
                <w:sz w:val="16"/>
                <w:szCs w:val="16"/>
                <w:b w:val="1"/>
                <w:bCs w:val="1"/>
                <w:color w:val="auto"/>
              </w:rPr>
              <w:t>September 30, 2016</w:t>
            </w:r>
          </w:p>
        </w:tc>
        <w:tc>
          <w:tcPr>
            <w:tcW w:w="2600" w:type="dxa"/>
            <w:vAlign w:val="bottom"/>
            <w:gridSpan w:val="6"/>
          </w:tcPr>
          <w:p>
            <w:pPr>
              <w:ind w:left="600"/>
              <w:spacing w:after="0"/>
              <w:rPr>
                <w:sz w:val="20"/>
                <w:szCs w:val="20"/>
                <w:color w:val="auto"/>
              </w:rPr>
            </w:pPr>
            <w:r>
              <w:rPr>
                <w:rFonts w:ascii="Arial" w:cs="Arial" w:eastAsia="Arial" w:hAnsi="Arial"/>
                <w:sz w:val="16"/>
                <w:szCs w:val="16"/>
                <w:b w:val="1"/>
                <w:bCs w:val="1"/>
                <w:color w:val="auto"/>
              </w:rPr>
              <w:t>December 31, 2016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28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92"/>
              </w:rPr>
              <w:t>Number of</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6"/>
                <w:szCs w:val="16"/>
                <w:b w:val="1"/>
                <w:bCs w:val="1"/>
                <w:color w:val="auto"/>
              </w:rPr>
              <w:t>Number of</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6"/>
                <w:szCs w:val="16"/>
                <w:b w:val="1"/>
                <w:bCs w:val="1"/>
                <w:color w:val="auto"/>
              </w:rPr>
              <w:t>Number of</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Contracts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Amount</w:t>
            </w:r>
          </w:p>
        </w:tc>
        <w:tc>
          <w:tcPr>
            <w:tcW w:w="12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Contracts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Amount</w:t>
            </w:r>
          </w:p>
        </w:tc>
        <w:tc>
          <w:tcPr>
            <w:tcW w:w="12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Contracts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07"/>
        </w:trPr>
        <w:tc>
          <w:tcPr>
            <w:tcW w:w="3340" w:type="dxa"/>
            <w:vAlign w:val="bottom"/>
            <w:gridSpan w:val="2"/>
            <w:vMerge w:val="restart"/>
          </w:tcPr>
          <w:p>
            <w:pPr>
              <w:spacing w:after="0"/>
              <w:rPr>
                <w:sz w:val="20"/>
                <w:szCs w:val="20"/>
                <w:color w:val="auto"/>
              </w:rPr>
            </w:pPr>
            <w:r>
              <w:rPr>
                <w:rFonts w:ascii="Arial" w:cs="Arial" w:eastAsia="Arial" w:hAnsi="Arial"/>
                <w:sz w:val="16"/>
                <w:szCs w:val="16"/>
                <w:b w:val="1"/>
                <w:bCs w:val="1"/>
                <w:i w:val="1"/>
                <w:iCs w:val="1"/>
                <w:color w:val="auto"/>
              </w:rPr>
              <w:t>Delinquency Experience</w:t>
            </w: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700" w:type="dxa"/>
            <w:vAlign w:val="bottom"/>
            <w:tcBorders>
              <w:top w:val="single" w:sz="8" w:color="auto"/>
            </w:tcBorders>
            <w:gridSpan w:val="6"/>
          </w:tcPr>
          <w:p>
            <w:pPr>
              <w:ind w:left="440"/>
              <w:spacing w:after="0"/>
              <w:rPr>
                <w:sz w:val="20"/>
                <w:szCs w:val="20"/>
                <w:color w:val="auto"/>
              </w:rPr>
            </w:pPr>
            <w:r>
              <w:rPr>
                <w:rFonts w:ascii="Arial" w:cs="Arial" w:eastAsia="Arial" w:hAnsi="Arial"/>
                <w:sz w:val="16"/>
                <w:szCs w:val="16"/>
                <w:b w:val="1"/>
                <w:bCs w:val="1"/>
                <w:color w:val="auto"/>
              </w:rPr>
              <w:t>(Dollars in thousands)</w:t>
            </w: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40" w:type="dxa"/>
            <w:vAlign w:val="bottom"/>
            <w:gridSpan w:val="2"/>
            <w:vMerge w:val="continue"/>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shd w:val="clear" w:color="auto" w:fill="EEEEEE"/>
          </w:tcPr>
          <w:p>
            <w:pPr>
              <w:spacing w:after="0"/>
              <w:rPr>
                <w:sz w:val="20"/>
                <w:szCs w:val="20"/>
                <w:color w:val="auto"/>
              </w:rPr>
            </w:pPr>
            <w:r>
              <w:rPr>
                <w:rFonts w:ascii="Arial" w:cs="Arial" w:eastAsia="Arial" w:hAnsi="Arial"/>
                <w:sz w:val="16"/>
                <w:szCs w:val="16"/>
                <w:color w:val="auto"/>
              </w:rPr>
              <w:t>Gross servicing portfolio (1)</w:t>
            </w:r>
          </w:p>
        </w:tc>
        <w:tc>
          <w:tcPr>
            <w:tcW w:w="128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174,382</w:t>
            </w:r>
          </w:p>
        </w:tc>
        <w:tc>
          <w:tcPr>
            <w:tcW w:w="30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2,345,992</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167,629</w:t>
            </w:r>
          </w:p>
        </w:tc>
        <w:tc>
          <w:tcPr>
            <w:tcW w:w="30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2,291,854</w:t>
            </w: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169,720</w:t>
            </w:r>
          </w:p>
        </w:tc>
        <w:tc>
          <w:tcPr>
            <w:tcW w:w="30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2,308,058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6"/>
                <w:szCs w:val="16"/>
                <w:color w:val="auto"/>
              </w:rPr>
              <w:t>Period of delinquency (2)</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shd w:val="clear" w:color="auto" w:fill="EEEEEE"/>
          </w:tcPr>
          <w:p>
            <w:pPr>
              <w:ind w:left="180"/>
              <w:spacing w:after="0"/>
              <w:rPr>
                <w:sz w:val="20"/>
                <w:szCs w:val="20"/>
                <w:color w:val="auto"/>
              </w:rPr>
            </w:pPr>
            <w:r>
              <w:rPr>
                <w:rFonts w:ascii="Arial" w:cs="Arial" w:eastAsia="Arial" w:hAnsi="Arial"/>
                <w:sz w:val="16"/>
                <w:szCs w:val="16"/>
                <w:color w:val="auto"/>
              </w:rPr>
              <w:t>31-60 days</w:t>
            </w:r>
          </w:p>
        </w:tc>
        <w:tc>
          <w:tcPr>
            <w:tcW w:w="128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9,607</w:t>
            </w:r>
          </w:p>
        </w:tc>
        <w:tc>
          <w:tcPr>
            <w:tcW w:w="30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130,456</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8,843</w:t>
            </w:r>
          </w:p>
        </w:tc>
        <w:tc>
          <w:tcPr>
            <w:tcW w:w="30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EEEEEE"/>
          </w:tcPr>
          <w:p>
            <w:pPr>
              <w:jc w:val="right"/>
              <w:ind w:right="200"/>
              <w:spacing w:after="0"/>
              <w:rPr>
                <w:sz w:val="20"/>
                <w:szCs w:val="20"/>
                <w:color w:val="auto"/>
              </w:rPr>
            </w:pPr>
            <w:r>
              <w:rPr>
                <w:rFonts w:ascii="Arial" w:cs="Arial" w:eastAsia="Arial" w:hAnsi="Arial"/>
                <w:sz w:val="16"/>
                <w:szCs w:val="16"/>
                <w:color w:val="auto"/>
              </w:rPr>
              <w:t>119,283</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8,673</w:t>
            </w:r>
          </w:p>
        </w:tc>
        <w:tc>
          <w:tcPr>
            <w:tcW w:w="30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116,073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tcPr>
          <w:p>
            <w:pPr>
              <w:ind w:left="180"/>
              <w:spacing w:after="0"/>
              <w:rPr>
                <w:sz w:val="20"/>
                <w:szCs w:val="20"/>
                <w:color w:val="auto"/>
              </w:rPr>
            </w:pPr>
            <w:r>
              <w:rPr>
                <w:rFonts w:ascii="Arial" w:cs="Arial" w:eastAsia="Arial" w:hAnsi="Arial"/>
                <w:sz w:val="16"/>
                <w:szCs w:val="16"/>
                <w:color w:val="auto"/>
              </w:rPr>
              <w:t>61-90 days</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3,989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51,912</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3,882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50,248</w:t>
            </w:r>
          </w:p>
        </w:tc>
        <w:tc>
          <w:tcPr>
            <w:tcW w:w="20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3,998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52,403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ind w:left="180"/>
              <w:spacing w:after="0"/>
              <w:rPr>
                <w:sz w:val="20"/>
                <w:szCs w:val="20"/>
                <w:color w:val="auto"/>
              </w:rPr>
            </w:pPr>
            <w:r>
              <w:rPr>
                <w:rFonts w:ascii="Arial" w:cs="Arial" w:eastAsia="Arial" w:hAnsi="Arial"/>
                <w:sz w:val="16"/>
                <w:szCs w:val="16"/>
                <w:color w:val="auto"/>
              </w:rPr>
              <w:t>91+ days</w:t>
            </w:r>
          </w:p>
        </w:tc>
        <w:tc>
          <w:tcPr>
            <w:tcW w:w="128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2,182</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26,485</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2,780</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36,277</w:t>
            </w: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3,407</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44,384</w:t>
            </w:r>
          </w:p>
        </w:tc>
        <w:tc>
          <w:tcPr>
            <w:tcW w:w="0" w:type="dxa"/>
            <w:vAlign w:val="bottom"/>
          </w:tcPr>
          <w:p>
            <w:pPr>
              <w:spacing w:after="0"/>
              <w:rPr>
                <w:sz w:val="1"/>
                <w:szCs w:val="1"/>
                <w:color w:val="auto"/>
              </w:rPr>
            </w:pPr>
          </w:p>
        </w:tc>
      </w:tr>
      <w:tr>
        <w:trPr>
          <w:trHeight w:val="196"/>
        </w:trPr>
        <w:tc>
          <w:tcPr>
            <w:tcW w:w="3340" w:type="dxa"/>
            <w:vAlign w:val="bottom"/>
            <w:gridSpan w:val="2"/>
          </w:tcPr>
          <w:p>
            <w:pPr>
              <w:spacing w:after="0"/>
              <w:rPr>
                <w:sz w:val="20"/>
                <w:szCs w:val="20"/>
                <w:color w:val="auto"/>
              </w:rPr>
            </w:pPr>
            <w:r>
              <w:rPr>
                <w:rFonts w:ascii="Arial" w:cs="Arial" w:eastAsia="Arial" w:hAnsi="Arial"/>
                <w:sz w:val="16"/>
                <w:szCs w:val="16"/>
                <w:color w:val="auto"/>
              </w:rPr>
              <w:t>Total delinquencies (2)</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15,778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208,853</w:t>
            </w:r>
          </w:p>
        </w:tc>
        <w:tc>
          <w:tcPr>
            <w:tcW w:w="22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15,505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205,808</w:t>
            </w:r>
          </w:p>
        </w:tc>
        <w:tc>
          <w:tcPr>
            <w:tcW w:w="20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16,078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212,860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spacing w:after="0"/>
              <w:rPr>
                <w:sz w:val="20"/>
                <w:szCs w:val="20"/>
                <w:color w:val="auto"/>
              </w:rPr>
            </w:pPr>
            <w:r>
              <w:rPr>
                <w:rFonts w:ascii="Arial" w:cs="Arial" w:eastAsia="Arial" w:hAnsi="Arial"/>
                <w:sz w:val="16"/>
                <w:szCs w:val="16"/>
                <w:color w:val="auto"/>
              </w:rPr>
              <w:t>Amount in repossession (3)</w:t>
            </w:r>
          </w:p>
        </w:tc>
        <w:tc>
          <w:tcPr>
            <w:tcW w:w="128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2,473</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32,032</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2,632</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33,837</w:t>
            </w: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3,162</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40,125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20" w:type="dxa"/>
            <w:vAlign w:val="bottom"/>
          </w:tcPr>
          <w:p>
            <w:pPr>
              <w:spacing w:after="0" w:line="173" w:lineRule="exact"/>
              <w:rPr>
                <w:sz w:val="20"/>
                <w:szCs w:val="20"/>
                <w:color w:val="auto"/>
              </w:rPr>
            </w:pPr>
            <w:r>
              <w:rPr>
                <w:rFonts w:ascii="Arial" w:cs="Arial" w:eastAsia="Arial" w:hAnsi="Arial"/>
                <w:sz w:val="16"/>
                <w:szCs w:val="16"/>
                <w:color w:val="auto"/>
                <w:w w:val="96"/>
              </w:rPr>
              <w:t>Total delinquencies and amount in repossession</w:t>
            </w:r>
          </w:p>
        </w:tc>
        <w:tc>
          <w:tcPr>
            <w:tcW w:w="1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340" w:type="dxa"/>
            <w:vAlign w:val="bottom"/>
            <w:gridSpan w:val="2"/>
          </w:tcPr>
          <w:p>
            <w:pPr>
              <w:ind w:left="200"/>
              <w:spacing w:after="0"/>
              <w:rPr>
                <w:sz w:val="20"/>
                <w:szCs w:val="20"/>
                <w:color w:val="auto"/>
              </w:rPr>
            </w:pPr>
            <w:r>
              <w:rPr>
                <w:rFonts w:ascii="Arial" w:cs="Arial" w:eastAsia="Arial" w:hAnsi="Arial"/>
                <w:sz w:val="16"/>
                <w:szCs w:val="16"/>
                <w:color w:val="auto"/>
              </w:rPr>
              <w:t>(2)</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18,251</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240,885</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18,137</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239,645</w:t>
            </w:r>
          </w:p>
        </w:tc>
        <w:tc>
          <w:tcPr>
            <w:tcW w:w="20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19,240</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252,985</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3320" w:type="dxa"/>
            <w:vAlign w:val="bottom"/>
            <w:tcBorders>
              <w:top w:val="single" w:sz="8" w:color="EEEEEE"/>
            </w:tcBorders>
            <w:shd w:val="clear" w:color="auto" w:fill="EEEEEE"/>
          </w:tcPr>
          <w:p>
            <w:pPr>
              <w:spacing w:after="0"/>
              <w:rPr>
                <w:sz w:val="16"/>
                <w:szCs w:val="16"/>
                <w:color w:val="auto"/>
              </w:rPr>
            </w:pPr>
          </w:p>
        </w:tc>
        <w:tc>
          <w:tcPr>
            <w:tcW w:w="1160" w:type="dxa"/>
            <w:vAlign w:val="bottom"/>
            <w:tcBorders>
              <w:top w:val="single" w:sz="8" w:color="auto"/>
            </w:tcBorders>
            <w:shd w:val="clear" w:color="auto" w:fill="EEEEEE"/>
          </w:tcPr>
          <w:p>
            <w:pPr>
              <w:spacing w:after="0"/>
              <w:rPr>
                <w:sz w:val="16"/>
                <w:szCs w:val="16"/>
                <w:color w:val="auto"/>
              </w:rPr>
            </w:pPr>
          </w:p>
        </w:tc>
        <w:tc>
          <w:tcPr>
            <w:tcW w:w="120" w:type="dxa"/>
            <w:vAlign w:val="bottom"/>
            <w:tcBorders>
              <w:top w:val="single" w:sz="8" w:color="EEEEEE"/>
            </w:tcBorders>
            <w:shd w:val="clear" w:color="auto" w:fill="EEEEEE"/>
          </w:tcPr>
          <w:p>
            <w:pPr>
              <w:spacing w:after="0"/>
              <w:rPr>
                <w:sz w:val="16"/>
                <w:szCs w:val="16"/>
                <w:color w:val="auto"/>
              </w:rPr>
            </w:pPr>
          </w:p>
        </w:tc>
        <w:tc>
          <w:tcPr>
            <w:tcW w:w="120" w:type="dxa"/>
            <w:vAlign w:val="bottom"/>
            <w:tcBorders>
              <w:top w:val="single" w:sz="8" w:color="EEEEEE"/>
            </w:tcBorders>
            <w:shd w:val="clear" w:color="auto" w:fill="EEEEEE"/>
          </w:tcPr>
          <w:p>
            <w:pPr>
              <w:spacing w:after="0"/>
              <w:rPr>
                <w:sz w:val="16"/>
                <w:szCs w:val="16"/>
                <w:color w:val="auto"/>
              </w:rPr>
            </w:pPr>
          </w:p>
        </w:tc>
        <w:tc>
          <w:tcPr>
            <w:tcW w:w="180" w:type="dxa"/>
            <w:vAlign w:val="bottom"/>
            <w:tcBorders>
              <w:top w:val="single" w:sz="8" w:color="auto"/>
            </w:tcBorders>
            <w:shd w:val="clear" w:color="auto" w:fill="EEEEEE"/>
          </w:tcPr>
          <w:p>
            <w:pPr>
              <w:spacing w:after="0"/>
              <w:rPr>
                <w:sz w:val="16"/>
                <w:szCs w:val="16"/>
                <w:color w:val="auto"/>
              </w:rPr>
            </w:pPr>
          </w:p>
        </w:tc>
        <w:tc>
          <w:tcPr>
            <w:tcW w:w="980" w:type="dxa"/>
            <w:vAlign w:val="bottom"/>
            <w:tcBorders>
              <w:top w:val="single" w:sz="8" w:color="auto"/>
            </w:tcBorders>
            <w:shd w:val="clear" w:color="auto" w:fill="EEEEEE"/>
          </w:tcPr>
          <w:p>
            <w:pPr>
              <w:spacing w:after="0"/>
              <w:rPr>
                <w:sz w:val="16"/>
                <w:szCs w:val="16"/>
                <w:color w:val="auto"/>
              </w:rPr>
            </w:pPr>
          </w:p>
        </w:tc>
        <w:tc>
          <w:tcPr>
            <w:tcW w:w="220" w:type="dxa"/>
            <w:vAlign w:val="bottom"/>
            <w:tcBorders>
              <w:top w:val="single" w:sz="8" w:color="EEEEEE"/>
            </w:tcBorders>
            <w:shd w:val="clear" w:color="auto" w:fill="EEEEEE"/>
          </w:tcPr>
          <w:p>
            <w:pPr>
              <w:spacing w:after="0"/>
              <w:rPr>
                <w:sz w:val="16"/>
                <w:szCs w:val="16"/>
                <w:color w:val="auto"/>
              </w:rPr>
            </w:pPr>
          </w:p>
        </w:tc>
        <w:tc>
          <w:tcPr>
            <w:tcW w:w="1140" w:type="dxa"/>
            <w:vAlign w:val="bottom"/>
            <w:tcBorders>
              <w:top w:val="single" w:sz="8" w:color="auto"/>
            </w:tcBorders>
            <w:shd w:val="clear" w:color="auto" w:fill="EEEEEE"/>
          </w:tcPr>
          <w:p>
            <w:pPr>
              <w:spacing w:after="0"/>
              <w:rPr>
                <w:sz w:val="16"/>
                <w:szCs w:val="16"/>
                <w:color w:val="auto"/>
              </w:rPr>
            </w:pPr>
          </w:p>
        </w:tc>
        <w:tc>
          <w:tcPr>
            <w:tcW w:w="100" w:type="dxa"/>
            <w:vAlign w:val="bottom"/>
            <w:tcBorders>
              <w:top w:val="single" w:sz="8" w:color="EEEEEE"/>
            </w:tcBorders>
            <w:shd w:val="clear" w:color="auto" w:fill="EEEEEE"/>
          </w:tcPr>
          <w:p>
            <w:pPr>
              <w:spacing w:after="0"/>
              <w:rPr>
                <w:sz w:val="16"/>
                <w:szCs w:val="16"/>
                <w:color w:val="auto"/>
              </w:rPr>
            </w:pPr>
          </w:p>
        </w:tc>
        <w:tc>
          <w:tcPr>
            <w:tcW w:w="120" w:type="dxa"/>
            <w:vAlign w:val="bottom"/>
            <w:tcBorders>
              <w:top w:val="single" w:sz="8" w:color="EEEEEE"/>
            </w:tcBorders>
            <w:shd w:val="clear" w:color="auto" w:fill="EEEEEE"/>
          </w:tcPr>
          <w:p>
            <w:pPr>
              <w:spacing w:after="0"/>
              <w:rPr>
                <w:sz w:val="16"/>
                <w:szCs w:val="16"/>
                <w:color w:val="auto"/>
              </w:rPr>
            </w:pPr>
          </w:p>
        </w:tc>
        <w:tc>
          <w:tcPr>
            <w:tcW w:w="180" w:type="dxa"/>
            <w:vAlign w:val="bottom"/>
            <w:tcBorders>
              <w:top w:val="single" w:sz="8" w:color="auto"/>
            </w:tcBorders>
            <w:shd w:val="clear" w:color="auto" w:fill="EEEEEE"/>
          </w:tcPr>
          <w:p>
            <w:pPr>
              <w:spacing w:after="0"/>
              <w:rPr>
                <w:sz w:val="16"/>
                <w:szCs w:val="16"/>
                <w:color w:val="auto"/>
              </w:rPr>
            </w:pPr>
          </w:p>
        </w:tc>
        <w:tc>
          <w:tcPr>
            <w:tcW w:w="960" w:type="dxa"/>
            <w:vAlign w:val="bottom"/>
            <w:tcBorders>
              <w:top w:val="single" w:sz="8" w:color="auto"/>
            </w:tcBorders>
            <w:shd w:val="clear" w:color="auto" w:fill="EEEEEE"/>
          </w:tcPr>
          <w:p>
            <w:pPr>
              <w:spacing w:after="0"/>
              <w:rPr>
                <w:sz w:val="16"/>
                <w:szCs w:val="16"/>
                <w:color w:val="auto"/>
              </w:rPr>
            </w:pPr>
          </w:p>
        </w:tc>
        <w:tc>
          <w:tcPr>
            <w:tcW w:w="200" w:type="dxa"/>
            <w:vAlign w:val="bottom"/>
            <w:tcBorders>
              <w:top w:val="single" w:sz="8" w:color="EEEEEE"/>
            </w:tcBorders>
            <w:shd w:val="clear" w:color="auto" w:fill="EEEEEE"/>
          </w:tcPr>
          <w:p>
            <w:pPr>
              <w:spacing w:after="0"/>
              <w:rPr>
                <w:sz w:val="16"/>
                <w:szCs w:val="16"/>
                <w:color w:val="auto"/>
              </w:rPr>
            </w:pPr>
          </w:p>
        </w:tc>
        <w:tc>
          <w:tcPr>
            <w:tcW w:w="1140" w:type="dxa"/>
            <w:vAlign w:val="bottom"/>
            <w:tcBorders>
              <w:top w:val="single" w:sz="8" w:color="auto"/>
            </w:tcBorders>
            <w:shd w:val="clear" w:color="auto" w:fill="EEEEEE"/>
          </w:tcPr>
          <w:p>
            <w:pPr>
              <w:spacing w:after="0"/>
              <w:rPr>
                <w:sz w:val="16"/>
                <w:szCs w:val="16"/>
                <w:color w:val="auto"/>
              </w:rPr>
            </w:pPr>
          </w:p>
        </w:tc>
        <w:tc>
          <w:tcPr>
            <w:tcW w:w="100" w:type="dxa"/>
            <w:vAlign w:val="bottom"/>
            <w:tcBorders>
              <w:top w:val="single" w:sz="8" w:color="EEEEEE"/>
            </w:tcBorders>
            <w:shd w:val="clear" w:color="auto" w:fill="EEEEEE"/>
          </w:tcPr>
          <w:p>
            <w:pPr>
              <w:spacing w:after="0"/>
              <w:rPr>
                <w:sz w:val="16"/>
                <w:szCs w:val="16"/>
                <w:color w:val="auto"/>
              </w:rPr>
            </w:pPr>
          </w:p>
        </w:tc>
        <w:tc>
          <w:tcPr>
            <w:tcW w:w="120" w:type="dxa"/>
            <w:vAlign w:val="bottom"/>
            <w:tcBorders>
              <w:top w:val="single" w:sz="8" w:color="EEEEEE"/>
            </w:tcBorders>
            <w:shd w:val="clear" w:color="auto" w:fill="EEEEEE"/>
          </w:tcPr>
          <w:p>
            <w:pPr>
              <w:spacing w:after="0"/>
              <w:rPr>
                <w:sz w:val="16"/>
                <w:szCs w:val="16"/>
                <w:color w:val="auto"/>
              </w:rPr>
            </w:pPr>
          </w:p>
        </w:tc>
        <w:tc>
          <w:tcPr>
            <w:tcW w:w="180" w:type="dxa"/>
            <w:vAlign w:val="bottom"/>
            <w:tcBorders>
              <w:top w:val="single" w:sz="8" w:color="auto"/>
            </w:tcBorders>
            <w:shd w:val="clear" w:color="auto" w:fill="EEEEEE"/>
          </w:tcPr>
          <w:p>
            <w:pPr>
              <w:spacing w:after="0"/>
              <w:rPr>
                <w:sz w:val="16"/>
                <w:szCs w:val="16"/>
                <w:color w:val="auto"/>
              </w:rPr>
            </w:pPr>
          </w:p>
        </w:tc>
        <w:tc>
          <w:tcPr>
            <w:tcW w:w="960" w:type="dxa"/>
            <w:vAlign w:val="bottom"/>
            <w:tcBorders>
              <w:top w:val="single" w:sz="8" w:color="auto"/>
            </w:tcBorders>
            <w:shd w:val="clear" w:color="auto" w:fill="EEEEEE"/>
          </w:tcPr>
          <w:p>
            <w:pPr>
              <w:spacing w:after="0"/>
              <w:rPr>
                <w:sz w:val="16"/>
                <w:szCs w:val="16"/>
                <w:color w:val="auto"/>
              </w:rPr>
            </w:pPr>
          </w:p>
        </w:tc>
        <w:tc>
          <w:tcPr>
            <w:tcW w:w="100" w:type="dxa"/>
            <w:vAlign w:val="bottom"/>
            <w:tcBorders>
              <w:top w:val="single" w:sz="8" w:color="EEEEEE"/>
            </w:tcBorders>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3320" w:type="dxa"/>
            <w:vAlign w:val="bottom"/>
          </w:tcPr>
          <w:p>
            <w:pPr>
              <w:spacing w:after="0"/>
              <w:rPr>
                <w:sz w:val="20"/>
                <w:szCs w:val="20"/>
                <w:color w:val="auto"/>
              </w:rPr>
            </w:pPr>
            <w:r>
              <w:rPr>
                <w:rFonts w:ascii="Arial" w:cs="Arial" w:eastAsia="Arial" w:hAnsi="Arial"/>
                <w:sz w:val="16"/>
                <w:szCs w:val="16"/>
                <w:color w:val="auto"/>
                <w:w w:val="94"/>
              </w:rPr>
              <w:t>Delinquencies as a percentage of gross servicing</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6"/>
                <w:szCs w:val="16"/>
                <w:color w:val="auto"/>
              </w:rPr>
              <w:t>portfolio</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8.9%</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9.0%</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33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3320" w:type="dxa"/>
            <w:vAlign w:val="bottom"/>
          </w:tcPr>
          <w:p>
            <w:pPr>
              <w:spacing w:after="0"/>
              <w:rPr>
                <w:sz w:val="20"/>
                <w:szCs w:val="20"/>
                <w:color w:val="auto"/>
              </w:rPr>
            </w:pPr>
            <w:r>
              <w:rPr>
                <w:rFonts w:ascii="Arial" w:cs="Arial" w:eastAsia="Arial" w:hAnsi="Arial"/>
                <w:sz w:val="16"/>
                <w:szCs w:val="16"/>
                <w:color w:val="auto"/>
                <w:w w:val="96"/>
              </w:rPr>
              <w:t>Total delinquencies and amount in repossession</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6"/>
                <w:szCs w:val="16"/>
                <w:color w:val="auto"/>
              </w:rPr>
              <w:t>as a percentage of gross servicing portfolio</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10.3%</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10.5%</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33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6"/>
                <w:szCs w:val="16"/>
                <w:b w:val="1"/>
                <w:bCs w:val="1"/>
                <w:i w:val="1"/>
                <w:iCs w:val="1"/>
                <w:color w:val="auto"/>
              </w:rPr>
              <w:t>Extension Experience</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shd w:val="clear" w:color="auto" w:fill="EEEEEE"/>
          </w:tcPr>
          <w:p>
            <w:pPr>
              <w:spacing w:after="0"/>
              <w:rPr>
                <w:sz w:val="20"/>
                <w:szCs w:val="20"/>
                <w:color w:val="auto"/>
              </w:rPr>
            </w:pPr>
            <w:r>
              <w:rPr>
                <w:rFonts w:ascii="Arial" w:cs="Arial" w:eastAsia="Arial" w:hAnsi="Arial"/>
                <w:sz w:val="16"/>
                <w:szCs w:val="16"/>
                <w:color w:val="auto"/>
              </w:rPr>
              <w:t>Contracts with one extension, accruing (4)</w:t>
            </w:r>
          </w:p>
        </w:tc>
        <w:tc>
          <w:tcPr>
            <w:tcW w:w="128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33,013</w:t>
            </w:r>
          </w:p>
        </w:tc>
        <w:tc>
          <w:tcPr>
            <w:tcW w:w="30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449,904</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31,213</w:t>
            </w:r>
          </w:p>
        </w:tc>
        <w:tc>
          <w:tcPr>
            <w:tcW w:w="30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431,533</w:t>
            </w:r>
          </w:p>
        </w:tc>
        <w:tc>
          <w:tcPr>
            <w:tcW w:w="200" w:type="dxa"/>
            <w:vAlign w:val="bottom"/>
            <w:shd w:val="clear" w:color="auto" w:fill="EEEEEE"/>
          </w:tcPr>
          <w:p>
            <w:pPr>
              <w:spacing w:after="0"/>
              <w:rPr>
                <w:sz w:val="17"/>
                <w:szCs w:val="17"/>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34,354</w:t>
            </w:r>
          </w:p>
        </w:tc>
        <w:tc>
          <w:tcPr>
            <w:tcW w:w="30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479,237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20" w:type="dxa"/>
            <w:vAlign w:val="bottom"/>
          </w:tcPr>
          <w:p>
            <w:pPr>
              <w:spacing w:after="0"/>
              <w:rPr>
                <w:sz w:val="20"/>
                <w:szCs w:val="20"/>
                <w:color w:val="auto"/>
              </w:rPr>
            </w:pPr>
            <w:r>
              <w:rPr>
                <w:rFonts w:ascii="Arial" w:cs="Arial" w:eastAsia="Arial" w:hAnsi="Arial"/>
                <w:sz w:val="16"/>
                <w:szCs w:val="16"/>
                <w:color w:val="auto"/>
                <w:w w:val="96"/>
              </w:rPr>
              <w:t>Contracts with two or more extensions, accruing</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340" w:type="dxa"/>
            <w:vAlign w:val="bottom"/>
            <w:gridSpan w:val="2"/>
          </w:tcPr>
          <w:p>
            <w:pPr>
              <w:ind w:left="200"/>
              <w:spacing w:after="0"/>
              <w:rPr>
                <w:sz w:val="20"/>
                <w:szCs w:val="20"/>
                <w:color w:val="auto"/>
              </w:rPr>
            </w:pPr>
            <w:r>
              <w:rPr>
                <w:rFonts w:ascii="Arial" w:cs="Arial" w:eastAsia="Arial" w:hAnsi="Arial"/>
                <w:sz w:val="16"/>
                <w:szCs w:val="16"/>
                <w:color w:val="auto"/>
              </w:rPr>
              <w:t>(4)</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49,461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677,496</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25,246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334,563</w:t>
            </w:r>
          </w:p>
        </w:tc>
        <w:tc>
          <w:tcPr>
            <w:tcW w:w="2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30,450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407,631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320" w:type="dxa"/>
            <w:vAlign w:val="bottom"/>
            <w:tcBorders>
              <w:top w:val="single" w:sz="8" w:color="EEEEEE"/>
            </w:tcBorders>
            <w:shd w:val="clear" w:color="auto" w:fill="EEEEEE"/>
          </w:tcPr>
          <w:p>
            <w:pPr>
              <w:spacing w:after="0"/>
              <w:rPr>
                <w:sz w:val="17"/>
                <w:szCs w:val="17"/>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82,474</w:t>
            </w:r>
          </w:p>
        </w:tc>
        <w:tc>
          <w:tcPr>
            <w:tcW w:w="12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1,127,400</w:t>
            </w:r>
          </w:p>
        </w:tc>
        <w:tc>
          <w:tcPr>
            <w:tcW w:w="220" w:type="dxa"/>
            <w:vAlign w:val="bottom"/>
            <w:tcBorders>
              <w:top w:val="single" w:sz="8" w:color="EEEEEE"/>
            </w:tcBorders>
            <w:shd w:val="clear" w:color="auto" w:fill="EEEEEE"/>
          </w:tcPr>
          <w:p>
            <w:pPr>
              <w:spacing w:after="0"/>
              <w:rPr>
                <w:sz w:val="17"/>
                <w:szCs w:val="17"/>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56,459</w:t>
            </w:r>
          </w:p>
        </w:tc>
        <w:tc>
          <w:tcPr>
            <w:tcW w:w="10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766,096</w:t>
            </w:r>
          </w:p>
        </w:tc>
        <w:tc>
          <w:tcPr>
            <w:tcW w:w="200" w:type="dxa"/>
            <w:vAlign w:val="bottom"/>
            <w:tcBorders>
              <w:top w:val="single" w:sz="8" w:color="EEEEEE"/>
            </w:tcBorders>
            <w:shd w:val="clear" w:color="auto" w:fill="EEEEEE"/>
          </w:tcPr>
          <w:p>
            <w:pPr>
              <w:spacing w:after="0"/>
              <w:rPr>
                <w:sz w:val="17"/>
                <w:szCs w:val="17"/>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64,804</w:t>
            </w:r>
          </w:p>
        </w:tc>
        <w:tc>
          <w:tcPr>
            <w:tcW w:w="10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886,868</w:t>
            </w:r>
          </w:p>
        </w:tc>
        <w:tc>
          <w:tcPr>
            <w:tcW w:w="10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20" w:type="dxa"/>
            <w:vAlign w:val="bottom"/>
            <w:shd w:val="clear" w:color="auto" w:fill="EEEEEE"/>
          </w:tcPr>
          <w:p>
            <w:pPr>
              <w:spacing w:after="0"/>
              <w:rPr>
                <w:sz w:val="20"/>
                <w:szCs w:val="20"/>
                <w:color w:val="auto"/>
              </w:rPr>
            </w:pPr>
            <w:r>
              <w:rPr>
                <w:rFonts w:ascii="Arial" w:cs="Arial" w:eastAsia="Arial" w:hAnsi="Arial"/>
                <w:sz w:val="16"/>
                <w:szCs w:val="16"/>
                <w:color w:val="auto"/>
              </w:rPr>
              <w:t>Contracts with one extension, non-accrual (4)</w:t>
            </w:r>
          </w:p>
        </w:tc>
        <w:tc>
          <w:tcPr>
            <w:tcW w:w="128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1,093</w:t>
            </w:r>
          </w:p>
        </w:tc>
        <w:tc>
          <w:tcPr>
            <w:tcW w:w="1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13,502</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1,314</w:t>
            </w:r>
          </w:p>
        </w:tc>
        <w:tc>
          <w:tcPr>
            <w:tcW w:w="1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16,948</w:t>
            </w:r>
          </w:p>
        </w:tc>
        <w:tc>
          <w:tcPr>
            <w:tcW w:w="200" w:type="dxa"/>
            <w:vAlign w:val="bottom"/>
            <w:shd w:val="clear" w:color="auto" w:fill="EEEEEE"/>
          </w:tcPr>
          <w:p>
            <w:pPr>
              <w:spacing w:after="0"/>
              <w:rPr>
                <w:sz w:val="17"/>
                <w:szCs w:val="17"/>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1,676</w:t>
            </w:r>
          </w:p>
        </w:tc>
        <w:tc>
          <w:tcPr>
            <w:tcW w:w="1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22,335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20" w:type="dxa"/>
            <w:vAlign w:val="bottom"/>
          </w:tcPr>
          <w:p>
            <w:pPr>
              <w:spacing w:after="0"/>
              <w:rPr>
                <w:sz w:val="20"/>
                <w:szCs w:val="20"/>
                <w:color w:val="auto"/>
              </w:rPr>
            </w:pPr>
            <w:r>
              <w:rPr>
                <w:rFonts w:ascii="Arial" w:cs="Arial" w:eastAsia="Arial" w:hAnsi="Arial"/>
                <w:sz w:val="16"/>
                <w:szCs w:val="16"/>
                <w:color w:val="auto"/>
              </w:rPr>
              <w:t>Contracts with two or more extensions, non-</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180"/>
              <w:spacing w:after="0"/>
              <w:rPr>
                <w:sz w:val="20"/>
                <w:szCs w:val="20"/>
                <w:color w:val="auto"/>
              </w:rPr>
            </w:pPr>
            <w:r>
              <w:rPr>
                <w:rFonts w:ascii="Arial" w:cs="Arial" w:eastAsia="Arial" w:hAnsi="Arial"/>
                <w:sz w:val="16"/>
                <w:szCs w:val="16"/>
                <w:color w:val="auto"/>
              </w:rPr>
              <w:t>accrual (4)</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2,249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29,910</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1,650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21,365</w:t>
            </w:r>
          </w:p>
        </w:tc>
        <w:tc>
          <w:tcPr>
            <w:tcW w:w="2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1,999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25,617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320" w:type="dxa"/>
            <w:vAlign w:val="bottom"/>
            <w:tcBorders>
              <w:top w:val="single" w:sz="8" w:color="EEEEEE"/>
            </w:tcBorders>
            <w:shd w:val="clear" w:color="auto" w:fill="EEEEEE"/>
          </w:tcPr>
          <w:p>
            <w:pPr>
              <w:spacing w:after="0"/>
              <w:rPr>
                <w:sz w:val="17"/>
                <w:szCs w:val="17"/>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3,342</w:t>
            </w:r>
          </w:p>
        </w:tc>
        <w:tc>
          <w:tcPr>
            <w:tcW w:w="12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43,412</w:t>
            </w:r>
          </w:p>
        </w:tc>
        <w:tc>
          <w:tcPr>
            <w:tcW w:w="220" w:type="dxa"/>
            <w:vAlign w:val="bottom"/>
            <w:tcBorders>
              <w:top w:val="single" w:sz="8" w:color="EEEEEE"/>
            </w:tcBorders>
            <w:shd w:val="clear" w:color="auto" w:fill="EEEEEE"/>
          </w:tcPr>
          <w:p>
            <w:pPr>
              <w:spacing w:after="0"/>
              <w:rPr>
                <w:sz w:val="17"/>
                <w:szCs w:val="17"/>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2,964</w:t>
            </w:r>
          </w:p>
        </w:tc>
        <w:tc>
          <w:tcPr>
            <w:tcW w:w="10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38,313</w:t>
            </w:r>
          </w:p>
        </w:tc>
        <w:tc>
          <w:tcPr>
            <w:tcW w:w="200" w:type="dxa"/>
            <w:vAlign w:val="bottom"/>
            <w:tcBorders>
              <w:top w:val="single" w:sz="8" w:color="EEEEEE"/>
            </w:tcBorders>
            <w:shd w:val="clear" w:color="auto" w:fill="EEEEEE"/>
          </w:tcPr>
          <w:p>
            <w:pPr>
              <w:spacing w:after="0"/>
              <w:rPr>
                <w:sz w:val="17"/>
                <w:szCs w:val="17"/>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3,675</w:t>
            </w:r>
          </w:p>
        </w:tc>
        <w:tc>
          <w:tcPr>
            <w:tcW w:w="10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47,952</w:t>
            </w:r>
          </w:p>
        </w:tc>
        <w:tc>
          <w:tcPr>
            <w:tcW w:w="10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bottom w:val="single" w:sz="8" w:color="EEEEEE"/>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320" w:type="dxa"/>
            <w:vAlign w:val="bottom"/>
            <w:shd w:val="clear" w:color="auto" w:fill="EEEEEE"/>
          </w:tcPr>
          <w:p>
            <w:pPr>
              <w:spacing w:after="0"/>
              <w:rPr>
                <w:sz w:val="20"/>
                <w:szCs w:val="20"/>
                <w:color w:val="auto"/>
              </w:rPr>
            </w:pPr>
            <w:r>
              <w:rPr>
                <w:rFonts w:ascii="Arial" w:cs="Arial" w:eastAsia="Arial" w:hAnsi="Arial"/>
                <w:sz w:val="16"/>
                <w:szCs w:val="16"/>
                <w:color w:val="auto"/>
              </w:rPr>
              <w:t>Total contracts with extensions</w:t>
            </w:r>
          </w:p>
        </w:tc>
        <w:tc>
          <w:tcPr>
            <w:tcW w:w="128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85,816</w:t>
            </w:r>
          </w:p>
        </w:tc>
        <w:tc>
          <w:tcPr>
            <w:tcW w:w="30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1,170,812</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59,423</w:t>
            </w:r>
          </w:p>
        </w:tc>
        <w:tc>
          <w:tcPr>
            <w:tcW w:w="30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804,409</w:t>
            </w:r>
          </w:p>
        </w:tc>
        <w:tc>
          <w:tcPr>
            <w:tcW w:w="200" w:type="dxa"/>
            <w:vAlign w:val="bottom"/>
            <w:shd w:val="clear" w:color="auto" w:fill="EEEEEE"/>
          </w:tcPr>
          <w:p>
            <w:pPr>
              <w:spacing w:after="0"/>
              <w:rPr>
                <w:sz w:val="17"/>
                <w:szCs w:val="17"/>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68,479</w:t>
            </w:r>
          </w:p>
        </w:tc>
        <w:tc>
          <w:tcPr>
            <w:tcW w:w="30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934,820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w:t>
      </w:r>
    </w:p>
    <w:p>
      <w:pPr>
        <w:spacing w:after="0" w:line="13" w:lineRule="exact"/>
        <w:rPr>
          <w:sz w:val="20"/>
          <w:szCs w:val="20"/>
          <w:color w:val="auto"/>
        </w:rPr>
      </w:pPr>
    </w:p>
    <w:p>
      <w:pPr>
        <w:jc w:val="both"/>
        <w:ind w:firstLine="8"/>
        <w:spacing w:after="0" w:line="250" w:lineRule="auto"/>
        <w:tabs>
          <w:tab w:leader="none" w:pos="278"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amount remaining to be repaid on each automobile contract, including, for pre-computed automobile contracts, any unearned interest. The information in the table represents the gross principal amount of all automobile contracts we have purchased, including automobile contracts subsequently sold in securitization transactions that we continue to service. The table does not include certain contracts we have serviced for third parties on which we earn servicing fees only and have no credit risk.</w:t>
      </w:r>
    </w:p>
    <w:p>
      <w:pPr>
        <w:jc w:val="both"/>
        <w:ind w:firstLine="8"/>
        <w:spacing w:after="0" w:line="250" w:lineRule="auto"/>
        <w:tabs>
          <w:tab w:leader="none" w:pos="272"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Automobile contracts less than 31 days delinquent are not included. The delinquency aging categories shown in the tables reflect the effect of extensions.</w:t>
      </w:r>
    </w:p>
    <w:p>
      <w:pPr>
        <w:spacing w:after="0" w:line="1" w:lineRule="exact"/>
        <w:rPr>
          <w:rFonts w:ascii="Arial" w:cs="Arial" w:eastAsia="Arial" w:hAnsi="Arial"/>
          <w:sz w:val="18"/>
          <w:szCs w:val="18"/>
          <w:i w:val="1"/>
          <w:iCs w:val="1"/>
          <w:color w:val="auto"/>
        </w:rPr>
      </w:pPr>
    </w:p>
    <w:p>
      <w:pPr>
        <w:ind w:left="260" w:hanging="252"/>
        <w:spacing w:after="0"/>
        <w:tabs>
          <w:tab w:leader="none" w:pos="2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Amount in repossession represents financed vehicles that have been repossessed but not yet liquidated.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Accounts past due more than 90 days are on non-accrual.</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Net Charge-Off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September 30,</w:t>
            </w:r>
          </w:p>
        </w:tc>
        <w:tc>
          <w:tcPr>
            <w:tcW w:w="380" w:type="dxa"/>
            <w:vAlign w:val="bottom"/>
          </w:tcPr>
          <w:p>
            <w:pPr>
              <w:spacing w:after="0"/>
              <w:rPr>
                <w:sz w:val="19"/>
                <w:szCs w:val="19"/>
                <w:color w:val="auto"/>
              </w:rPr>
            </w:pPr>
          </w:p>
        </w:tc>
        <w:tc>
          <w:tcPr>
            <w:tcW w:w="1500" w:type="dxa"/>
            <w:vAlign w:val="bottom"/>
          </w:tcPr>
          <w:p>
            <w:pPr>
              <w:jc w:val="center"/>
              <w:ind w:right="27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19"/>
                <w:szCs w:val="19"/>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3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2016</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10"/>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2,332,325</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2,198,906</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2,226,056</w:t>
            </w:r>
          </w:p>
        </w:tc>
      </w:tr>
      <w:tr>
        <w:trPr>
          <w:trHeight w:val="202"/>
        </w:trPr>
        <w:tc>
          <w:tcPr>
            <w:tcW w:w="6520" w:type="dxa"/>
            <w:vAlign w:val="bottom"/>
          </w:tcPr>
          <w:p>
            <w:pPr>
              <w:spacing w:after="0" w:line="201" w:lineRule="exact"/>
              <w:rPr>
                <w:sz w:val="20"/>
                <w:szCs w:val="20"/>
                <w:color w:val="auto"/>
              </w:rPr>
            </w:pPr>
            <w:r>
              <w:rPr>
                <w:rFonts w:ascii="Arial" w:cs="Arial" w:eastAsia="Arial" w:hAnsi="Arial"/>
                <w:sz w:val="18"/>
                <w:szCs w:val="18"/>
                <w:color w:val="auto"/>
              </w:rPr>
              <w:t>Annualized net charge-offs as a percentage of average servicing portfolio (2)</w:t>
            </w:r>
          </w:p>
        </w:tc>
        <w:tc>
          <w:tcPr>
            <w:tcW w:w="120" w:type="dxa"/>
            <w:vAlign w:val="bottom"/>
          </w:tcPr>
          <w:p>
            <w:pPr>
              <w:spacing w:after="0"/>
              <w:rPr>
                <w:sz w:val="17"/>
                <w:szCs w:val="17"/>
                <w:color w:val="auto"/>
              </w:rPr>
            </w:pPr>
          </w:p>
        </w:tc>
        <w:tc>
          <w:tcPr>
            <w:tcW w:w="1340" w:type="dxa"/>
            <w:vAlign w:val="bottom"/>
          </w:tcPr>
          <w:p>
            <w:pPr>
              <w:jc w:val="right"/>
              <w:spacing w:after="0" w:line="201" w:lineRule="exact"/>
              <w:rPr>
                <w:sz w:val="20"/>
                <w:szCs w:val="20"/>
                <w:color w:val="auto"/>
              </w:rPr>
            </w:pPr>
            <w:r>
              <w:rPr>
                <w:rFonts w:ascii="Arial" w:cs="Arial" w:eastAsia="Arial" w:hAnsi="Arial"/>
                <w:sz w:val="18"/>
                <w:szCs w:val="18"/>
                <w:color w:val="auto"/>
              </w:rPr>
              <w:t>7.8%</w:t>
            </w:r>
          </w:p>
        </w:tc>
        <w:tc>
          <w:tcPr>
            <w:tcW w:w="380" w:type="dxa"/>
            <w:vAlign w:val="bottom"/>
          </w:tcPr>
          <w:p>
            <w:pPr>
              <w:spacing w:after="0"/>
              <w:rPr>
                <w:sz w:val="17"/>
                <w:szCs w:val="17"/>
                <w:color w:val="auto"/>
              </w:rPr>
            </w:pPr>
          </w:p>
        </w:tc>
        <w:tc>
          <w:tcPr>
            <w:tcW w:w="150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7.1%</w:t>
            </w:r>
          </w:p>
        </w:tc>
        <w:tc>
          <w:tcPr>
            <w:tcW w:w="240" w:type="dxa"/>
            <w:vAlign w:val="bottom"/>
          </w:tcPr>
          <w:p>
            <w:pPr>
              <w:spacing w:after="0"/>
              <w:rPr>
                <w:sz w:val="17"/>
                <w:szCs w:val="17"/>
                <w:color w:val="auto"/>
              </w:rPr>
            </w:pPr>
          </w:p>
        </w:tc>
        <w:tc>
          <w:tcPr>
            <w:tcW w:w="13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7.0%</w:t>
            </w:r>
          </w:p>
        </w:tc>
      </w:tr>
      <w:tr>
        <w:trPr>
          <w:trHeight w:val="230"/>
        </w:trPr>
        <w:tc>
          <w:tcPr>
            <w:tcW w:w="6520" w:type="dxa"/>
            <w:vAlign w:val="bottom"/>
          </w:tcPr>
          <w:p>
            <w:pPr>
              <w:jc w:val="right"/>
              <w:ind w:right="4130"/>
              <w:spacing w:after="0"/>
              <w:rPr>
                <w:sz w:val="20"/>
                <w:szCs w:val="20"/>
                <w:color w:val="auto"/>
              </w:rPr>
            </w:pPr>
            <w:r>
              <w:rPr>
                <w:rFonts w:ascii="Arial" w:cs="Arial" w:eastAsia="Arial" w:hAnsi="Arial"/>
                <w:sz w:val="18"/>
                <w:szCs w:val="18"/>
                <w:color w:val="auto"/>
                <w:w w:val="91"/>
              </w:rPr>
              <w:t>_________________________</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ind w:firstLine="8"/>
        <w:spacing w:after="0" w:line="250" w:lineRule="auto"/>
        <w:tabs>
          <w:tab w:leader="none" w:pos="278"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principal amount scheduled to be paid on each automobile contract, net of unearned income on pre-computed automobile contracts.</w:t>
      </w:r>
    </w:p>
    <w:p>
      <w:pPr>
        <w:jc w:val="both"/>
        <w:ind w:firstLine="8"/>
        <w:spacing w:after="0" w:line="273" w:lineRule="auto"/>
        <w:tabs>
          <w:tab w:leader="none" w:pos="265"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Net charge-offs include the remaining principal balance, after the application of the net proceeds from the liquidation of the vehicle (excluding accrued and unpaid interest) and amounts collected subsequent to the date of charge-off, including some recoveries which have been classified as other income in the accompanying interim consolidated financial statements. September 30, 2017 and September 30, 2016 percentages represent nine months ended September 30, 2017 and September 30, 2016 annualized. December 31, 2016 represents 12 months ended December 31, 2016.</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certain circumstances we will grant obligors one-month payment extensions to assist them with temporary cash flow problems. In general, an obligor would not be entitled to more than two such extensions in any 12-month period and no more than six over the life of the contract. The only modification of terms is to advance the obligor’s next due date by one month and extend the maturity date of the receivable by one month. In some cases, a two-month extension may be granted. There are no other concessions such as a reduction in interest rate, forgiveness of principal or of accrued interest. Accordingly, we consider such extensions to be insignificant delays in payments rather than troubled debt restructurings.</w:t>
      </w:r>
    </w:p>
    <w:p>
      <w:pPr>
        <w:spacing w:after="0" w:line="17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basic question in deciding to grant an extension is whether or not we will (a) be delaying the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with the obligor so that he might prioritize us over other creditors on future payments. Our servicing staff are trained to identify when a past due obligor is facing a temporary problem that may be resolved with an extension. In most cases, the extension will be granted in conjunction with our receiving a past due payment (and where allowed by law, a nominal fee, applied to the loan as a partial payment) from the obligor, thereby indicating an additional monetary and psychological commitment to the contract on the obligor’s part.</w:t>
      </w:r>
    </w:p>
    <w:p>
      <w:pPr>
        <w:spacing w:after="0" w:line="16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w:t>
      </w:r>
    </w:p>
    <w:p>
      <w:pPr>
        <w:jc w:val="both"/>
        <w:ind w:firstLine="8"/>
        <w:spacing w:after="0" w:line="271" w:lineRule="auto"/>
        <w:tabs>
          <w:tab w:leader="none" w:pos="263" w:val="left"/>
        </w:tabs>
        <w:numPr>
          <w:ilvl w:val="0"/>
          <w:numId w:val="16"/>
        </w:numPr>
        <w:rPr>
          <w:rFonts w:ascii="Arial" w:cs="Arial" w:eastAsia="Arial" w:hAnsi="Arial"/>
          <w:sz w:val="17"/>
          <w:szCs w:val="17"/>
          <w:color w:val="auto"/>
        </w:rPr>
      </w:pPr>
      <w:r>
        <w:rPr>
          <w:rFonts w:ascii="Arial" w:cs="Arial" w:eastAsia="Arial" w:hAnsi="Arial"/>
          <w:sz w:val="17"/>
          <w:szCs w:val="17"/>
          <w:color w:val="auto"/>
        </w:rPr>
        <w:t>whether or not the reason for the delinquency is temporary, and if it is, have conditions changed such that the obligor can begin making regular monthly payments again after the extension; (3) the obligor's past payment history, including past extensions if applicable; and (4) the obligor’s willingness to communicate and cooperate on resolving the delinquency. If the collector believes the obligor is a good candidate for an extension, he must obtain approval from his supervisor, who will review the same factors stated above prior to offering the extension to the obligor. After receiving an extension, an account remains subject to our normal policies and procedures for interest accrual, reporting delinquency and recognizing charge-offs.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1" w:name="page32"/>
    <w:bookmarkEnd w:id="31"/>
    <w:p>
      <w:pPr>
        <w:jc w:val="both"/>
        <w:ind w:firstLine="648"/>
        <w:spacing w:after="0" w:line="264" w:lineRule="auto"/>
        <w:rPr>
          <w:sz w:val="20"/>
          <w:szCs w:val="20"/>
          <w:color w:val="auto"/>
        </w:rPr>
      </w:pPr>
      <w:r>
        <w:rPr>
          <w:rFonts w:ascii="Arial" w:cs="Arial" w:eastAsia="Arial" w:hAnsi="Arial"/>
          <w:sz w:val="18"/>
          <w:szCs w:val="18"/>
          <w:color w:val="auto"/>
        </w:rPr>
        <w:t>We believe that a prudent extension program is an integral component to mitigating losses in our portfolio of sub-prime automobile receivables. The table below summarizes the status, as of September 30, 2017, for accounts that received extensions from 2008 through 2016 (2017 extension data are not included at this time due to insufficient passage of time for meaningful evaluation of results):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color w:val="auto"/>
                <w:w w:val="98"/>
              </w:rPr>
              <w:t>% Active or</w:t>
            </w: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 Charged Off</w:t>
            </w: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Charged Off</w:t>
            </w: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 Charged Off</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4"/>
              </w:rPr>
              <w:t>Active or Paid</w:t>
            </w: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3"/>
              </w:rPr>
              <w:t>Paid Off at</w:t>
            </w: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2"/>
              </w:rPr>
              <w:t>Charged Off &gt;</w:t>
            </w: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4"/>
              </w:rPr>
              <w:t>&gt; 6 Months</w:t>
            </w: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7"/>
              </w:rPr>
              <w:t>&lt;= 6 Months</w:t>
            </w: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5"/>
              </w:rPr>
              <w:t>&lt;= 6 Months</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8"/>
              </w:rPr>
              <w:t>Avg Months to</w:t>
            </w:r>
          </w:p>
        </w:tc>
      </w:tr>
      <w:tr>
        <w:trPr>
          <w:trHeight w:val="149"/>
        </w:trPr>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6"/>
              </w:rPr>
              <w:t>Period of</w:t>
            </w:r>
          </w:p>
        </w:tc>
        <w:tc>
          <w:tcPr>
            <w:tcW w:w="14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2"/>
              </w:rPr>
              <w:t># Extensions</w:t>
            </w: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1"/>
              </w:rPr>
              <w:t>Off at September</w:t>
            </w: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89"/>
              </w:rPr>
              <w:t>September 30,</w:t>
            </w: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8"/>
              </w:rPr>
              <w:t>6 Months After</w:t>
            </w: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rPr>
              <w:t>After</w:t>
            </w: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rPr>
              <w:t>After</w:t>
            </w: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rPr>
              <w:t>After</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Charge Off</w:t>
            </w:r>
          </w:p>
        </w:tc>
      </w:tr>
      <w:tr>
        <w:trPr>
          <w:trHeight w:val="167"/>
        </w:trPr>
        <w:tc>
          <w:tcPr>
            <w:tcW w:w="1400" w:type="dxa"/>
            <w:vAlign w:val="bottom"/>
            <w:gridSpan w:val="2"/>
          </w:tcPr>
          <w:p>
            <w:pPr>
              <w:jc w:val="center"/>
              <w:ind w:right="340"/>
              <w:spacing w:after="0"/>
              <w:rPr>
                <w:sz w:val="20"/>
                <w:szCs w:val="20"/>
                <w:color w:val="auto"/>
              </w:rPr>
            </w:pPr>
            <w:r>
              <w:rPr>
                <w:rFonts w:ascii="Arial" w:cs="Arial" w:eastAsia="Arial" w:hAnsi="Arial"/>
                <w:sz w:val="14"/>
                <w:szCs w:val="14"/>
                <w:color w:val="auto"/>
                <w:w w:val="94"/>
              </w:rPr>
              <w:t>Extension</w:t>
            </w: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color w:val="auto"/>
                <w:w w:val="94"/>
              </w:rPr>
              <w:t>Granted</w:t>
            </w:r>
          </w:p>
        </w:tc>
        <w:tc>
          <w:tcPr>
            <w:tcW w:w="1040" w:type="dxa"/>
            <w:vAlign w:val="bottom"/>
          </w:tcPr>
          <w:p>
            <w:pPr>
              <w:jc w:val="center"/>
              <w:spacing w:after="0"/>
              <w:rPr>
                <w:sz w:val="20"/>
                <w:szCs w:val="20"/>
                <w:color w:val="auto"/>
              </w:rPr>
            </w:pPr>
            <w:r>
              <w:rPr>
                <w:rFonts w:ascii="Arial" w:cs="Arial" w:eastAsia="Arial" w:hAnsi="Arial"/>
                <w:sz w:val="14"/>
                <w:szCs w:val="14"/>
                <w:color w:val="auto"/>
                <w:w w:val="91"/>
              </w:rPr>
              <w:t>30, 2017</w:t>
            </w:r>
          </w:p>
        </w:tc>
        <w:tc>
          <w:tcPr>
            <w:tcW w:w="3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6"/>
              </w:rPr>
              <w:t>2017</w:t>
            </w:r>
          </w:p>
        </w:tc>
        <w:tc>
          <w:tcPr>
            <w:tcW w:w="34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Extension</w:t>
            </w: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Extension</w:t>
            </w: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color w:val="auto"/>
                <w:w w:val="91"/>
              </w:rPr>
              <w:t>Extension</w:t>
            </w: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Extension</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Post Extension</w:t>
            </w:r>
          </w:p>
        </w:tc>
      </w:tr>
      <w:tr>
        <w:trPr>
          <w:trHeight w:val="142"/>
        </w:trPr>
        <w:tc>
          <w:tcPr>
            <w:tcW w:w="10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040" w:type="dxa"/>
            <w:vAlign w:val="bottom"/>
            <w:shd w:val="clear" w:color="auto" w:fill="EEEEEE"/>
          </w:tcPr>
          <w:p>
            <w:pPr>
              <w:jc w:val="right"/>
              <w:ind w:right="228"/>
              <w:spacing w:after="0" w:line="149" w:lineRule="exact"/>
              <w:rPr>
                <w:sz w:val="20"/>
                <w:szCs w:val="20"/>
                <w:color w:val="auto"/>
              </w:rPr>
            </w:pPr>
            <w:r>
              <w:rPr>
                <w:rFonts w:ascii="Arial" w:cs="Arial" w:eastAsia="Arial" w:hAnsi="Arial"/>
                <w:sz w:val="14"/>
                <w:szCs w:val="14"/>
                <w:color w:val="auto"/>
              </w:rPr>
              <w:t>2008</w:t>
            </w:r>
          </w:p>
        </w:tc>
        <w:tc>
          <w:tcPr>
            <w:tcW w:w="360" w:type="dxa"/>
            <w:vAlign w:val="bottom"/>
            <w:shd w:val="clear" w:color="auto" w:fill="EEEEEE"/>
          </w:tcPr>
          <w:p>
            <w:pPr>
              <w:spacing w:after="0"/>
              <w:rPr>
                <w:sz w:val="12"/>
                <w:szCs w:val="12"/>
                <w:color w:val="auto"/>
              </w:rPr>
            </w:pPr>
          </w:p>
        </w:tc>
        <w:tc>
          <w:tcPr>
            <w:tcW w:w="1040" w:type="dxa"/>
            <w:vAlign w:val="bottom"/>
            <w:shd w:val="clear" w:color="auto" w:fill="EEEEEE"/>
          </w:tcPr>
          <w:p>
            <w:pPr>
              <w:jc w:val="right"/>
              <w:ind w:right="188"/>
              <w:spacing w:after="0" w:line="149" w:lineRule="exact"/>
              <w:rPr>
                <w:sz w:val="20"/>
                <w:szCs w:val="20"/>
                <w:color w:val="auto"/>
              </w:rPr>
            </w:pPr>
            <w:r>
              <w:rPr>
                <w:rFonts w:ascii="Arial" w:cs="Arial" w:eastAsia="Arial" w:hAnsi="Arial"/>
                <w:sz w:val="14"/>
                <w:szCs w:val="14"/>
                <w:color w:val="auto"/>
              </w:rPr>
              <w:t>35,588</w:t>
            </w:r>
          </w:p>
        </w:tc>
        <w:tc>
          <w:tcPr>
            <w:tcW w:w="360" w:type="dxa"/>
            <w:vAlign w:val="bottom"/>
            <w:shd w:val="clear" w:color="auto" w:fill="EEEEEE"/>
          </w:tcPr>
          <w:p>
            <w:pPr>
              <w:spacing w:after="0"/>
              <w:rPr>
                <w:sz w:val="12"/>
                <w:szCs w:val="12"/>
                <w:color w:val="auto"/>
              </w:rPr>
            </w:pPr>
          </w:p>
        </w:tc>
        <w:tc>
          <w:tcPr>
            <w:tcW w:w="138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10,710</w:t>
            </w:r>
          </w:p>
        </w:tc>
        <w:tc>
          <w:tcPr>
            <w:tcW w:w="128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30.1%</w:t>
            </w:r>
          </w:p>
        </w:tc>
        <w:tc>
          <w:tcPr>
            <w:tcW w:w="126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20,059</w:t>
            </w:r>
          </w:p>
        </w:tc>
        <w:tc>
          <w:tcPr>
            <w:tcW w:w="122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56.4%</w:t>
            </w:r>
          </w:p>
        </w:tc>
        <w:tc>
          <w:tcPr>
            <w:tcW w:w="124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4,819</w:t>
            </w:r>
          </w:p>
        </w:tc>
        <w:tc>
          <w:tcPr>
            <w:tcW w:w="122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13.5%</w:t>
            </w:r>
          </w:p>
        </w:tc>
        <w:tc>
          <w:tcPr>
            <w:tcW w:w="920" w:type="dxa"/>
            <w:vAlign w:val="bottom"/>
            <w:shd w:val="clear" w:color="auto" w:fill="EEEEEE"/>
          </w:tcPr>
          <w:p>
            <w:pPr>
              <w:jc w:val="right"/>
              <w:ind w:right="268"/>
              <w:spacing w:after="0" w:line="149" w:lineRule="exact"/>
              <w:rPr>
                <w:sz w:val="20"/>
                <w:szCs w:val="20"/>
                <w:color w:val="auto"/>
              </w:rPr>
            </w:pPr>
            <w:r>
              <w:rPr>
                <w:rFonts w:ascii="Arial" w:cs="Arial" w:eastAsia="Arial" w:hAnsi="Arial"/>
                <w:sz w:val="14"/>
                <w:szCs w:val="14"/>
                <w:color w:val="auto"/>
              </w:rPr>
              <w:t>19</w:t>
            </w:r>
          </w:p>
        </w:tc>
        <w:tc>
          <w:tcPr>
            <w:tcW w:w="100" w:type="dxa"/>
            <w:vAlign w:val="bottom"/>
            <w:shd w:val="clear" w:color="auto" w:fill="EEEEEE"/>
          </w:tcPr>
          <w:p>
            <w:pPr>
              <w:spacing w:after="0"/>
              <w:rPr>
                <w:sz w:val="12"/>
                <w:szCs w:val="12"/>
                <w:color w:val="auto"/>
              </w:rPr>
            </w:pPr>
          </w:p>
        </w:tc>
      </w:tr>
      <w:tr>
        <w:trPr>
          <w:trHeight w:val="149"/>
        </w:trPr>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040" w:type="dxa"/>
            <w:vAlign w:val="bottom"/>
            <w:shd w:val="clear" w:color="auto" w:fill="EEEEEE"/>
          </w:tcPr>
          <w:p>
            <w:pPr>
              <w:jc w:val="right"/>
              <w:ind w:right="228"/>
              <w:spacing w:after="0" w:line="149" w:lineRule="exact"/>
              <w:rPr>
                <w:sz w:val="20"/>
                <w:szCs w:val="20"/>
                <w:color w:val="auto"/>
              </w:rPr>
            </w:pPr>
            <w:r>
              <w:rPr>
                <w:rFonts w:ascii="Arial" w:cs="Arial" w:eastAsia="Arial" w:hAnsi="Arial"/>
                <w:sz w:val="14"/>
                <w:szCs w:val="14"/>
                <w:color w:val="auto"/>
              </w:rPr>
              <w:t>2009</w:t>
            </w:r>
          </w:p>
        </w:tc>
        <w:tc>
          <w:tcPr>
            <w:tcW w:w="360" w:type="dxa"/>
            <w:vAlign w:val="bottom"/>
            <w:shd w:val="clear" w:color="auto" w:fill="EEEEEE"/>
          </w:tcPr>
          <w:p>
            <w:pPr>
              <w:spacing w:after="0"/>
              <w:rPr>
                <w:sz w:val="12"/>
                <w:szCs w:val="12"/>
                <w:color w:val="auto"/>
              </w:rPr>
            </w:pPr>
          </w:p>
        </w:tc>
        <w:tc>
          <w:tcPr>
            <w:tcW w:w="1040" w:type="dxa"/>
            <w:vAlign w:val="bottom"/>
            <w:shd w:val="clear" w:color="auto" w:fill="EEEEEE"/>
          </w:tcPr>
          <w:p>
            <w:pPr>
              <w:jc w:val="right"/>
              <w:ind w:right="188"/>
              <w:spacing w:after="0" w:line="149" w:lineRule="exact"/>
              <w:rPr>
                <w:sz w:val="20"/>
                <w:szCs w:val="20"/>
                <w:color w:val="auto"/>
              </w:rPr>
            </w:pPr>
            <w:r>
              <w:rPr>
                <w:rFonts w:ascii="Arial" w:cs="Arial" w:eastAsia="Arial" w:hAnsi="Arial"/>
                <w:sz w:val="14"/>
                <w:szCs w:val="14"/>
                <w:color w:val="auto"/>
              </w:rPr>
              <w:t>32,226</w:t>
            </w:r>
          </w:p>
        </w:tc>
        <w:tc>
          <w:tcPr>
            <w:tcW w:w="360" w:type="dxa"/>
            <w:vAlign w:val="bottom"/>
            <w:shd w:val="clear" w:color="auto" w:fill="EEEEEE"/>
          </w:tcPr>
          <w:p>
            <w:pPr>
              <w:spacing w:after="0"/>
              <w:rPr>
                <w:sz w:val="12"/>
                <w:szCs w:val="12"/>
                <w:color w:val="auto"/>
              </w:rPr>
            </w:pPr>
          </w:p>
        </w:tc>
        <w:tc>
          <w:tcPr>
            <w:tcW w:w="138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10,277</w:t>
            </w:r>
          </w:p>
        </w:tc>
        <w:tc>
          <w:tcPr>
            <w:tcW w:w="128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31.9%</w:t>
            </w:r>
          </w:p>
        </w:tc>
        <w:tc>
          <w:tcPr>
            <w:tcW w:w="126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16,166</w:t>
            </w:r>
          </w:p>
        </w:tc>
        <w:tc>
          <w:tcPr>
            <w:tcW w:w="122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50.2%</w:t>
            </w:r>
          </w:p>
        </w:tc>
        <w:tc>
          <w:tcPr>
            <w:tcW w:w="124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5,783</w:t>
            </w:r>
          </w:p>
        </w:tc>
        <w:tc>
          <w:tcPr>
            <w:tcW w:w="122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17.9%</w:t>
            </w:r>
          </w:p>
        </w:tc>
        <w:tc>
          <w:tcPr>
            <w:tcW w:w="920" w:type="dxa"/>
            <w:vAlign w:val="bottom"/>
            <w:shd w:val="clear" w:color="auto" w:fill="EEEEEE"/>
          </w:tcPr>
          <w:p>
            <w:pPr>
              <w:jc w:val="right"/>
              <w:ind w:right="268"/>
              <w:spacing w:after="0" w:line="149" w:lineRule="exact"/>
              <w:rPr>
                <w:sz w:val="20"/>
                <w:szCs w:val="20"/>
                <w:color w:val="auto"/>
              </w:rPr>
            </w:pPr>
            <w:r>
              <w:rPr>
                <w:rFonts w:ascii="Arial" w:cs="Arial" w:eastAsia="Arial" w:hAnsi="Arial"/>
                <w:sz w:val="14"/>
                <w:szCs w:val="14"/>
                <w:color w:val="auto"/>
              </w:rPr>
              <w:t>17</w:t>
            </w:r>
          </w:p>
        </w:tc>
        <w:tc>
          <w:tcPr>
            <w:tcW w:w="100" w:type="dxa"/>
            <w:vAlign w:val="bottom"/>
            <w:shd w:val="clear" w:color="auto" w:fill="EEEEEE"/>
          </w:tcPr>
          <w:p>
            <w:pPr>
              <w:spacing w:after="0"/>
              <w:rPr>
                <w:sz w:val="12"/>
                <w:szCs w:val="12"/>
                <w:color w:val="auto"/>
              </w:rPr>
            </w:pPr>
          </w:p>
        </w:tc>
      </w:tr>
      <w:tr>
        <w:trPr>
          <w:trHeight w:val="149"/>
        </w:trPr>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040" w:type="dxa"/>
            <w:vAlign w:val="bottom"/>
            <w:shd w:val="clear" w:color="auto" w:fill="EEEEEE"/>
          </w:tcPr>
          <w:p>
            <w:pPr>
              <w:jc w:val="right"/>
              <w:ind w:right="228"/>
              <w:spacing w:after="0" w:line="149" w:lineRule="exact"/>
              <w:rPr>
                <w:sz w:val="20"/>
                <w:szCs w:val="20"/>
                <w:color w:val="auto"/>
              </w:rPr>
            </w:pPr>
            <w:r>
              <w:rPr>
                <w:rFonts w:ascii="Arial" w:cs="Arial" w:eastAsia="Arial" w:hAnsi="Arial"/>
                <w:sz w:val="14"/>
                <w:szCs w:val="14"/>
                <w:color w:val="auto"/>
              </w:rPr>
              <w:t>2010</w:t>
            </w:r>
          </w:p>
        </w:tc>
        <w:tc>
          <w:tcPr>
            <w:tcW w:w="360" w:type="dxa"/>
            <w:vAlign w:val="bottom"/>
            <w:shd w:val="clear" w:color="auto" w:fill="EEEEEE"/>
          </w:tcPr>
          <w:p>
            <w:pPr>
              <w:spacing w:after="0"/>
              <w:rPr>
                <w:sz w:val="12"/>
                <w:szCs w:val="12"/>
                <w:color w:val="auto"/>
              </w:rPr>
            </w:pPr>
          </w:p>
        </w:tc>
        <w:tc>
          <w:tcPr>
            <w:tcW w:w="1040" w:type="dxa"/>
            <w:vAlign w:val="bottom"/>
            <w:shd w:val="clear" w:color="auto" w:fill="EEEEEE"/>
          </w:tcPr>
          <w:p>
            <w:pPr>
              <w:jc w:val="right"/>
              <w:ind w:right="188"/>
              <w:spacing w:after="0" w:line="149" w:lineRule="exact"/>
              <w:rPr>
                <w:sz w:val="20"/>
                <w:szCs w:val="20"/>
                <w:color w:val="auto"/>
              </w:rPr>
            </w:pPr>
            <w:r>
              <w:rPr>
                <w:rFonts w:ascii="Arial" w:cs="Arial" w:eastAsia="Arial" w:hAnsi="Arial"/>
                <w:sz w:val="14"/>
                <w:szCs w:val="14"/>
                <w:color w:val="auto"/>
              </w:rPr>
              <w:t>26,167</w:t>
            </w:r>
          </w:p>
        </w:tc>
        <w:tc>
          <w:tcPr>
            <w:tcW w:w="360" w:type="dxa"/>
            <w:vAlign w:val="bottom"/>
            <w:shd w:val="clear" w:color="auto" w:fill="EEEEEE"/>
          </w:tcPr>
          <w:p>
            <w:pPr>
              <w:spacing w:after="0"/>
              <w:rPr>
                <w:sz w:val="12"/>
                <w:szCs w:val="12"/>
                <w:color w:val="auto"/>
              </w:rPr>
            </w:pPr>
          </w:p>
        </w:tc>
        <w:tc>
          <w:tcPr>
            <w:tcW w:w="138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12,168</w:t>
            </w:r>
          </w:p>
        </w:tc>
        <w:tc>
          <w:tcPr>
            <w:tcW w:w="128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46.5%</w:t>
            </w:r>
          </w:p>
        </w:tc>
        <w:tc>
          <w:tcPr>
            <w:tcW w:w="126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12,000</w:t>
            </w:r>
          </w:p>
        </w:tc>
        <w:tc>
          <w:tcPr>
            <w:tcW w:w="122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45.9%</w:t>
            </w:r>
          </w:p>
        </w:tc>
        <w:tc>
          <w:tcPr>
            <w:tcW w:w="124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1,999</w:t>
            </w:r>
          </w:p>
        </w:tc>
        <w:tc>
          <w:tcPr>
            <w:tcW w:w="122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7.6%</w:t>
            </w:r>
          </w:p>
        </w:tc>
        <w:tc>
          <w:tcPr>
            <w:tcW w:w="920" w:type="dxa"/>
            <w:vAlign w:val="bottom"/>
            <w:shd w:val="clear" w:color="auto" w:fill="EEEEEE"/>
          </w:tcPr>
          <w:p>
            <w:pPr>
              <w:jc w:val="right"/>
              <w:ind w:right="268"/>
              <w:spacing w:after="0" w:line="149" w:lineRule="exact"/>
              <w:rPr>
                <w:sz w:val="20"/>
                <w:szCs w:val="20"/>
                <w:color w:val="auto"/>
              </w:rPr>
            </w:pPr>
            <w:r>
              <w:rPr>
                <w:rFonts w:ascii="Arial" w:cs="Arial" w:eastAsia="Arial" w:hAnsi="Arial"/>
                <w:sz w:val="14"/>
                <w:szCs w:val="14"/>
                <w:color w:val="auto"/>
              </w:rPr>
              <w:t>19</w:t>
            </w:r>
          </w:p>
        </w:tc>
        <w:tc>
          <w:tcPr>
            <w:tcW w:w="100" w:type="dxa"/>
            <w:vAlign w:val="bottom"/>
            <w:shd w:val="clear" w:color="auto" w:fill="EEEEEE"/>
          </w:tcPr>
          <w:p>
            <w:pPr>
              <w:spacing w:after="0"/>
              <w:rPr>
                <w:sz w:val="12"/>
                <w:szCs w:val="12"/>
                <w:color w:val="auto"/>
              </w:rPr>
            </w:pPr>
          </w:p>
        </w:tc>
      </w:tr>
      <w:tr>
        <w:trPr>
          <w:trHeight w:val="149"/>
        </w:trPr>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040" w:type="dxa"/>
            <w:vAlign w:val="bottom"/>
            <w:shd w:val="clear" w:color="auto" w:fill="EEEEEE"/>
          </w:tcPr>
          <w:p>
            <w:pPr>
              <w:jc w:val="right"/>
              <w:ind w:right="228"/>
              <w:spacing w:after="0" w:line="149" w:lineRule="exact"/>
              <w:rPr>
                <w:sz w:val="20"/>
                <w:szCs w:val="20"/>
                <w:color w:val="auto"/>
              </w:rPr>
            </w:pPr>
            <w:r>
              <w:rPr>
                <w:rFonts w:ascii="Arial" w:cs="Arial" w:eastAsia="Arial" w:hAnsi="Arial"/>
                <w:sz w:val="14"/>
                <w:szCs w:val="14"/>
                <w:color w:val="auto"/>
              </w:rPr>
              <w:t>2011</w:t>
            </w:r>
          </w:p>
        </w:tc>
        <w:tc>
          <w:tcPr>
            <w:tcW w:w="360" w:type="dxa"/>
            <w:vAlign w:val="bottom"/>
            <w:shd w:val="clear" w:color="auto" w:fill="EEEEEE"/>
          </w:tcPr>
          <w:p>
            <w:pPr>
              <w:spacing w:after="0"/>
              <w:rPr>
                <w:sz w:val="12"/>
                <w:szCs w:val="12"/>
                <w:color w:val="auto"/>
              </w:rPr>
            </w:pPr>
          </w:p>
        </w:tc>
        <w:tc>
          <w:tcPr>
            <w:tcW w:w="1040" w:type="dxa"/>
            <w:vAlign w:val="bottom"/>
            <w:shd w:val="clear" w:color="auto" w:fill="EEEEEE"/>
          </w:tcPr>
          <w:p>
            <w:pPr>
              <w:jc w:val="right"/>
              <w:ind w:right="188"/>
              <w:spacing w:after="0" w:line="149" w:lineRule="exact"/>
              <w:rPr>
                <w:sz w:val="20"/>
                <w:szCs w:val="20"/>
                <w:color w:val="auto"/>
              </w:rPr>
            </w:pPr>
            <w:r>
              <w:rPr>
                <w:rFonts w:ascii="Arial" w:cs="Arial" w:eastAsia="Arial" w:hAnsi="Arial"/>
                <w:sz w:val="14"/>
                <w:szCs w:val="14"/>
                <w:color w:val="auto"/>
              </w:rPr>
              <w:t>18,786</w:t>
            </w:r>
          </w:p>
        </w:tc>
        <w:tc>
          <w:tcPr>
            <w:tcW w:w="360" w:type="dxa"/>
            <w:vAlign w:val="bottom"/>
            <w:shd w:val="clear" w:color="auto" w:fill="EEEEEE"/>
          </w:tcPr>
          <w:p>
            <w:pPr>
              <w:spacing w:after="0"/>
              <w:rPr>
                <w:sz w:val="12"/>
                <w:szCs w:val="12"/>
                <w:color w:val="auto"/>
              </w:rPr>
            </w:pPr>
          </w:p>
        </w:tc>
        <w:tc>
          <w:tcPr>
            <w:tcW w:w="138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10,986</w:t>
            </w:r>
          </w:p>
        </w:tc>
        <w:tc>
          <w:tcPr>
            <w:tcW w:w="128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58.5%</w:t>
            </w:r>
          </w:p>
        </w:tc>
        <w:tc>
          <w:tcPr>
            <w:tcW w:w="126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6,868</w:t>
            </w:r>
          </w:p>
        </w:tc>
        <w:tc>
          <w:tcPr>
            <w:tcW w:w="122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36.6%</w:t>
            </w:r>
          </w:p>
        </w:tc>
        <w:tc>
          <w:tcPr>
            <w:tcW w:w="124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932</w:t>
            </w:r>
          </w:p>
        </w:tc>
        <w:tc>
          <w:tcPr>
            <w:tcW w:w="122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5.0%</w:t>
            </w:r>
          </w:p>
        </w:tc>
        <w:tc>
          <w:tcPr>
            <w:tcW w:w="920" w:type="dxa"/>
            <w:vAlign w:val="bottom"/>
            <w:shd w:val="clear" w:color="auto" w:fill="EEEEEE"/>
          </w:tcPr>
          <w:p>
            <w:pPr>
              <w:jc w:val="right"/>
              <w:ind w:right="268"/>
              <w:spacing w:after="0" w:line="149" w:lineRule="exact"/>
              <w:rPr>
                <w:sz w:val="20"/>
                <w:szCs w:val="20"/>
                <w:color w:val="auto"/>
              </w:rPr>
            </w:pPr>
            <w:r>
              <w:rPr>
                <w:rFonts w:ascii="Arial" w:cs="Arial" w:eastAsia="Arial" w:hAnsi="Arial"/>
                <w:sz w:val="14"/>
                <w:szCs w:val="14"/>
                <w:color w:val="auto"/>
              </w:rPr>
              <w:t>19</w:t>
            </w:r>
          </w:p>
        </w:tc>
        <w:tc>
          <w:tcPr>
            <w:tcW w:w="100" w:type="dxa"/>
            <w:vAlign w:val="bottom"/>
            <w:shd w:val="clear" w:color="auto" w:fill="EEEEEE"/>
          </w:tcPr>
          <w:p>
            <w:pPr>
              <w:spacing w:after="0"/>
              <w:rPr>
                <w:sz w:val="12"/>
                <w:szCs w:val="12"/>
                <w:color w:val="auto"/>
              </w:rPr>
            </w:pPr>
          </w:p>
        </w:tc>
      </w:tr>
      <w:tr>
        <w:trPr>
          <w:trHeight w:val="149"/>
        </w:trPr>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040" w:type="dxa"/>
            <w:vAlign w:val="bottom"/>
            <w:shd w:val="clear" w:color="auto" w:fill="EEEEEE"/>
          </w:tcPr>
          <w:p>
            <w:pPr>
              <w:jc w:val="right"/>
              <w:ind w:right="228"/>
              <w:spacing w:after="0" w:line="149" w:lineRule="exact"/>
              <w:rPr>
                <w:sz w:val="20"/>
                <w:szCs w:val="20"/>
                <w:color w:val="auto"/>
              </w:rPr>
            </w:pPr>
            <w:r>
              <w:rPr>
                <w:rFonts w:ascii="Arial" w:cs="Arial" w:eastAsia="Arial" w:hAnsi="Arial"/>
                <w:sz w:val="14"/>
                <w:szCs w:val="14"/>
                <w:color w:val="auto"/>
              </w:rPr>
              <w:t>2012</w:t>
            </w:r>
          </w:p>
        </w:tc>
        <w:tc>
          <w:tcPr>
            <w:tcW w:w="360" w:type="dxa"/>
            <w:vAlign w:val="bottom"/>
            <w:shd w:val="clear" w:color="auto" w:fill="EEEEEE"/>
          </w:tcPr>
          <w:p>
            <w:pPr>
              <w:spacing w:after="0"/>
              <w:rPr>
                <w:sz w:val="12"/>
                <w:szCs w:val="12"/>
                <w:color w:val="auto"/>
              </w:rPr>
            </w:pPr>
          </w:p>
        </w:tc>
        <w:tc>
          <w:tcPr>
            <w:tcW w:w="1040" w:type="dxa"/>
            <w:vAlign w:val="bottom"/>
            <w:shd w:val="clear" w:color="auto" w:fill="EEEEEE"/>
          </w:tcPr>
          <w:p>
            <w:pPr>
              <w:jc w:val="right"/>
              <w:ind w:right="188"/>
              <w:spacing w:after="0" w:line="149" w:lineRule="exact"/>
              <w:rPr>
                <w:sz w:val="20"/>
                <w:szCs w:val="20"/>
                <w:color w:val="auto"/>
              </w:rPr>
            </w:pPr>
            <w:r>
              <w:rPr>
                <w:rFonts w:ascii="Arial" w:cs="Arial" w:eastAsia="Arial" w:hAnsi="Arial"/>
                <w:sz w:val="14"/>
                <w:szCs w:val="14"/>
                <w:color w:val="auto"/>
              </w:rPr>
              <w:t>18,783</w:t>
            </w:r>
          </w:p>
        </w:tc>
        <w:tc>
          <w:tcPr>
            <w:tcW w:w="360" w:type="dxa"/>
            <w:vAlign w:val="bottom"/>
            <w:shd w:val="clear" w:color="auto" w:fill="EEEEEE"/>
          </w:tcPr>
          <w:p>
            <w:pPr>
              <w:spacing w:after="0"/>
              <w:rPr>
                <w:sz w:val="12"/>
                <w:szCs w:val="12"/>
                <w:color w:val="auto"/>
              </w:rPr>
            </w:pPr>
          </w:p>
        </w:tc>
        <w:tc>
          <w:tcPr>
            <w:tcW w:w="10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11,438</w:t>
            </w:r>
          </w:p>
        </w:tc>
        <w:tc>
          <w:tcPr>
            <w:tcW w:w="340" w:type="dxa"/>
            <w:vAlign w:val="bottom"/>
            <w:shd w:val="clear" w:color="auto" w:fill="EEEEEE"/>
          </w:tcPr>
          <w:p>
            <w:pPr>
              <w:spacing w:after="0"/>
              <w:rPr>
                <w:sz w:val="12"/>
                <w:szCs w:val="12"/>
                <w:color w:val="auto"/>
              </w:rPr>
            </w:pPr>
          </w:p>
        </w:tc>
        <w:tc>
          <w:tcPr>
            <w:tcW w:w="128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60.9%</w:t>
            </w:r>
          </w:p>
        </w:tc>
        <w:tc>
          <w:tcPr>
            <w:tcW w:w="126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6,549</w:t>
            </w:r>
          </w:p>
        </w:tc>
        <w:tc>
          <w:tcPr>
            <w:tcW w:w="122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34.9%</w:t>
            </w:r>
          </w:p>
        </w:tc>
        <w:tc>
          <w:tcPr>
            <w:tcW w:w="124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796</w:t>
            </w:r>
          </w:p>
        </w:tc>
        <w:tc>
          <w:tcPr>
            <w:tcW w:w="122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4.2%</w:t>
            </w:r>
          </w:p>
        </w:tc>
        <w:tc>
          <w:tcPr>
            <w:tcW w:w="920" w:type="dxa"/>
            <w:vAlign w:val="bottom"/>
            <w:shd w:val="clear" w:color="auto" w:fill="EEEEEE"/>
          </w:tcPr>
          <w:p>
            <w:pPr>
              <w:jc w:val="right"/>
              <w:ind w:right="268"/>
              <w:spacing w:after="0" w:line="149" w:lineRule="exact"/>
              <w:rPr>
                <w:sz w:val="20"/>
                <w:szCs w:val="20"/>
                <w:color w:val="auto"/>
              </w:rPr>
            </w:pPr>
            <w:r>
              <w:rPr>
                <w:rFonts w:ascii="Arial" w:cs="Arial" w:eastAsia="Arial" w:hAnsi="Arial"/>
                <w:sz w:val="14"/>
                <w:szCs w:val="14"/>
                <w:color w:val="auto"/>
              </w:rPr>
              <w:t>17</w:t>
            </w:r>
          </w:p>
        </w:tc>
        <w:tc>
          <w:tcPr>
            <w:tcW w:w="100" w:type="dxa"/>
            <w:vAlign w:val="bottom"/>
            <w:shd w:val="clear" w:color="auto" w:fill="EEEEEE"/>
          </w:tcPr>
          <w:p>
            <w:pPr>
              <w:spacing w:after="0"/>
              <w:rPr>
                <w:sz w:val="12"/>
                <w:szCs w:val="12"/>
                <w:color w:val="auto"/>
              </w:rPr>
            </w:pPr>
          </w:p>
        </w:tc>
      </w:tr>
      <w:tr>
        <w:trPr>
          <w:trHeight w:val="149"/>
        </w:trPr>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040" w:type="dxa"/>
            <w:vAlign w:val="bottom"/>
            <w:shd w:val="clear" w:color="auto" w:fill="EEEEEE"/>
          </w:tcPr>
          <w:p>
            <w:pPr>
              <w:jc w:val="right"/>
              <w:ind w:right="228"/>
              <w:spacing w:after="0" w:line="149" w:lineRule="exact"/>
              <w:rPr>
                <w:sz w:val="20"/>
                <w:szCs w:val="20"/>
                <w:color w:val="auto"/>
              </w:rPr>
            </w:pPr>
            <w:r>
              <w:rPr>
                <w:rFonts w:ascii="Arial" w:cs="Arial" w:eastAsia="Arial" w:hAnsi="Arial"/>
                <w:sz w:val="14"/>
                <w:szCs w:val="14"/>
                <w:color w:val="auto"/>
              </w:rPr>
              <w:t>2013</w:t>
            </w:r>
          </w:p>
        </w:tc>
        <w:tc>
          <w:tcPr>
            <w:tcW w:w="360" w:type="dxa"/>
            <w:vAlign w:val="bottom"/>
            <w:shd w:val="clear" w:color="auto" w:fill="EEEEEE"/>
          </w:tcPr>
          <w:p>
            <w:pPr>
              <w:spacing w:after="0"/>
              <w:rPr>
                <w:sz w:val="12"/>
                <w:szCs w:val="12"/>
                <w:color w:val="auto"/>
              </w:rPr>
            </w:pPr>
          </w:p>
        </w:tc>
        <w:tc>
          <w:tcPr>
            <w:tcW w:w="1040" w:type="dxa"/>
            <w:vAlign w:val="bottom"/>
            <w:shd w:val="clear" w:color="auto" w:fill="EEEEEE"/>
          </w:tcPr>
          <w:p>
            <w:pPr>
              <w:jc w:val="right"/>
              <w:ind w:right="188"/>
              <w:spacing w:after="0" w:line="149" w:lineRule="exact"/>
              <w:rPr>
                <w:sz w:val="20"/>
                <w:szCs w:val="20"/>
                <w:color w:val="auto"/>
              </w:rPr>
            </w:pPr>
            <w:r>
              <w:rPr>
                <w:rFonts w:ascii="Arial" w:cs="Arial" w:eastAsia="Arial" w:hAnsi="Arial"/>
                <w:sz w:val="14"/>
                <w:szCs w:val="14"/>
                <w:color w:val="auto"/>
              </w:rPr>
              <w:t>23,398</w:t>
            </w:r>
          </w:p>
        </w:tc>
        <w:tc>
          <w:tcPr>
            <w:tcW w:w="360" w:type="dxa"/>
            <w:vAlign w:val="bottom"/>
            <w:shd w:val="clear" w:color="auto" w:fill="EEEEEE"/>
          </w:tcPr>
          <w:p>
            <w:pPr>
              <w:spacing w:after="0"/>
              <w:rPr>
                <w:sz w:val="12"/>
                <w:szCs w:val="12"/>
                <w:color w:val="auto"/>
              </w:rPr>
            </w:pPr>
          </w:p>
        </w:tc>
        <w:tc>
          <w:tcPr>
            <w:tcW w:w="138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12,316</w:t>
            </w:r>
          </w:p>
        </w:tc>
        <w:tc>
          <w:tcPr>
            <w:tcW w:w="128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52.6%</w:t>
            </w:r>
          </w:p>
        </w:tc>
        <w:tc>
          <w:tcPr>
            <w:tcW w:w="126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10,106</w:t>
            </w:r>
          </w:p>
        </w:tc>
        <w:tc>
          <w:tcPr>
            <w:tcW w:w="122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43.2%</w:t>
            </w:r>
          </w:p>
        </w:tc>
        <w:tc>
          <w:tcPr>
            <w:tcW w:w="124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976</w:t>
            </w:r>
          </w:p>
        </w:tc>
        <w:tc>
          <w:tcPr>
            <w:tcW w:w="122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4.2%</w:t>
            </w:r>
          </w:p>
        </w:tc>
        <w:tc>
          <w:tcPr>
            <w:tcW w:w="920" w:type="dxa"/>
            <w:vAlign w:val="bottom"/>
            <w:shd w:val="clear" w:color="auto" w:fill="EEEEEE"/>
          </w:tcPr>
          <w:p>
            <w:pPr>
              <w:jc w:val="right"/>
              <w:ind w:right="268"/>
              <w:spacing w:after="0" w:line="149" w:lineRule="exact"/>
              <w:rPr>
                <w:sz w:val="20"/>
                <w:szCs w:val="20"/>
                <w:color w:val="auto"/>
              </w:rPr>
            </w:pPr>
            <w:r>
              <w:rPr>
                <w:rFonts w:ascii="Arial" w:cs="Arial" w:eastAsia="Arial" w:hAnsi="Arial"/>
                <w:sz w:val="14"/>
                <w:szCs w:val="14"/>
                <w:color w:val="auto"/>
              </w:rPr>
              <w:t>19</w:t>
            </w:r>
          </w:p>
        </w:tc>
        <w:tc>
          <w:tcPr>
            <w:tcW w:w="100" w:type="dxa"/>
            <w:vAlign w:val="bottom"/>
            <w:shd w:val="clear" w:color="auto" w:fill="EEEEEE"/>
          </w:tcPr>
          <w:p>
            <w:pPr>
              <w:spacing w:after="0"/>
              <w:rPr>
                <w:sz w:val="12"/>
                <w:szCs w:val="12"/>
                <w:color w:val="auto"/>
              </w:rPr>
            </w:pPr>
          </w:p>
        </w:tc>
      </w:tr>
      <w:tr>
        <w:trPr>
          <w:trHeight w:val="149"/>
        </w:trPr>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040" w:type="dxa"/>
            <w:vAlign w:val="bottom"/>
            <w:shd w:val="clear" w:color="auto" w:fill="EEEEEE"/>
          </w:tcPr>
          <w:p>
            <w:pPr>
              <w:jc w:val="right"/>
              <w:ind w:right="228"/>
              <w:spacing w:after="0" w:line="149" w:lineRule="exact"/>
              <w:rPr>
                <w:sz w:val="20"/>
                <w:szCs w:val="20"/>
                <w:color w:val="auto"/>
              </w:rPr>
            </w:pPr>
            <w:r>
              <w:rPr>
                <w:rFonts w:ascii="Arial" w:cs="Arial" w:eastAsia="Arial" w:hAnsi="Arial"/>
                <w:sz w:val="14"/>
                <w:szCs w:val="14"/>
                <w:color w:val="auto"/>
              </w:rPr>
              <w:t>2014</w:t>
            </w:r>
          </w:p>
        </w:tc>
        <w:tc>
          <w:tcPr>
            <w:tcW w:w="360" w:type="dxa"/>
            <w:vAlign w:val="bottom"/>
            <w:shd w:val="clear" w:color="auto" w:fill="EEEEEE"/>
          </w:tcPr>
          <w:p>
            <w:pPr>
              <w:spacing w:after="0"/>
              <w:rPr>
                <w:sz w:val="12"/>
                <w:szCs w:val="12"/>
                <w:color w:val="auto"/>
              </w:rPr>
            </w:pPr>
          </w:p>
        </w:tc>
        <w:tc>
          <w:tcPr>
            <w:tcW w:w="1040" w:type="dxa"/>
            <w:vAlign w:val="bottom"/>
            <w:shd w:val="clear" w:color="auto" w:fill="EEEEEE"/>
          </w:tcPr>
          <w:p>
            <w:pPr>
              <w:jc w:val="right"/>
              <w:ind w:right="188"/>
              <w:spacing w:after="0" w:line="149" w:lineRule="exact"/>
              <w:rPr>
                <w:sz w:val="20"/>
                <w:szCs w:val="20"/>
                <w:color w:val="auto"/>
              </w:rPr>
            </w:pPr>
            <w:r>
              <w:rPr>
                <w:rFonts w:ascii="Arial" w:cs="Arial" w:eastAsia="Arial" w:hAnsi="Arial"/>
                <w:sz w:val="14"/>
                <w:szCs w:val="14"/>
                <w:color w:val="auto"/>
              </w:rPr>
              <w:t>25,773</w:t>
            </w:r>
          </w:p>
        </w:tc>
        <w:tc>
          <w:tcPr>
            <w:tcW w:w="360" w:type="dxa"/>
            <w:vAlign w:val="bottom"/>
            <w:shd w:val="clear" w:color="auto" w:fill="EEEEEE"/>
          </w:tcPr>
          <w:p>
            <w:pPr>
              <w:spacing w:after="0"/>
              <w:rPr>
                <w:sz w:val="12"/>
                <w:szCs w:val="12"/>
                <w:color w:val="auto"/>
              </w:rPr>
            </w:pPr>
          </w:p>
        </w:tc>
        <w:tc>
          <w:tcPr>
            <w:tcW w:w="138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13,599</w:t>
            </w:r>
          </w:p>
        </w:tc>
        <w:tc>
          <w:tcPr>
            <w:tcW w:w="128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52.8%</w:t>
            </w:r>
          </w:p>
        </w:tc>
        <w:tc>
          <w:tcPr>
            <w:tcW w:w="9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11,348</w:t>
            </w:r>
          </w:p>
        </w:tc>
        <w:tc>
          <w:tcPr>
            <w:tcW w:w="320" w:type="dxa"/>
            <w:vAlign w:val="bottom"/>
            <w:shd w:val="clear" w:color="auto" w:fill="EEEEEE"/>
          </w:tcPr>
          <w:p>
            <w:pPr>
              <w:spacing w:after="0"/>
              <w:rPr>
                <w:sz w:val="12"/>
                <w:szCs w:val="12"/>
                <w:color w:val="auto"/>
              </w:rPr>
            </w:pPr>
          </w:p>
        </w:tc>
        <w:tc>
          <w:tcPr>
            <w:tcW w:w="122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44.0%</w:t>
            </w:r>
          </w:p>
        </w:tc>
        <w:tc>
          <w:tcPr>
            <w:tcW w:w="124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826</w:t>
            </w:r>
          </w:p>
        </w:tc>
        <w:tc>
          <w:tcPr>
            <w:tcW w:w="122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3.2%</w:t>
            </w:r>
          </w:p>
        </w:tc>
        <w:tc>
          <w:tcPr>
            <w:tcW w:w="920" w:type="dxa"/>
            <w:vAlign w:val="bottom"/>
            <w:shd w:val="clear" w:color="auto" w:fill="EEEEEE"/>
          </w:tcPr>
          <w:p>
            <w:pPr>
              <w:jc w:val="right"/>
              <w:ind w:right="268"/>
              <w:spacing w:after="0" w:line="149" w:lineRule="exact"/>
              <w:rPr>
                <w:sz w:val="20"/>
                <w:szCs w:val="20"/>
                <w:color w:val="auto"/>
              </w:rPr>
            </w:pPr>
            <w:r>
              <w:rPr>
                <w:rFonts w:ascii="Arial" w:cs="Arial" w:eastAsia="Arial" w:hAnsi="Arial"/>
                <w:sz w:val="14"/>
                <w:szCs w:val="14"/>
                <w:color w:val="auto"/>
              </w:rPr>
              <w:t>18</w:t>
            </w:r>
          </w:p>
        </w:tc>
        <w:tc>
          <w:tcPr>
            <w:tcW w:w="100" w:type="dxa"/>
            <w:vAlign w:val="bottom"/>
            <w:shd w:val="clear" w:color="auto" w:fill="EEEEEE"/>
          </w:tcPr>
          <w:p>
            <w:pPr>
              <w:spacing w:after="0"/>
              <w:rPr>
                <w:sz w:val="12"/>
                <w:szCs w:val="12"/>
                <w:color w:val="auto"/>
              </w:rPr>
            </w:pPr>
          </w:p>
        </w:tc>
      </w:tr>
      <w:tr>
        <w:trPr>
          <w:trHeight w:val="149"/>
        </w:trPr>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040" w:type="dxa"/>
            <w:vAlign w:val="bottom"/>
            <w:shd w:val="clear" w:color="auto" w:fill="EEEEEE"/>
          </w:tcPr>
          <w:p>
            <w:pPr>
              <w:jc w:val="right"/>
              <w:ind w:right="228"/>
              <w:spacing w:after="0" w:line="149" w:lineRule="exact"/>
              <w:rPr>
                <w:sz w:val="20"/>
                <w:szCs w:val="20"/>
                <w:color w:val="auto"/>
              </w:rPr>
            </w:pPr>
            <w:r>
              <w:rPr>
                <w:rFonts w:ascii="Arial" w:cs="Arial" w:eastAsia="Arial" w:hAnsi="Arial"/>
                <w:sz w:val="14"/>
                <w:szCs w:val="14"/>
                <w:color w:val="auto"/>
              </w:rPr>
              <w:t>2015</w:t>
            </w:r>
          </w:p>
        </w:tc>
        <w:tc>
          <w:tcPr>
            <w:tcW w:w="360" w:type="dxa"/>
            <w:vAlign w:val="bottom"/>
            <w:shd w:val="clear" w:color="auto" w:fill="EEEEEE"/>
          </w:tcPr>
          <w:p>
            <w:pPr>
              <w:spacing w:after="0"/>
              <w:rPr>
                <w:sz w:val="12"/>
                <w:szCs w:val="12"/>
                <w:color w:val="auto"/>
              </w:rPr>
            </w:pPr>
          </w:p>
        </w:tc>
        <w:tc>
          <w:tcPr>
            <w:tcW w:w="1040" w:type="dxa"/>
            <w:vAlign w:val="bottom"/>
            <w:shd w:val="clear" w:color="auto" w:fill="EEEEEE"/>
          </w:tcPr>
          <w:p>
            <w:pPr>
              <w:jc w:val="right"/>
              <w:ind w:right="188"/>
              <w:spacing w:after="0" w:line="149" w:lineRule="exact"/>
              <w:rPr>
                <w:sz w:val="20"/>
                <w:szCs w:val="20"/>
                <w:color w:val="auto"/>
              </w:rPr>
            </w:pPr>
            <w:r>
              <w:rPr>
                <w:rFonts w:ascii="Arial" w:cs="Arial" w:eastAsia="Arial" w:hAnsi="Arial"/>
                <w:sz w:val="14"/>
                <w:szCs w:val="14"/>
                <w:color w:val="auto"/>
              </w:rPr>
              <w:t>53,319</w:t>
            </w:r>
          </w:p>
        </w:tc>
        <w:tc>
          <w:tcPr>
            <w:tcW w:w="360" w:type="dxa"/>
            <w:vAlign w:val="bottom"/>
            <w:shd w:val="clear" w:color="auto" w:fill="EEEEEE"/>
          </w:tcPr>
          <w:p>
            <w:pPr>
              <w:spacing w:after="0"/>
              <w:rPr>
                <w:sz w:val="12"/>
                <w:szCs w:val="12"/>
                <w:color w:val="auto"/>
              </w:rPr>
            </w:pPr>
          </w:p>
        </w:tc>
        <w:tc>
          <w:tcPr>
            <w:tcW w:w="138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35,008</w:t>
            </w:r>
          </w:p>
        </w:tc>
        <w:tc>
          <w:tcPr>
            <w:tcW w:w="128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65.7%</w:t>
            </w:r>
          </w:p>
        </w:tc>
        <w:tc>
          <w:tcPr>
            <w:tcW w:w="126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17,229</w:t>
            </w:r>
          </w:p>
        </w:tc>
        <w:tc>
          <w:tcPr>
            <w:tcW w:w="122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32.3%</w:t>
            </w:r>
          </w:p>
        </w:tc>
        <w:tc>
          <w:tcPr>
            <w:tcW w:w="124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1,082</w:t>
            </w:r>
          </w:p>
        </w:tc>
        <w:tc>
          <w:tcPr>
            <w:tcW w:w="122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2.0%</w:t>
            </w:r>
          </w:p>
        </w:tc>
        <w:tc>
          <w:tcPr>
            <w:tcW w:w="920" w:type="dxa"/>
            <w:vAlign w:val="bottom"/>
            <w:shd w:val="clear" w:color="auto" w:fill="EEEEEE"/>
          </w:tcPr>
          <w:p>
            <w:pPr>
              <w:jc w:val="right"/>
              <w:ind w:right="268"/>
              <w:spacing w:after="0" w:line="149" w:lineRule="exact"/>
              <w:rPr>
                <w:sz w:val="20"/>
                <w:szCs w:val="20"/>
                <w:color w:val="auto"/>
              </w:rPr>
            </w:pPr>
            <w:r>
              <w:rPr>
                <w:rFonts w:ascii="Arial" w:cs="Arial" w:eastAsia="Arial" w:hAnsi="Arial"/>
                <w:sz w:val="14"/>
                <w:szCs w:val="14"/>
                <w:color w:val="auto"/>
              </w:rPr>
              <w:t>14</w:t>
            </w:r>
          </w:p>
        </w:tc>
        <w:tc>
          <w:tcPr>
            <w:tcW w:w="100" w:type="dxa"/>
            <w:vAlign w:val="bottom"/>
            <w:shd w:val="clear" w:color="auto" w:fill="EEEEEE"/>
          </w:tcPr>
          <w:p>
            <w:pPr>
              <w:spacing w:after="0"/>
              <w:rPr>
                <w:sz w:val="12"/>
                <w:szCs w:val="12"/>
                <w:color w:val="auto"/>
              </w:rPr>
            </w:pPr>
          </w:p>
        </w:tc>
      </w:tr>
      <w:tr>
        <w:trPr>
          <w:trHeight w:val="149"/>
        </w:trPr>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1040" w:type="dxa"/>
            <w:vAlign w:val="bottom"/>
            <w:shd w:val="clear" w:color="auto" w:fill="EEEEEE"/>
          </w:tcPr>
          <w:p>
            <w:pPr>
              <w:jc w:val="right"/>
              <w:ind w:right="228"/>
              <w:spacing w:after="0"/>
              <w:rPr>
                <w:sz w:val="20"/>
                <w:szCs w:val="20"/>
                <w:color w:val="auto"/>
              </w:rPr>
            </w:pPr>
            <w:r>
              <w:rPr>
                <w:rFonts w:ascii="Arial" w:cs="Arial" w:eastAsia="Arial" w:hAnsi="Arial"/>
                <w:sz w:val="14"/>
                <w:szCs w:val="14"/>
                <w:color w:val="auto"/>
              </w:rPr>
              <w:t>2016</w:t>
            </w:r>
          </w:p>
        </w:tc>
        <w:tc>
          <w:tcPr>
            <w:tcW w:w="360" w:type="dxa"/>
            <w:vAlign w:val="bottom"/>
            <w:shd w:val="clear" w:color="auto" w:fill="EEEEEE"/>
          </w:tcPr>
          <w:p>
            <w:pPr>
              <w:spacing w:after="0"/>
              <w:rPr>
                <w:sz w:val="17"/>
                <w:szCs w:val="17"/>
                <w:color w:val="auto"/>
              </w:rPr>
            </w:pPr>
          </w:p>
        </w:tc>
        <w:tc>
          <w:tcPr>
            <w:tcW w:w="1040" w:type="dxa"/>
            <w:vAlign w:val="bottom"/>
            <w:shd w:val="clear" w:color="auto" w:fill="EEEEEE"/>
          </w:tcPr>
          <w:p>
            <w:pPr>
              <w:jc w:val="right"/>
              <w:ind w:right="188"/>
              <w:spacing w:after="0"/>
              <w:rPr>
                <w:sz w:val="20"/>
                <w:szCs w:val="20"/>
                <w:color w:val="auto"/>
              </w:rPr>
            </w:pPr>
            <w:r>
              <w:rPr>
                <w:rFonts w:ascii="Arial" w:cs="Arial" w:eastAsia="Arial" w:hAnsi="Arial"/>
                <w:sz w:val="14"/>
                <w:szCs w:val="14"/>
                <w:color w:val="auto"/>
              </w:rPr>
              <w:t>80,897</w:t>
            </w:r>
          </w:p>
        </w:tc>
        <w:tc>
          <w:tcPr>
            <w:tcW w:w="360" w:type="dxa"/>
            <w:vAlign w:val="bottom"/>
            <w:shd w:val="clear" w:color="auto" w:fill="EEEEEE"/>
          </w:tcPr>
          <w:p>
            <w:pPr>
              <w:spacing w:after="0"/>
              <w:rPr>
                <w:sz w:val="17"/>
                <w:szCs w:val="17"/>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4"/>
                <w:szCs w:val="14"/>
                <w:color w:val="auto"/>
              </w:rPr>
              <w:t>68,011</w:t>
            </w:r>
          </w:p>
        </w:tc>
        <w:tc>
          <w:tcPr>
            <w:tcW w:w="340" w:type="dxa"/>
            <w:vAlign w:val="bottom"/>
            <w:shd w:val="clear" w:color="auto" w:fill="EEEEEE"/>
          </w:tcPr>
          <w:p>
            <w:pPr>
              <w:spacing w:after="0"/>
              <w:rPr>
                <w:sz w:val="17"/>
                <w:szCs w:val="17"/>
                <w:color w:val="auto"/>
              </w:rPr>
            </w:pPr>
          </w:p>
        </w:tc>
        <w:tc>
          <w:tcPr>
            <w:tcW w:w="1280" w:type="dxa"/>
            <w:vAlign w:val="bottom"/>
            <w:gridSpan w:val="2"/>
            <w:shd w:val="clear" w:color="auto" w:fill="EEEEEE"/>
          </w:tcPr>
          <w:p>
            <w:pPr>
              <w:jc w:val="right"/>
              <w:ind w:right="340"/>
              <w:spacing w:after="0"/>
              <w:rPr>
                <w:sz w:val="20"/>
                <w:szCs w:val="20"/>
                <w:color w:val="auto"/>
              </w:rPr>
            </w:pPr>
            <w:r>
              <w:rPr>
                <w:rFonts w:ascii="Arial" w:cs="Arial" w:eastAsia="Arial" w:hAnsi="Arial"/>
                <w:sz w:val="14"/>
                <w:szCs w:val="14"/>
                <w:color w:val="auto"/>
              </w:rPr>
              <w:t>84.1%</w:t>
            </w: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4"/>
                <w:szCs w:val="14"/>
                <w:color w:val="auto"/>
              </w:rPr>
              <w:t>10,953</w:t>
            </w: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4"/>
                <w:szCs w:val="14"/>
                <w:color w:val="auto"/>
              </w:rPr>
              <w:t>13.5%</w:t>
            </w: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4"/>
                <w:szCs w:val="14"/>
                <w:color w:val="auto"/>
              </w:rPr>
              <w:t>1,933</w:t>
            </w: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4"/>
                <w:szCs w:val="14"/>
                <w:color w:val="auto"/>
              </w:rPr>
              <w:t>2.4%</w:t>
            </w:r>
          </w:p>
        </w:tc>
        <w:tc>
          <w:tcPr>
            <w:tcW w:w="920" w:type="dxa"/>
            <w:vAlign w:val="bottom"/>
            <w:shd w:val="clear" w:color="auto" w:fill="EEEEEE"/>
          </w:tcPr>
          <w:p>
            <w:pPr>
              <w:jc w:val="right"/>
              <w:ind w:right="26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EEEEEE"/>
          </w:tcPr>
          <w:p>
            <w:pPr>
              <w:spacing w:after="0"/>
              <w:rPr>
                <w:sz w:val="17"/>
                <w:szCs w:val="17"/>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Table excludes extensions on portfolios serviced for third parties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view these results as a confirmation of the effectiveness of our extension program. For example, of the accounts granted extensions in 2012, 60.9% were either paid in full or active and performing at September 30, 2017. Each of these successful accounts represent continued payments of interest and principal (including payment in full in many cases), where without the extension we likely would have incurred a substantial loss and no interest revenue subsequent to the extension.</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For the extension accounts that ultimately charge off, we consider any that charged off more than six months after the extension to be at least partially successful. For example, of the accounts granted extensions in 2012 that subsequently charged off, such charge offs occurred, on average, 17 months after the extension, indicating that even in the cases of an ultimate loss, the obligor serviced the account with additional payments of principal and interest.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Additional information about our extensions is provided in the tables below:</w:t>
            </w: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6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Year Ended</w:t>
            </w:r>
          </w:p>
        </w:tc>
      </w:tr>
      <w:tr>
        <w:trPr>
          <w:trHeight w:val="230"/>
        </w:trPr>
        <w:tc>
          <w:tcPr>
            <w:tcW w:w="6540" w:type="dxa"/>
            <w:vAlign w:val="bottom"/>
          </w:tcPr>
          <w:p>
            <w:pPr>
              <w:spacing w:after="0"/>
              <w:rPr>
                <w:sz w:val="20"/>
                <w:szCs w:val="20"/>
                <w:color w:val="auto"/>
              </w:rPr>
            </w:pPr>
          </w:p>
        </w:tc>
        <w:tc>
          <w:tcPr>
            <w:tcW w:w="3420" w:type="dxa"/>
            <w:vAlign w:val="bottom"/>
            <w:gridSpan w:val="4"/>
          </w:tcPr>
          <w:p>
            <w:pPr>
              <w:ind w:left="280"/>
              <w:spacing w:after="0"/>
              <w:rPr>
                <w:sz w:val="20"/>
                <w:szCs w:val="20"/>
                <w:color w:val="auto"/>
              </w:rPr>
            </w:pPr>
            <w:r>
              <w:rPr>
                <w:rFonts w:ascii="Arial" w:cs="Arial" w:eastAsia="Arial" w:hAnsi="Arial"/>
                <w:sz w:val="18"/>
                <w:szCs w:val="18"/>
                <w:color w:val="auto"/>
              </w:rPr>
              <w:t>Nine Months Ended September 30,</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December 31,</w:t>
            </w:r>
          </w:p>
        </w:tc>
      </w:tr>
      <w:tr>
        <w:trPr>
          <w:trHeight w:val="223"/>
        </w:trPr>
        <w:tc>
          <w:tcPr>
            <w:tcW w:w="654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2017</w:t>
            </w:r>
          </w:p>
        </w:tc>
        <w:tc>
          <w:tcPr>
            <w:tcW w:w="360" w:type="dxa"/>
            <w:vAlign w:val="bottom"/>
            <w:tcBorders>
              <w:top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2016</w:t>
            </w:r>
          </w:p>
        </w:tc>
        <w:tc>
          <w:tcPr>
            <w:tcW w:w="32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19"/>
                <w:szCs w:val="19"/>
                <w:color w:val="auto"/>
              </w:rPr>
            </w:pPr>
          </w:p>
        </w:tc>
      </w:tr>
      <w:tr>
        <w:trPr>
          <w:trHeight w:val="210"/>
        </w:trPr>
        <w:tc>
          <w:tcPr>
            <w:tcW w:w="6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Average number of extensions granted per month</w:t>
            </w:r>
          </w:p>
        </w:tc>
        <w:tc>
          <w:tcPr>
            <w:tcW w:w="17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10,965</w:t>
            </w:r>
          </w:p>
        </w:tc>
        <w:tc>
          <w:tcPr>
            <w:tcW w:w="17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5,861</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6,741</w:t>
            </w:r>
          </w:p>
        </w:tc>
      </w:tr>
      <w:tr>
        <w:trPr>
          <w:trHeight w:val="216"/>
        </w:trPr>
        <w:tc>
          <w:tcPr>
            <w:tcW w:w="6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Average number of outstanding accounts</w:t>
            </w:r>
          </w:p>
        </w:tc>
        <w:tc>
          <w:tcPr>
            <w:tcW w:w="17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172,791</w:t>
            </w:r>
          </w:p>
        </w:tc>
        <w:tc>
          <w:tcPr>
            <w:tcW w:w="17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160,952</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163,050</w:t>
            </w:r>
          </w:p>
        </w:tc>
      </w:tr>
      <w:tr>
        <w:trPr>
          <w:trHeight w:val="216"/>
        </w:trPr>
        <w:tc>
          <w:tcPr>
            <w:tcW w:w="6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Average monthly extensions as % of average outstandings</w:t>
            </w:r>
          </w:p>
        </w:tc>
        <w:tc>
          <w:tcPr>
            <w:tcW w:w="17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6.3%</w:t>
            </w:r>
          </w:p>
        </w:tc>
        <w:tc>
          <w:tcPr>
            <w:tcW w:w="17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3.6%</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4.1%</w:t>
            </w:r>
          </w:p>
        </w:tc>
      </w:tr>
      <w:tr>
        <w:trPr>
          <w:trHeight w:val="202"/>
        </w:trPr>
        <w:tc>
          <w:tcPr>
            <w:tcW w:w="6540" w:type="dxa"/>
            <w:vAlign w:val="bottom"/>
          </w:tcPr>
          <w:p>
            <w:pPr>
              <w:spacing w:after="0" w:line="201" w:lineRule="exact"/>
              <w:rPr>
                <w:sz w:val="20"/>
                <w:szCs w:val="20"/>
                <w:color w:val="auto"/>
              </w:rPr>
            </w:pPr>
            <w:r>
              <w:rPr>
                <w:rFonts w:ascii="Arial" w:cs="Arial" w:eastAsia="Arial" w:hAnsi="Arial"/>
                <w:sz w:val="18"/>
                <w:szCs w:val="18"/>
                <w:color w:val="auto"/>
              </w:rPr>
              <w:t>______________________</w:t>
            </w: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i w:val="1"/>
                <w:iCs w:val="1"/>
                <w:color w:val="auto"/>
              </w:rPr>
              <w:t>Note: Table excludes portfolios originated and owned by third parties</w:t>
            </w: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040" w:type="dxa"/>
            <w:vAlign w:val="bottom"/>
            <w:gridSpan w:val="5"/>
          </w:tcPr>
          <w:p>
            <w:pPr>
              <w:jc w:val="right"/>
              <w:ind w:right="980"/>
              <w:spacing w:after="0"/>
              <w:rPr>
                <w:sz w:val="20"/>
                <w:szCs w:val="20"/>
                <w:color w:val="auto"/>
              </w:rPr>
            </w:pPr>
            <w:r>
              <w:rPr>
                <w:rFonts w:ascii="Arial" w:cs="Arial" w:eastAsia="Arial" w:hAnsi="Arial"/>
                <w:sz w:val="18"/>
                <w:szCs w:val="18"/>
                <w:color w:val="auto"/>
              </w:rPr>
              <w:t>September 30, 2017</w:t>
            </w:r>
          </w:p>
        </w:tc>
        <w:tc>
          <w:tcPr>
            <w:tcW w:w="2940" w:type="dxa"/>
            <w:vAlign w:val="bottom"/>
            <w:gridSpan w:val="5"/>
          </w:tcPr>
          <w:p>
            <w:pPr>
              <w:ind w:left="580"/>
              <w:spacing w:after="0"/>
              <w:rPr>
                <w:sz w:val="20"/>
                <w:szCs w:val="20"/>
                <w:color w:val="auto"/>
              </w:rPr>
            </w:pPr>
            <w:r>
              <w:rPr>
                <w:rFonts w:ascii="Arial" w:cs="Arial" w:eastAsia="Arial" w:hAnsi="Arial"/>
                <w:sz w:val="18"/>
                <w:szCs w:val="18"/>
                <w:color w:val="auto"/>
              </w:rPr>
              <w:t>September 30, 2016</w:t>
            </w:r>
          </w:p>
        </w:tc>
        <w:tc>
          <w:tcPr>
            <w:tcW w:w="2700" w:type="dxa"/>
            <w:vAlign w:val="bottom"/>
            <w:gridSpan w:val="6"/>
          </w:tcPr>
          <w:p>
            <w:pPr>
              <w:ind w:left="580"/>
              <w:spacing w:after="0"/>
              <w:rPr>
                <w:sz w:val="20"/>
                <w:szCs w:val="20"/>
                <w:color w:val="auto"/>
              </w:rPr>
            </w:pPr>
            <w:r>
              <w:rPr>
                <w:rFonts w:ascii="Arial" w:cs="Arial" w:eastAsia="Arial" w:hAnsi="Arial"/>
                <w:sz w:val="18"/>
                <w:szCs w:val="18"/>
                <w:color w:val="auto"/>
              </w:rPr>
              <w:t>December 31, 2016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520" w:type="dxa"/>
            <w:vAlign w:val="bottom"/>
            <w:tcBorders>
              <w:top w:val="single" w:sz="8" w:color="auto"/>
            </w:tcBorders>
            <w:gridSpan w:val="2"/>
          </w:tcPr>
          <w:p>
            <w:pPr>
              <w:ind w:left="200"/>
              <w:spacing w:after="0" w:line="195" w:lineRule="exact"/>
              <w:rPr>
                <w:sz w:val="20"/>
                <w:szCs w:val="20"/>
                <w:color w:val="auto"/>
              </w:rPr>
            </w:pPr>
            <w:r>
              <w:rPr>
                <w:rFonts w:ascii="Arial" w:cs="Arial" w:eastAsia="Arial" w:hAnsi="Arial"/>
                <w:sz w:val="18"/>
                <w:szCs w:val="18"/>
                <w:color w:val="auto"/>
              </w:rPr>
              <w:t>Number of</w:t>
            </w: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Borders>
              <w:top w:val="single" w:sz="8" w:color="auto"/>
            </w:tcBorders>
            <w:gridSpan w:val="2"/>
          </w:tcPr>
          <w:p>
            <w:pPr>
              <w:ind w:left="180"/>
              <w:spacing w:after="0" w:line="195" w:lineRule="exact"/>
              <w:rPr>
                <w:sz w:val="20"/>
                <w:szCs w:val="20"/>
                <w:color w:val="auto"/>
              </w:rPr>
            </w:pPr>
            <w:r>
              <w:rPr>
                <w:rFonts w:ascii="Arial" w:cs="Arial" w:eastAsia="Arial" w:hAnsi="Arial"/>
                <w:sz w:val="18"/>
                <w:szCs w:val="18"/>
                <w:color w:val="auto"/>
              </w:rPr>
              <w:t>Number of</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Borders>
              <w:top w:val="single" w:sz="8" w:color="auto"/>
            </w:tcBorders>
            <w:gridSpan w:val="2"/>
          </w:tcPr>
          <w:p>
            <w:pPr>
              <w:ind w:left="180"/>
              <w:spacing w:after="0" w:line="195" w:lineRule="exact"/>
              <w:rPr>
                <w:sz w:val="20"/>
                <w:szCs w:val="20"/>
                <w:color w:val="auto"/>
              </w:rPr>
            </w:pPr>
            <w:r>
              <w:rPr>
                <w:rFonts w:ascii="Arial" w:cs="Arial" w:eastAsia="Arial" w:hAnsi="Arial"/>
                <w:sz w:val="18"/>
                <w:szCs w:val="18"/>
                <w:color w:val="auto"/>
              </w:rPr>
              <w:t>Number of</w:t>
            </w: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Contracts</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360" w:type="dxa"/>
            <w:vAlign w:val="bottom"/>
          </w:tcPr>
          <w:p>
            <w:pPr>
              <w:spacing w:after="0"/>
              <w:rPr>
                <w:sz w:val="20"/>
                <w:szCs w:val="20"/>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Contracts</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320" w:type="dxa"/>
            <w:vAlign w:val="bottom"/>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Contracts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20" w:type="dxa"/>
            <w:vAlign w:val="bottom"/>
            <w:gridSpan w:val="4"/>
          </w:tcPr>
          <w:p>
            <w:pPr>
              <w:jc w:val="right"/>
              <w:ind w:right="590"/>
              <w:spacing w:after="0"/>
              <w:rPr>
                <w:sz w:val="20"/>
                <w:szCs w:val="20"/>
                <w:color w:val="auto"/>
              </w:rPr>
            </w:pPr>
            <w:r>
              <w:rPr>
                <w:rFonts w:ascii="Arial" w:cs="Arial" w:eastAsia="Arial" w:hAnsi="Arial"/>
                <w:sz w:val="18"/>
                <w:szCs w:val="18"/>
                <w:color w:val="auto"/>
              </w:rPr>
              <w:t>(Dollars in thousands)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2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one extension</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34,106</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463,405</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32,527</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448,481</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36,030</w:t>
            </w:r>
          </w:p>
        </w:tc>
        <w:tc>
          <w:tcPr>
            <w:tcW w:w="34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501,572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Contracts with two extensions</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23,609</w:t>
            </w:r>
          </w:p>
        </w:tc>
        <w:tc>
          <w:tcPr>
            <w:tcW w:w="2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327,195</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15,123</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202,846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17,800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242,216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three extensions</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14,428</w:t>
            </w: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199,959</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7,424</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98,438</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8,794</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116,929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Contracts with four extensions</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7,919</w:t>
            </w:r>
          </w:p>
        </w:tc>
        <w:tc>
          <w:tcPr>
            <w:tcW w:w="2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106,927</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3,110</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39,773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4,032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five extensions</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3,985</w:t>
            </w: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52,015</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987</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11,879</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1,426</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17,190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Contracts with six extensions</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1,769</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21,311</w:t>
            </w:r>
          </w:p>
        </w:tc>
        <w:tc>
          <w:tcPr>
            <w:tcW w:w="360" w:type="dxa"/>
            <w:vAlign w:val="bottom"/>
          </w:tcPr>
          <w:p>
            <w:pPr>
              <w:spacing w:after="0"/>
              <w:rPr>
                <w:sz w:val="19"/>
                <w:szCs w:val="19"/>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252</w:t>
            </w: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2,992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397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Borders>
              <w:top w:val="single" w:sz="8" w:color="EEEEEE"/>
              <w:bottom w:val="single" w:sz="8" w:color="EEEEEE"/>
            </w:tcBorders>
            <w:shd w:val="clear" w:color="auto" w:fill="EEEEEE"/>
          </w:tcPr>
          <w:p>
            <w:pPr>
              <w:spacing w:after="0"/>
              <w:rPr>
                <w:sz w:val="19"/>
                <w:szCs w:val="19"/>
                <w:color w:val="auto"/>
              </w:rPr>
            </w:pP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85,816</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1,170,812</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59,423</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804,409</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68,479</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934,820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Managed portfolio (excluding</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originated and owned by 3rd</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parties)</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174,382</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2,345,993</w:t>
            </w:r>
          </w:p>
        </w:tc>
        <w:tc>
          <w:tcPr>
            <w:tcW w:w="360" w:type="dxa"/>
            <w:vAlign w:val="bottom"/>
            <w:shd w:val="clear" w:color="auto" w:fill="EEEEEE"/>
          </w:tcPr>
          <w:p>
            <w:pPr>
              <w:spacing w:after="0"/>
              <w:rPr>
                <w:sz w:val="20"/>
                <w:szCs w:val="20"/>
                <w:color w:val="auto"/>
              </w:rPr>
            </w:pP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167,629</w:t>
            </w:r>
          </w:p>
        </w:tc>
        <w:tc>
          <w:tcPr>
            <w:tcW w:w="320" w:type="dxa"/>
            <w:vAlign w:val="bottom"/>
            <w:shd w:val="clear" w:color="auto" w:fill="EEEEEE"/>
          </w:tcPr>
          <w:p>
            <w:pPr>
              <w:spacing w:after="0"/>
              <w:rPr>
                <w:sz w:val="20"/>
                <w:szCs w:val="20"/>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2,291,854</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169,720</w:t>
            </w:r>
          </w:p>
        </w:tc>
        <w:tc>
          <w:tcPr>
            <w:tcW w:w="34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2,308,058</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Table excludes portfolios originated and owned by third parties</w:t>
      </w:r>
    </w:p>
    <w:p>
      <w:pPr>
        <w:spacing w:after="0" w:line="20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recent years, we have experienced an increase in the number of extensions that we grant to our customers. We attribute this to a number of factors. First, In June 2014 we entered into a consent decree with the FTC that required us to make certain procedural changes in our servicing practices, which we believe have contributed to somewhat higher delinquencies and extensions compared to prior periods. Secondly, in recent years we have found it more difficult to communicate with our customers via outbound voice telephone calls, which have historically been our primary means of communicating with our customers. Consequently, we have recently developed text messaging platforms to supplement our outbound voice calling efforts. In addition, in 2016 we added features to the customer portal of our website to facilitate the process whereby the customer may request an extension.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Non-Accrual Receivables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It is not uncommon for our obligors to fall behind in their payments. However, with the diligent efforts of our Servicing staff and systems for managing our collection efforts, we regularly work with our customers to resolve delinquencies. Our staff are trained to employ a counseling approach to assist our customers with their cash flow management skills and help them to prioritize their payment obligations in order to avoid losing their vehicle to repossession. Through our experience, we have learned that once a customer becomes greater than 90 days past due, it is not likely that the delinquency will be resolved and will ultimately result in a charge-off. As a result, we do not recognize any interest income for contracts that are greater than 90 days past due.</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 contract exceeds the 90 days past due threshold at the end of one period, and then makes the necessary payments such that it becomes less than or equal to 90 days delinquent at the end of a subsequent period, it would be restored to full accrual status for our financial reporting purposes. At the time a contract is restored to full accrual in this manner, there can be no assurance that full repayment of interest and principal will ultimately be made. However, we monitor each obligor’s payment performance and are aware of the severity of his delinquency at any time. The fact that the delinquency has been reduced below the 90-day threshold is a positive indicator. Should the contract again exceed the 90-day delinquency level at the end of any reporting period, it would again be reflected as a non-accrual account.</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policy for placing a contract on non-accrual status is independent of our policy to grant an extension. In practice, it would be an uncommon circumstance where an extension was granted and the account remained in a non-accrual status, since the goal of the extension is to bring the contract current (or nearly current).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1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business requires substantial cash to support our purchases of automobile contracts and other operating activities. Our primary sources of cash have been cash flows from the proceeds from term securitization transactions and other sales of automobile contracts, amounts borrowed under various revolving credit facilities (also sometimes known as warehouse credit facilities), customer payments of principal and interest on finance receivables, fees for origination of automobile contracts, and releases of cash from securitization transactions and their related spread accounts. Our primary uses of cash have been the purchases of automobile contracts, repayment of amounts borrowed under lines of credit, securitization transactions and otherwise, operating expenses such as employee, interest, occupancy expenses and other general and administrative expenses, the establishment of spread accounts and initial overcollateralization, if any,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pools and their related spread accounts), the rate of expansion or contraction in our managed portfolio, and the terms upon which we are able to acquire and borrow against automobile contracts.</w:t>
      </w:r>
    </w:p>
    <w:p>
      <w:pPr>
        <w:spacing w:after="0" w:line="1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provided by operating activities for the nine-month period ended September 30, 2017 was $168.3 million, an increase of $9.2 million, compared to net cash provided by operating activities for the nine-month period ended September 30, 2016 of $159.1 million. Cash provided by operating activities is significantly affected by our net income before provisions for credit losses. For the nine months ended September 30, 2017, our net income excluding provisions for credit losses was $156.7 million, which was equal to our net income excluding provisions for credit losses for the nine months ended September 30, 2016.</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Net cash used in investing activities for the nine-month period ended September 30, 2017 was $181.3 million compared to net cash used in investing activities of $390.9 million in the prior year period. Cash provided by investing activities primarily results from principal payments and other proceeds received on finance receivables held for investment. Cash used in investing activities generally relates to purchases of automobile contracts. Purchases of finance receivables held for investment were $668.3 million and $873.5 million during the first nine months of 2017 and 2016, respectively.</w:t>
      </w:r>
    </w:p>
    <w:p>
      <w:pPr>
        <w:spacing w:after="0" w:line="15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Net cash provided by financing activities for the nine months ended September 30, 2017 was $11.2 million compared to net cash provided by financing activities of $224.0 million in the prior year period. Cash provided by financing activities is primarily related to the issuance of securitization trust debt, reduced by the amount of repayment of securitization trust debt and net proceeds or repayments on our warehouse lines of credit and other debt. In the first nine months of 2017, we issued $656.3 million in new securitization trust debt compared to $980.7 million in the same period of 2016. In addition, we repaid $634.2 million in securitization trust debt in the nine months ended September 30, 2017 compared to repayments of securitization trust debt of $625.5 million in the prior year period. In the nine months ended September 30, 2017, we had net advances on warehouse lines of credit of $2.9 million, compared to net repayments of $112.7 million in the prior year’s period.</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purchase automobile contracts from dealers for a cash price approximately equal to their principal amount, adjusted for an acquisition fee which may either increase or decrease the automobile contract purchase price. Those automobile contracts generate cash flow, however, over a period of years. As a result, we have been dependent on warehouse credit facilities to purchase automobile contracts, and on the availability of cash from outside sources in order to finance our continuing operations, as well as to fund the portion of automobile contract purchase prices not financed under revolving warehouse credit facilities.</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purchase automobile contracts.</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and may in the future be limited in our ability to purchase automobile contracts due to limits on our capital. As of September 30, 2017, we had unrestricted cash of $12.0 million and $193.4 million aggregate available borrowings under our three warehouse credit facilities (assuming the availability of sufficient eligible collateral). As of September 30, 2017, we had approximately $20.4 million of such eligible collateral. During the nine-month period ended September 30, 2017, we completed three securitizations aggregating $670.0 million of notes sold. Our plans to manage our liquidity include maintaining our rate of automobile contract purchases at a level that matches our available capital, and, as appropriate, minimizing our operating costs. If we are unable to complete such securitizations, we may be unable to increase our rate of automobile contract purchases, in which case our interest income and other portfolio related income could decrease.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4" w:name="page35"/>
    <w:bookmarkEnd w:id="34"/>
    <w:p>
      <w:pPr>
        <w:jc w:val="both"/>
        <w:ind w:firstLine="648"/>
        <w:spacing w:after="0" w:line="255" w:lineRule="auto"/>
        <w:rPr>
          <w:sz w:val="20"/>
          <w:szCs w:val="20"/>
          <w:color w:val="auto"/>
        </w:rPr>
      </w:pPr>
      <w:r>
        <w:rPr>
          <w:rFonts w:ascii="Arial" w:cs="Arial" w:eastAsia="Arial" w:hAnsi="Arial"/>
          <w:sz w:val="18"/>
          <w:szCs w:val="18"/>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delinquency or net losses related to the automobile contracts in the pool are below certain predetermined levels. In the event delinquencies or net losses on the automobile contracts exceed such levels, the terms of the securitization may require increased credit enhancement to be accumulated for the particular pool. There can be no assurance that collections from the related trusts will continue to generate sufficient cash.</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September 30, 2017, we were in compliance with all such financial covenants.</w:t>
      </w:r>
    </w:p>
    <w:p>
      <w:pPr>
        <w:spacing w:after="0" w:line="17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and will continue to have a substantial amount of indebtedness. At September 30, 2017, we had approximately $2,226.4 million of debt outstanding. Such debt consisted primarily of $2,103.6 million of securitization trust debt and $106.6 million of warehouse lines of credit. Our securitization trust debt has increased by $22.7 million while our warehouse lines of credit have increased by $3.3 million since September 30, 2016 (each net of deferred financing costs). As of September 30, 2016, our debt included $8.3 million of residual interest financing which was repaid in full in November 2016. Since 2005, we have offered renewable subordinated notes to the public on a continuous basis, and such notes have maturities that range from nine months to 10 years. We had $16.2 million and $14.9 million in subordinated renewable notes outstanding at September 30, 2017 and 2016, respectively.</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recent operating results include pre-tax earnings of $23.9 million for the nine months ended September 30, 2017 and $49.7 million, $61.4 million, $52.2 million, $37.2 million and $9.2 for the years ended December 31, 2016, December 31, 2015, December 31, 2014, December 31, 2013 and December 31, 2012, respectively. Those periods were preceded by pre-tax losses of $14.5 million and $16.2 million in 2011 and 2010, respectively. We believe that our 2011 and 2010 results were materially and adversely affected by the disruption in the capital markets that began in the fourth quarter of 2007, by the recession that began in December 2007, and by related high levels of unemployment.</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If we fail to pay our indebtedness when due, it could have a material adverse effect on us and may require us to issue additional debt or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This report on Form 10-Q includes certain “forward-looking statements.” Forward-looking statements may be identified by the use of words such as “anticipates,” “expects,” “plans,” “estimates,” or words of like meaning. Our provision for credit losses is a forward-looking statement, as it is dependent on our estimates as to future chargeoffs and recovery rates. Factors that could affect charge-offs and recovery rates include changes in the general economic climate, which could affect the willingness or ability of obligors to pay pursuant to the terms of automobile contracts, changes in laws respecting consumer finance, which could affect our ability to enforce rights under automobile contracts, and changes in the market for used vehicles, which could affect the levels of recoveries upon sale of repossessed vehicles. Factors that could affect our revenues in the current year include the levels of cash releases from existing pools of automobile contracts, which would affect our ability to purchase automobile contracts, the terms on which we are able to finance such purchases, the willingness of dealers to sell automobile contracts to us on the terms that we offer, and the terms on which and whether we are able to complete term securitizations once automobile contracts are acquired. Factors that could affect our expenses in the current year include competitive conditions in the market for qualified personnel and interest rates (which affect the rates that we pay on notes issued in our securitizations).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maintain a system of internal controls and procedures designed to provide reasonable assurance as to the reliability of our published financial statements and other disclosures included in this report. As of the end of the period covered by this report, we evaluated the effectiveness of the design and operation of such disclosure controls and procedures. Based upon that evaluation, the principal executive officer (Charles E. Bradley, Jr.) and the principal financial officer (Jeffrey P. Fritz) concluded that the disclosure controls and procedures are effective in recording, processing, summarizing and reporting, on a timely basis, material information relating to us that is required to be included in our reports filed under the Securities Exchange Act of 1934. There has been no change in our internal controls over financial reporting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provided under the caption “Legal Proceedings,” Note 8 to the Unaudited Condensed Consolidated Financial Statements, included in Part I of this report,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remind the reader that risk factors are set forth in Item 1A of our report on Form 10-K, filed with the U.S. Securities and Exchange Commission on March 7, 2017. Where we are aware of material changes to such risk factors as previously disclosed, we set forth below an updated discussion of such risks. The reader should note that the other risks identified in our report on Form 10-K remain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substantial indebtedness.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and will continue to have a substantial amount of indebtedness. At September 30, 2017, we had approximately $2,226.4 million of debt outstanding. Such debt consisted primarily of $2,103.6 million of securitization trust debt and $106.6 million of warehouse lines of credit. Our securitization trust debt has increased by $30.2 million while our warehouse lines of credit have increased by $24.9 million since September 30, 2016 (each net of deferred financing costs). As of September 30, 2016, our debt included $6.9 million of residual interest financing which was repaid in full in November 2016. Since 2005, we have offered renewable subordinated notes to the public on a continuous basis, and such notes have maturities that range from six months to 10 years. We had $16.2 million and $15.0 million in subordinated renewable notes outstanding at September 30, 2017 and 2016, respectively. Our substantial indebtedness could adversely affect our financial condition by, among other things:</w:t>
      </w:r>
    </w:p>
    <w:p>
      <w:pPr>
        <w:spacing w:after="0" w:line="178" w:lineRule="exact"/>
        <w:rPr>
          <w:sz w:val="20"/>
          <w:szCs w:val="20"/>
          <w:color w:val="auto"/>
        </w:rPr>
      </w:pPr>
    </w:p>
    <w:p>
      <w:pPr>
        <w:ind w:left="780" w:hanging="259"/>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252" w:lineRule="exact"/>
        <w:rPr>
          <w:rFonts w:ascii="Arial" w:cs="Arial" w:eastAsia="Arial" w:hAnsi="Arial"/>
          <w:sz w:val="18"/>
          <w:szCs w:val="18"/>
          <w:color w:val="auto"/>
        </w:rPr>
      </w:pPr>
    </w:p>
    <w:p>
      <w:pPr>
        <w:ind w:left="780" w:hanging="259"/>
        <w:spacing w:after="0" w:line="277"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payments on our indebtedness, thereby reducing amounts available for working capital, capital expenditures and other general corporate purposes;</w:t>
      </w:r>
    </w:p>
    <w:p>
      <w:pPr>
        <w:spacing w:after="0" w:line="197" w:lineRule="exact"/>
        <w:rPr>
          <w:rFonts w:ascii="Arial" w:cs="Arial" w:eastAsia="Arial" w:hAnsi="Arial"/>
          <w:sz w:val="18"/>
          <w:szCs w:val="18"/>
          <w:color w:val="auto"/>
        </w:rPr>
      </w:pPr>
    </w:p>
    <w:p>
      <w:pPr>
        <w:ind w:left="780" w:hanging="259"/>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spacing w:after="0" w:line="252" w:lineRule="exact"/>
        <w:rPr>
          <w:rFonts w:ascii="Arial" w:cs="Arial" w:eastAsia="Arial" w:hAnsi="Arial"/>
          <w:sz w:val="18"/>
          <w:szCs w:val="18"/>
          <w:color w:val="auto"/>
        </w:rPr>
      </w:pPr>
    </w:p>
    <w:p>
      <w:pPr>
        <w:ind w:left="780" w:hanging="259"/>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and</w:t>
      </w:r>
    </w:p>
    <w:p>
      <w:pPr>
        <w:spacing w:after="0" w:line="252" w:lineRule="exact"/>
        <w:rPr>
          <w:rFonts w:ascii="Arial" w:cs="Arial" w:eastAsia="Arial" w:hAnsi="Arial"/>
          <w:sz w:val="18"/>
          <w:szCs w:val="18"/>
          <w:color w:val="auto"/>
        </w:rPr>
      </w:pPr>
    </w:p>
    <w:p>
      <w:pPr>
        <w:ind w:left="780" w:hanging="259"/>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our ability to borrow additional funds.</w:t>
      </w:r>
    </w:p>
    <w:p>
      <w:pPr>
        <w:spacing w:after="0" w:line="25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could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These forward-looking statements relate to, among other things, expectations of the business environment in which we operate, projections of future performance, perceived opportunities in the market and statements regarding our mission and vision. You can generally identify forward-looking statements as statements containing the words "will," "would," "believe," "may," "could," "expect," "anticipate," "intend," "estimate," "assume" or other similar expressions. Our actual results, performance and achievements may differ materially from the results, performance and achievements expressed or implied in such forward-looking statements. The discussion under "Risk Factors" identifies some of the factors that might cause such a difference, including the following:</w:t>
      </w:r>
    </w:p>
    <w:p>
      <w:pPr>
        <w:spacing w:after="0" w:line="167"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or inability to obtain necessary financing, and the terms of any such financing;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interest rates, especially as applicable to securitization trust debt;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generate sufficient operating and financing cash flows;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level of future provisioning for receivables losses;</w:t>
      </w:r>
    </w:p>
    <w:p>
      <w:pPr>
        <w:spacing w:after="0" w:line="9" w:lineRule="exact"/>
        <w:rPr>
          <w:rFonts w:ascii="Arial" w:cs="Arial" w:eastAsia="Arial" w:hAnsi="Arial"/>
          <w:sz w:val="18"/>
          <w:szCs w:val="18"/>
          <w:color w:val="auto"/>
        </w:rPr>
      </w:pPr>
    </w:p>
    <w:p>
      <w:pPr>
        <w:ind w:left="340" w:right="7820" w:hanging="332"/>
        <w:spacing w:after="0" w:line="290"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levels of actual losses on receivables; and · regulatory requirements.</w:t>
      </w:r>
    </w:p>
    <w:p>
      <w:pPr>
        <w:spacing w:after="0" w:line="1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Forward-looking statements are not guarantees of performance. They involve risks, uncertainties and assumptions. Actual results may differ from expectations due to many factors beyond our ability to control or predict, including those described herein, and in documents incorporated by reference in this report. For these statements, we claim the protection of the safe harbor for forward-looking statements contained in the Private Securities Litigation Reform Act of 1995.</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undertake no obligation to publicly update any forward-looking information. You are advised to consult any additional disclosure we make in our periodic reports filed with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three months ended September 30, 2017, we repurchased 1,189,660 shares from existing shareholders, as reflected in the table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gridSpan w:val="3"/>
          </w:tcPr>
          <w:p>
            <w:pPr>
              <w:spacing w:after="0"/>
              <w:rPr>
                <w:sz w:val="20"/>
                <w:szCs w:val="20"/>
                <w:color w:val="auto"/>
              </w:rPr>
            </w:pPr>
            <w:r>
              <w:rPr>
                <w:rFonts w:ascii="Arial" w:cs="Arial" w:eastAsia="Arial" w:hAnsi="Arial"/>
                <w:sz w:val="18"/>
                <w:szCs w:val="18"/>
                <w:b w:val="1"/>
                <w:bCs w:val="1"/>
                <w:color w:val="auto"/>
                <w:w w:val="91"/>
              </w:rPr>
              <w:t>Issuer Purchases of Equity Securities</w:t>
            </w: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Total Number of</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Approximate Dollar</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Total</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Shares Purchased as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Value of Shares that</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Number of</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7"/>
              </w:rPr>
              <w:t>Average</w:t>
            </w:r>
          </w:p>
        </w:tc>
        <w:tc>
          <w:tcPr>
            <w:tcW w:w="25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Part of Publicly</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May Yet be Purchased</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Shares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Price Paid</w:t>
            </w:r>
          </w:p>
        </w:tc>
        <w:tc>
          <w:tcPr>
            <w:tcW w:w="25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Announced Plans or</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Under the Plans or</w:t>
            </w:r>
          </w:p>
        </w:tc>
        <w:tc>
          <w:tcPr>
            <w:tcW w:w="0" w:type="dxa"/>
            <w:vAlign w:val="bottom"/>
          </w:tcPr>
          <w:p>
            <w:pPr>
              <w:spacing w:after="0"/>
              <w:rPr>
                <w:sz w:val="1"/>
                <w:szCs w:val="1"/>
                <w:color w:val="auto"/>
              </w:rPr>
            </w:pPr>
          </w:p>
        </w:tc>
      </w:tr>
      <w:tr>
        <w:trPr>
          <w:trHeight w:val="234"/>
        </w:trPr>
        <w:tc>
          <w:tcPr>
            <w:tcW w:w="2960" w:type="dxa"/>
            <w:vAlign w:val="bottom"/>
            <w:gridSpan w:val="3"/>
          </w:tcPr>
          <w:p>
            <w:pPr>
              <w:ind w:left="860"/>
              <w:spacing w:after="0"/>
              <w:rPr>
                <w:sz w:val="20"/>
                <w:szCs w:val="20"/>
                <w:color w:val="auto"/>
              </w:rPr>
            </w:pPr>
            <w:r>
              <w:rPr>
                <w:rFonts w:ascii="Arial" w:cs="Arial" w:eastAsia="Arial" w:hAnsi="Arial"/>
                <w:sz w:val="18"/>
                <w:szCs w:val="18"/>
                <w:b w:val="1"/>
                <w:bCs w:val="1"/>
                <w:color w:val="auto"/>
              </w:rPr>
              <w:t>Period(1)</w:t>
            </w: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Purchased</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per Share</w:t>
            </w:r>
          </w:p>
        </w:tc>
        <w:tc>
          <w:tcPr>
            <w:tcW w:w="25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Programs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Programs (2)</w:t>
            </w:r>
          </w:p>
        </w:tc>
        <w:tc>
          <w:tcPr>
            <w:tcW w:w="0" w:type="dxa"/>
            <w:vAlign w:val="bottom"/>
          </w:tcPr>
          <w:p>
            <w:pPr>
              <w:spacing w:after="0"/>
              <w:rPr>
                <w:sz w:val="1"/>
                <w:szCs w:val="1"/>
                <w:color w:val="auto"/>
              </w:rPr>
            </w:pPr>
          </w:p>
        </w:tc>
      </w:tr>
      <w:tr>
        <w:trPr>
          <w:trHeight w:val="210"/>
        </w:trPr>
        <w:tc>
          <w:tcPr>
            <w:tcW w:w="24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3"/>
            <w:shd w:val="clear" w:color="auto" w:fill="EEEEEE"/>
          </w:tcPr>
          <w:p>
            <w:pPr>
              <w:ind w:left="120"/>
              <w:spacing w:after="0"/>
              <w:rPr>
                <w:sz w:val="20"/>
                <w:szCs w:val="20"/>
                <w:color w:val="auto"/>
              </w:rPr>
            </w:pPr>
            <w:r>
              <w:rPr>
                <w:rFonts w:ascii="Arial" w:cs="Arial" w:eastAsia="Arial" w:hAnsi="Arial"/>
                <w:sz w:val="18"/>
                <w:szCs w:val="18"/>
                <w:color w:val="auto"/>
              </w:rPr>
              <w:t>July 2017</w:t>
            </w:r>
          </w:p>
        </w:tc>
        <w:tc>
          <w:tcPr>
            <w:tcW w:w="13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246,831</w:t>
            </w:r>
          </w:p>
        </w:tc>
        <w:tc>
          <w:tcPr>
            <w:tcW w:w="380" w:type="dxa"/>
            <w:vAlign w:val="bottom"/>
            <w:gridSpan w:val="2"/>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4.56</w:t>
            </w:r>
          </w:p>
        </w:tc>
        <w:tc>
          <w:tcPr>
            <w:tcW w:w="25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246,831</w:t>
            </w:r>
          </w:p>
        </w:tc>
        <w:tc>
          <w:tcPr>
            <w:tcW w:w="3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8,340,967</w:t>
            </w:r>
          </w:p>
        </w:tc>
        <w:tc>
          <w:tcPr>
            <w:tcW w:w="0" w:type="dxa"/>
            <w:vAlign w:val="bottom"/>
          </w:tcPr>
          <w:p>
            <w:pPr>
              <w:spacing w:after="0"/>
              <w:rPr>
                <w:sz w:val="1"/>
                <w:szCs w:val="1"/>
                <w:color w:val="auto"/>
              </w:rPr>
            </w:pPr>
          </w:p>
        </w:tc>
      </w:tr>
      <w:tr>
        <w:trPr>
          <w:trHeight w:val="216"/>
        </w:trPr>
        <w:tc>
          <w:tcPr>
            <w:tcW w:w="2960" w:type="dxa"/>
            <w:vAlign w:val="bottom"/>
            <w:gridSpan w:val="3"/>
          </w:tcPr>
          <w:p>
            <w:pPr>
              <w:ind w:left="120"/>
              <w:spacing w:after="0"/>
              <w:rPr>
                <w:sz w:val="20"/>
                <w:szCs w:val="20"/>
                <w:color w:val="auto"/>
              </w:rPr>
            </w:pPr>
            <w:r>
              <w:rPr>
                <w:rFonts w:ascii="Arial" w:cs="Arial" w:eastAsia="Arial" w:hAnsi="Arial"/>
                <w:sz w:val="18"/>
                <w:szCs w:val="18"/>
                <w:color w:val="auto"/>
              </w:rPr>
              <w:t>August 2017</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569,129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4.04</w:t>
            </w:r>
          </w:p>
        </w:tc>
        <w:tc>
          <w:tcPr>
            <w:tcW w:w="2560" w:type="dxa"/>
            <w:vAlign w:val="bottom"/>
            <w:gridSpan w:val="2"/>
          </w:tcPr>
          <w:p>
            <w:pPr>
              <w:jc w:val="right"/>
              <w:ind w:right="160"/>
              <w:spacing w:after="0"/>
              <w:rPr>
                <w:sz w:val="20"/>
                <w:szCs w:val="20"/>
                <w:color w:val="auto"/>
              </w:rPr>
            </w:pPr>
            <w:r>
              <w:rPr>
                <w:rFonts w:ascii="Arial" w:cs="Arial" w:eastAsia="Arial" w:hAnsi="Arial"/>
                <w:sz w:val="18"/>
                <w:szCs w:val="18"/>
                <w:color w:val="auto"/>
              </w:rPr>
              <w:t>569,129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2"/>
          </w:tcPr>
          <w:p>
            <w:pPr>
              <w:jc w:val="right"/>
              <w:ind w:right="100"/>
              <w:spacing w:after="0"/>
              <w:rPr>
                <w:sz w:val="20"/>
                <w:szCs w:val="20"/>
                <w:color w:val="auto"/>
              </w:rPr>
            </w:pPr>
            <w:r>
              <w:rPr>
                <w:rFonts w:ascii="Arial" w:cs="Arial" w:eastAsia="Arial" w:hAnsi="Arial"/>
                <w:sz w:val="18"/>
                <w:szCs w:val="18"/>
                <w:color w:val="auto"/>
              </w:rPr>
              <w:t>6,039,277</w:t>
            </w:r>
          </w:p>
        </w:tc>
        <w:tc>
          <w:tcPr>
            <w:tcW w:w="0" w:type="dxa"/>
            <w:vAlign w:val="bottom"/>
          </w:tcPr>
          <w:p>
            <w:pPr>
              <w:spacing w:after="0"/>
              <w:rPr>
                <w:sz w:val="1"/>
                <w:szCs w:val="1"/>
                <w:color w:val="auto"/>
              </w:rPr>
            </w:pPr>
          </w:p>
        </w:tc>
      </w:tr>
      <w:tr>
        <w:trPr>
          <w:trHeight w:val="230"/>
        </w:trPr>
        <w:tc>
          <w:tcPr>
            <w:tcW w:w="2960" w:type="dxa"/>
            <w:vAlign w:val="bottom"/>
            <w:gridSpan w:val="3"/>
            <w:shd w:val="clear" w:color="auto" w:fill="EEEEEE"/>
          </w:tcPr>
          <w:p>
            <w:pPr>
              <w:ind w:left="120"/>
              <w:spacing w:after="0"/>
              <w:rPr>
                <w:sz w:val="20"/>
                <w:szCs w:val="20"/>
                <w:color w:val="auto"/>
              </w:rPr>
            </w:pPr>
            <w:r>
              <w:rPr>
                <w:rFonts w:ascii="Arial" w:cs="Arial" w:eastAsia="Arial" w:hAnsi="Arial"/>
                <w:sz w:val="18"/>
                <w:szCs w:val="18"/>
                <w:color w:val="auto"/>
              </w:rPr>
              <w:t>September 2017</w:t>
            </w:r>
          </w:p>
        </w:tc>
        <w:tc>
          <w:tcPr>
            <w:tcW w:w="13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373,700</w:t>
            </w:r>
          </w:p>
        </w:tc>
        <w:tc>
          <w:tcPr>
            <w:tcW w:w="18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4.46</w:t>
            </w:r>
          </w:p>
        </w:tc>
        <w:tc>
          <w:tcPr>
            <w:tcW w:w="25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373,700</w:t>
            </w:r>
          </w:p>
        </w:tc>
        <w:tc>
          <w:tcPr>
            <w:tcW w:w="16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4,370,795</w:t>
            </w:r>
          </w:p>
        </w:tc>
        <w:tc>
          <w:tcPr>
            <w:tcW w:w="0" w:type="dxa"/>
            <w:vAlign w:val="bottom"/>
          </w:tcPr>
          <w:p>
            <w:pPr>
              <w:spacing w:after="0"/>
              <w:rPr>
                <w:sz w:val="1"/>
                <w:szCs w:val="1"/>
                <w:color w:val="auto"/>
              </w:rPr>
            </w:pPr>
          </w:p>
        </w:tc>
      </w:tr>
      <w:tr>
        <w:trPr>
          <w:trHeight w:val="223"/>
        </w:trPr>
        <w:tc>
          <w:tcPr>
            <w:tcW w:w="278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1,189,660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320" w:type="dxa"/>
            <w:vAlign w:val="bottom"/>
          </w:tcPr>
          <w:p>
            <w:pPr>
              <w:spacing w:after="0"/>
              <w:rPr>
                <w:sz w:val="19"/>
                <w:szCs w:val="19"/>
                <w:color w:val="auto"/>
              </w:rPr>
            </w:pPr>
          </w:p>
        </w:tc>
        <w:tc>
          <w:tcPr>
            <w:tcW w:w="2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1,189,660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w:t>
            </w:r>
          </w:p>
        </w:tc>
        <w:tc>
          <w:tcPr>
            <w:tcW w:w="3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42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Each monthly period is the calendar month.</w:t>
      </w:r>
    </w:p>
    <w:p>
      <w:pPr>
        <w:spacing w:after="0" w:line="9" w:lineRule="exact"/>
        <w:rPr>
          <w:rFonts w:ascii="Arial" w:cs="Arial" w:eastAsia="Arial" w:hAnsi="Arial"/>
          <w:sz w:val="18"/>
          <w:szCs w:val="18"/>
          <w:i w:val="1"/>
          <w:iCs w:val="1"/>
          <w:color w:val="auto"/>
        </w:rPr>
      </w:pPr>
    </w:p>
    <w:p>
      <w:pPr>
        <w:jc w:val="both"/>
        <w:ind w:left="660" w:hanging="328"/>
        <w:spacing w:after="0" w:line="254" w:lineRule="auto"/>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Through September 30, 2017, our board of directors had authorized the purchase of up to $64.5 million of our outstanding securities, under a program first announced in our annual report for the year 2002, filed on March 26, 2003. All purchases described in the table above were under the program announced in March 2003, which has no fixed expiration date. Our board of directors in May 2017 increased the aggregate authorization by $10 million from $54.5 million to $64.5 million.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10940" w:type="dxa"/>
            <w:vAlign w:val="bottom"/>
            <w:gridSpan w:val="4"/>
          </w:tcPr>
          <w:p>
            <w:pPr>
              <w:ind w:left="180"/>
              <w:spacing w:after="0"/>
              <w:rPr>
                <w:sz w:val="20"/>
                <w:szCs w:val="20"/>
                <w:color w:val="auto"/>
              </w:rPr>
            </w:pPr>
            <w:r>
              <w:rPr>
                <w:rFonts w:ascii="Arial" w:cs="Arial" w:eastAsia="Arial" w:hAnsi="Arial"/>
                <w:sz w:val="18"/>
                <w:szCs w:val="18"/>
                <w:color w:val="auto"/>
              </w:rPr>
              <w:t>The Exhibits listed below are filed with this report.</w:t>
            </w:r>
          </w:p>
        </w:tc>
      </w:tr>
      <w:tr>
        <w:trPr>
          <w:trHeight w:val="418"/>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4.14</w:t>
            </w:r>
          </w:p>
        </w:tc>
        <w:tc>
          <w:tcPr>
            <w:tcW w:w="90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0"/>
              </w:rPr>
              <w:t>Instruments defining the rights of holders of long-term debt of certain consolidated subsidiaries of the registrant are omitted pursuant to the</w:t>
            </w:r>
          </w:p>
        </w:tc>
      </w:tr>
      <w:tr>
        <w:trPr>
          <w:trHeight w:val="216"/>
        </w:trPr>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6"/>
              </w:rPr>
              <w:t>exclusion set forth in subdivisions (b)(iv)(iii)(A) and (b)(v) of Item 601 of Regulation S-K (17 CFR 229.601). The registrant agrees to</w:t>
            </w:r>
          </w:p>
        </w:tc>
      </w:tr>
      <w:tr>
        <w:trPr>
          <w:trHeight w:val="216"/>
        </w:trPr>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provide copies of such instruments to the United States Securities and Exchange Commission upon request.</w:t>
            </w:r>
          </w:p>
        </w:tc>
      </w:tr>
      <w:tr>
        <w:trPr>
          <w:trHeight w:val="190"/>
        </w:trPr>
        <w:tc>
          <w:tcPr>
            <w:tcW w:w="480" w:type="dxa"/>
            <w:vAlign w:val="bottom"/>
          </w:tcPr>
          <w:p>
            <w:pPr>
              <w:jc w:val="right"/>
              <w:ind w:right="70"/>
              <w:spacing w:after="0" w:line="190" w:lineRule="exact"/>
              <w:rPr>
                <w:sz w:val="20"/>
                <w:szCs w:val="20"/>
                <w:color w:val="auto"/>
              </w:rPr>
            </w:pPr>
            <w:r>
              <w:rPr>
                <w:rFonts w:ascii="Arial" w:cs="Arial" w:eastAsia="Arial" w:hAnsi="Arial"/>
                <w:sz w:val="18"/>
                <w:szCs w:val="18"/>
                <w:color w:val="auto"/>
                <w:w w:val="85"/>
              </w:rPr>
              <w:t>31.1</w:t>
            </w:r>
          </w:p>
        </w:tc>
        <w:tc>
          <w:tcPr>
            <w:tcW w:w="900" w:type="dxa"/>
            <w:vAlign w:val="bottom"/>
          </w:tcPr>
          <w:p>
            <w:pPr>
              <w:spacing w:after="0"/>
              <w:rPr>
                <w:sz w:val="16"/>
                <w:szCs w:val="16"/>
                <w:color w:val="auto"/>
              </w:rPr>
            </w:pPr>
          </w:p>
        </w:tc>
        <w:tc>
          <w:tcPr>
            <w:tcW w:w="10040" w:type="dxa"/>
            <w:vAlign w:val="bottom"/>
            <w:gridSpan w:val="3"/>
          </w:tcPr>
          <w:p>
            <w:pPr>
              <w:spacing w:after="0" w:line="190" w:lineRule="exact"/>
              <w:rPr>
                <w:rFonts w:ascii="Arial" w:cs="Arial" w:eastAsia="Arial" w:hAnsi="Arial"/>
                <w:sz w:val="18"/>
                <w:szCs w:val="18"/>
                <w:color w:val="0000EE"/>
              </w:rPr>
            </w:pPr>
            <w:hyperlink w:anchor="page40">
              <w:r>
                <w:rPr>
                  <w:rFonts w:ascii="Arial" w:cs="Arial" w:eastAsia="Arial" w:hAnsi="Arial"/>
                  <w:sz w:val="18"/>
                  <w:szCs w:val="18"/>
                  <w:color w:val="0000EE"/>
                </w:rPr>
                <w:t>Rule 13a-14(a) Certification of the Chief Executive Officer of the registrant.</w:t>
              </w:r>
            </w:hyperlink>
          </w:p>
        </w:tc>
      </w:tr>
      <w:tr>
        <w:trPr>
          <w:trHeight w:val="196"/>
        </w:trPr>
        <w:tc>
          <w:tcPr>
            <w:tcW w:w="480" w:type="dxa"/>
            <w:vAlign w:val="bottom"/>
          </w:tcPr>
          <w:p>
            <w:pPr>
              <w:jc w:val="right"/>
              <w:ind w:right="70"/>
              <w:spacing w:after="0" w:line="196" w:lineRule="exact"/>
              <w:rPr>
                <w:sz w:val="20"/>
                <w:szCs w:val="20"/>
                <w:color w:val="auto"/>
              </w:rPr>
            </w:pPr>
            <w:r>
              <w:rPr>
                <w:rFonts w:ascii="Arial" w:cs="Arial" w:eastAsia="Arial" w:hAnsi="Arial"/>
                <w:sz w:val="18"/>
                <w:szCs w:val="18"/>
                <w:color w:val="auto"/>
                <w:w w:val="85"/>
              </w:rPr>
              <w:t>31.2</w:t>
            </w:r>
          </w:p>
        </w:tc>
        <w:tc>
          <w:tcPr>
            <w:tcW w:w="900" w:type="dxa"/>
            <w:vAlign w:val="bottom"/>
          </w:tcPr>
          <w:p>
            <w:pPr>
              <w:spacing w:after="0"/>
              <w:rPr>
                <w:sz w:val="17"/>
                <w:szCs w:val="17"/>
                <w:color w:val="auto"/>
              </w:rPr>
            </w:pPr>
          </w:p>
        </w:tc>
        <w:tc>
          <w:tcPr>
            <w:tcW w:w="5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2"/>
              </w:rPr>
            </w:pPr>
            <w:hyperlink w:anchor="page41">
              <w:r>
                <w:rPr>
                  <w:rFonts w:ascii="Arial" w:cs="Arial" w:eastAsia="Arial" w:hAnsi="Arial"/>
                  <w:sz w:val="18"/>
                  <w:szCs w:val="18"/>
                  <w:color w:val="0000EE"/>
                  <w:w w:val="92"/>
                </w:rPr>
                <w:t>Rule 13a-14(a) Certification of the Chief Financial Officer of the registrant.</w:t>
              </w:r>
            </w:hyperlink>
          </w:p>
        </w:tc>
        <w:tc>
          <w:tcPr>
            <w:tcW w:w="40" w:type="dxa"/>
            <w:vAlign w:val="bottom"/>
            <w:tcBorders>
              <w:top w:val="single" w:sz="8" w:color="0000EE"/>
            </w:tcBorders>
          </w:tcPr>
          <w:p>
            <w:pPr>
              <w:spacing w:after="0"/>
              <w:rPr>
                <w:sz w:val="17"/>
                <w:szCs w:val="17"/>
                <w:color w:val="auto"/>
              </w:rPr>
            </w:pPr>
          </w:p>
        </w:tc>
        <w:tc>
          <w:tcPr>
            <w:tcW w:w="4540" w:type="dxa"/>
            <w:vAlign w:val="bottom"/>
          </w:tcPr>
          <w:p>
            <w:pPr>
              <w:spacing w:after="0"/>
              <w:rPr>
                <w:sz w:val="17"/>
                <w:szCs w:val="17"/>
                <w:color w:val="auto"/>
              </w:rPr>
            </w:pPr>
          </w:p>
        </w:tc>
      </w:tr>
    </w:tbl>
    <w:p>
      <w:pPr>
        <w:spacing w:after="0" w:line="13" w:lineRule="exact"/>
        <w:rPr>
          <w:sz w:val="20"/>
          <w:szCs w:val="20"/>
          <w:color w:val="auto"/>
        </w:rPr>
      </w:pPr>
    </w:p>
    <w:p>
      <w:pPr>
        <w:ind w:left="1380" w:hanging="1372"/>
        <w:spacing w:after="0"/>
        <w:tabs>
          <w:tab w:leader="none" w:pos="1380" w:val="left"/>
        </w:tabs>
        <w:numPr>
          <w:ilvl w:val="0"/>
          <w:numId w:val="20"/>
        </w:numPr>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Section 1350 Certifications.*</w:t>
        </w:r>
      </w:hyperlink>
    </w:p>
    <w:p>
      <w:pPr>
        <w:spacing w:after="0" w:line="225" w:lineRule="exact"/>
        <w:rPr>
          <w:rFonts w:ascii="Arial" w:cs="Arial" w:eastAsia="Arial" w:hAnsi="Arial"/>
          <w:sz w:val="18"/>
          <w:szCs w:val="18"/>
          <w:u w:val="single" w:color="auto"/>
          <w:color w:val="0000EE"/>
        </w:rPr>
      </w:pPr>
    </w:p>
    <w:p>
      <w:pPr>
        <w:jc w:val="both"/>
        <w:ind w:firstLine="648"/>
        <w:spacing w:after="0" w:line="312" w:lineRule="auto"/>
        <w:rPr>
          <w:rFonts w:ascii="Arial" w:cs="Arial" w:eastAsia="Arial" w:hAnsi="Arial"/>
          <w:sz w:val="18"/>
          <w:szCs w:val="18"/>
          <w:u w:val="single" w:color="auto"/>
          <w:color w:val="0000EE"/>
        </w:rPr>
      </w:pPr>
      <w:r>
        <w:rPr>
          <w:rFonts w:ascii="Arial" w:cs="Arial" w:eastAsia="Arial" w:hAnsi="Arial"/>
          <w:sz w:val="16"/>
          <w:szCs w:val="16"/>
          <w:color w:val="auto"/>
        </w:rPr>
        <w:t>* These Certifications shall not be deemed “filed” for purposes of Section 18 of the Securities Exchange Act of 1934, as amended, or otherwise subject to the liability of that section. These Certifications shall not be deemed to be incorporated by reference into any filing under the Securities Act of 1933, as amended, or the Exchange Act, except to the extent that the registration statement specifically states that such Certifications are incorporated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duly caused this report to be signed on its behalf by the undersigned thereunto duly authorized.</w:t>
      </w:r>
    </w:p>
    <w:p>
      <w:pPr>
        <w:spacing w:after="0" w:line="38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CONSUMER PORTFOLIO SERVICES,INC.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2017</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CHARLES E. BRADLEY, JR</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Charles E. Bradley, Jr.</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2017</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JEFFREY P. FRITZ</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Jeffrey P. Fritz</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9" w:name="page40"/>
    <w:bookmarkEnd w:id="39"/>
    <w:p>
      <w:pPr>
        <w:ind w:left="1048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Charles E. Bradley, Jr., certify that:</w:t>
      </w:r>
    </w:p>
    <w:p>
      <w:pPr>
        <w:spacing w:after="0" w:line="225"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2017 of Consumer Portfolio Services,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49"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948"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92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15"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22"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CHARLES E. BRADLEY,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ind w:left="1048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P. Fritz, certify that:</w:t>
      </w:r>
    </w:p>
    <w:p>
      <w:pPr>
        <w:spacing w:after="0" w:line="225"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2017 of Consumer Portfolio Services,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49"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948"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92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1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22"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P. FRITZ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Quarterly Report on Form 10-Q of Consumer Portfolio Services, Inc. (the “Company”) for the quarterly period ended September 30, 2017, as filed with the Securities and Exchange Commission on the date hereof (the “Report”), Charles E. Bradley, Jr., as Chief Executive Officer of the Company, and Jeffrey P. Fritz, as Chief Financial Officer of the Company, each hereby certifies, pursuant to 18 U.S.C. §1350, as adopted pursuant to §906 of the Sarbanes-Oxley Act of 2002, that:</w:t>
      </w:r>
    </w:p>
    <w:p>
      <w:pPr>
        <w:spacing w:after="0" w:line="187" w:lineRule="exact"/>
        <w:rPr>
          <w:sz w:val="20"/>
          <w:szCs w:val="20"/>
          <w:color w:val="auto"/>
        </w:rPr>
      </w:pPr>
    </w:p>
    <w:p>
      <w:pPr>
        <w:ind w:left="1040" w:hanging="348"/>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40" w:hanging="348"/>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CHARLES E. BRADLEY,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JEFFREY P. FRITZ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This certification accompanies each Report pursuant to § 906 of the Sarbanes-Oxley Act of 2002 and shall not, except to the extent required by the Sarbanes-Oxley Act of 2002, be deemed filed by the Company for purposes of §18 of the Securities Exchange Act of 1934, as amended.</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upperLetter"/>
      <w:start w:val="24"/>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1)"/>
      <w:numFmt w:val="decimal"/>
      <w:start w:val="2"/>
    </w:lvl>
  </w:abstractNum>
  <w:abstractNum w:abstractNumId="3">
    <w:nsid w:val="109CF92E"/>
    <w:multiLevelType w:val="hybridMultilevel"/>
    <w:lvl w:ilvl="0">
      <w:lvlJc w:val="left"/>
      <w:lvlText w:val="(%1)"/>
      <w:numFmt w:val="decimal"/>
      <w:start w:val="3"/>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4"/>
    </w:lvl>
  </w:abstractNum>
  <w:abstractNum w:abstractNumId="6">
    <w:nsid w:val="1BEFD79F"/>
    <w:multiLevelType w:val="hybridMultilevel"/>
    <w:lvl w:ilvl="0">
      <w:lvlJc w:val="left"/>
      <w:lvlText w:val="(%1)"/>
      <w:numFmt w:val="decimal"/>
      <w:start w:val="5"/>
    </w:lvl>
  </w:abstractNum>
  <w:abstractNum w:abstractNumId="7">
    <w:nsid w:val="41A7C4C9"/>
    <w:multiLevelType w:val="hybridMultilevel"/>
    <w:lvl w:ilvl="0">
      <w:lvlJc w:val="left"/>
      <w:lvlText w:val="(%1)"/>
      <w:numFmt w:val="decimal"/>
      <w:start w:val="6"/>
    </w:lvl>
  </w:abstractNum>
  <w:abstractNum w:abstractNumId="8">
    <w:nsid w:val="6B68079A"/>
    <w:multiLevelType w:val="hybridMultilevel"/>
    <w:lvl w:ilvl="0">
      <w:lvlJc w:val="left"/>
      <w:lvlText w:val="(%1)"/>
      <w:numFmt w:val="decimal"/>
      <w:start w:val="7"/>
    </w:lvl>
  </w:abstractNum>
  <w:abstractNum w:abstractNumId="9">
    <w:nsid w:val="4E6AFB66"/>
    <w:multiLevelType w:val="hybridMultilevel"/>
    <w:lvl w:ilvl="0">
      <w:lvlJc w:val="left"/>
      <w:lvlText w:val="(%1)"/>
      <w:numFmt w:val="decimal"/>
      <w:start w:val="8"/>
    </w:lvl>
  </w:abstractNum>
  <w:abstractNum w:abstractNumId="10">
    <w:nsid w:val="25E45D32"/>
    <w:multiLevelType w:val="hybridMultilevel"/>
    <w:lvl w:ilvl="0">
      <w:lvlJc w:val="left"/>
      <w:lvlText w:val="(%1)"/>
      <w:numFmt w:val="decimal"/>
      <w:start w:val="9"/>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2"/>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32"/>
    </w:lvl>
    <w:lvl w:ilvl="1">
      <w:lvlJc w:val="left"/>
      <w:lvlText w:val="*"/>
      <w:numFmt w:val="bullet"/>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2019-12-29T03:20:38Z</dcterms:created>
  <dcterms:modified xsi:type="dcterms:W3CDTF">2019-12-29T03:20:38Z</dcterms:modified>
</cp:coreProperties>
</file>