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UNDER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001-14116</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CONSUMER PORTFOLIO SERVICES,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640" w:type="dxa"/>
            <w:vAlign w:val="bottom"/>
          </w:tcPr>
          <w:p>
            <w:pPr>
              <w:jc w:val="center"/>
              <w:ind w:right="910"/>
              <w:spacing w:after="0"/>
              <w:rPr>
                <w:sz w:val="20"/>
                <w:szCs w:val="20"/>
                <w:color w:val="auto"/>
              </w:rPr>
            </w:pPr>
            <w:r>
              <w:rPr>
                <w:rFonts w:ascii="Arial" w:cs="Arial" w:eastAsia="Arial" w:hAnsi="Arial"/>
                <w:sz w:val="18"/>
                <w:szCs w:val="18"/>
                <w:b w:val="1"/>
                <w:bCs w:val="1"/>
                <w:color w:val="auto"/>
                <w:w w:val="96"/>
              </w:rPr>
              <w:t>California</w:t>
            </w:r>
          </w:p>
        </w:tc>
        <w:tc>
          <w:tcPr>
            <w:tcW w:w="3760" w:type="dxa"/>
            <w:vAlign w:val="bottom"/>
          </w:tcPr>
          <w:p>
            <w:pPr>
              <w:jc w:val="right"/>
              <w:ind w:right="850"/>
              <w:spacing w:after="0"/>
              <w:rPr>
                <w:sz w:val="20"/>
                <w:szCs w:val="20"/>
                <w:color w:val="auto"/>
              </w:rPr>
            </w:pPr>
            <w:r>
              <w:rPr>
                <w:rFonts w:ascii="Arial" w:cs="Arial" w:eastAsia="Arial" w:hAnsi="Arial"/>
                <w:sz w:val="18"/>
                <w:szCs w:val="18"/>
                <w:b w:val="1"/>
                <w:bCs w:val="1"/>
                <w:color w:val="auto"/>
              </w:rPr>
              <w:t>33-0459135</w:t>
            </w:r>
          </w:p>
        </w:tc>
      </w:tr>
      <w:tr>
        <w:trPr>
          <w:trHeight w:val="234"/>
        </w:trPr>
        <w:tc>
          <w:tcPr>
            <w:tcW w:w="564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60" w:type="dxa"/>
            <w:vAlign w:val="bottom"/>
          </w:tcPr>
          <w:p>
            <w:pPr>
              <w:jc w:val="center"/>
              <w:ind w:left="9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564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3800 Howard Hughes Pkwy, Las Vegas, NV</w:t>
            </w:r>
          </w:p>
        </w:tc>
        <w:tc>
          <w:tcPr>
            <w:tcW w:w="3760" w:type="dxa"/>
            <w:vAlign w:val="bottom"/>
          </w:tcPr>
          <w:p>
            <w:pPr>
              <w:jc w:val="right"/>
              <w:ind w:right="1050"/>
              <w:spacing w:after="0"/>
              <w:rPr>
                <w:sz w:val="20"/>
                <w:szCs w:val="20"/>
                <w:color w:val="auto"/>
              </w:rPr>
            </w:pPr>
            <w:r>
              <w:rPr>
                <w:rFonts w:ascii="Arial" w:cs="Arial" w:eastAsia="Arial" w:hAnsi="Arial"/>
                <w:sz w:val="18"/>
                <w:szCs w:val="18"/>
                <w:b w:val="1"/>
                <w:bCs w:val="1"/>
                <w:color w:val="auto"/>
              </w:rPr>
              <w:t>89169</w:t>
            </w:r>
          </w:p>
        </w:tc>
      </w:tr>
      <w:tr>
        <w:trPr>
          <w:trHeight w:val="234"/>
        </w:trPr>
        <w:tc>
          <w:tcPr>
            <w:tcW w:w="5640" w:type="dxa"/>
            <w:vAlign w:val="bottom"/>
          </w:tcPr>
          <w:p>
            <w:pPr>
              <w:jc w:val="center"/>
              <w:ind w:right="9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60" w:type="dxa"/>
            <w:vAlign w:val="bottom"/>
          </w:tcPr>
          <w:p>
            <w:pPr>
              <w:jc w:val="center"/>
              <w:ind w:left="91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Registrant’s telephone number, including area code: (949) 753-6800</w:t>
            </w:r>
          </w:p>
        </w:tc>
      </w:tr>
      <w:tr>
        <w:trPr>
          <w:trHeight w:val="234"/>
        </w:trPr>
        <w:tc>
          <w:tcPr>
            <w:tcW w:w="1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5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w w:val="90"/>
              </w:rPr>
              <w:t>Title of Each Class</w:t>
            </w:r>
          </w:p>
        </w:tc>
        <w:tc>
          <w:tcPr>
            <w:tcW w:w="1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93"/>
              </w:rPr>
              <w:t>Name of Each Exchange on Which Registered</w:t>
            </w:r>
          </w:p>
        </w:tc>
      </w:tr>
      <w:tr>
        <w:trPr>
          <w:trHeight w:val="20"/>
        </w:trPr>
        <w:tc>
          <w:tcPr>
            <w:tcW w:w="13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2620" w:type="dxa"/>
            <w:vAlign w:val="bottom"/>
            <w:gridSpan w:val="2"/>
          </w:tcPr>
          <w:p>
            <w:pPr>
              <w:spacing w:after="0"/>
              <w:rPr>
                <w:sz w:val="20"/>
                <w:szCs w:val="20"/>
                <w:color w:val="auto"/>
              </w:rPr>
            </w:pPr>
            <w:r>
              <w:rPr>
                <w:rFonts w:ascii="Arial" w:cs="Arial" w:eastAsia="Arial" w:hAnsi="Arial"/>
                <w:sz w:val="18"/>
                <w:szCs w:val="18"/>
                <w:color w:val="auto"/>
              </w:rPr>
              <w:t>Common Stock, no par value</w:t>
            </w:r>
          </w:p>
        </w:tc>
        <w:tc>
          <w:tcPr>
            <w:tcW w:w="310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92"/>
              </w:rPr>
              <w:t>The Nasdaq Stock Market LLC (Global Market)</w:t>
            </w:r>
          </w:p>
        </w:tc>
      </w:tr>
      <w:tr>
        <w:trPr>
          <w:trHeight w:val="432"/>
        </w:trPr>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5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bl>
    <w:p>
      <w:pPr>
        <w:spacing w:after="0" w:line="16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filer”,”accelerated filer" and “smaller reporting company” in Rule 12b-2 of the Exchange Act.</w:t>
      </w:r>
    </w:p>
    <w:p>
      <w:pPr>
        <w:spacing w:after="0" w:line="114" w:lineRule="exact"/>
        <w:rPr>
          <w:sz w:val="24"/>
          <w:szCs w:val="24"/>
          <w:color w:val="auto"/>
        </w:rPr>
      </w:pPr>
    </w:p>
    <w:p>
      <w:pPr>
        <w:spacing w:after="0" w:line="207" w:lineRule="exact"/>
        <w:tabs>
          <w:tab w:leader="none" w:pos="2740" w:val="left"/>
          <w:tab w:leader="none" w:pos="5720" w:val="left"/>
          <w:tab w:leader="none" w:pos="84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color w:val="auto"/>
        </w:rPr>
        <w:t>The aggregate market value of the 20,319,932 shares of the registrant’s common stock held by non-affiliates as of the date of filing of this report, based upon the closing price of the registrant’s common stock of $7.62 per share reported by Nasdaq as of June 30, 2014, was approximately $154,837,882. For purposes of this computation, a registrant sponsored pension plan and all directors and executive officers are deemed to be affiliates. Such determination is not an admission that such plan, directors and executive officers are, in fact, affiliates of the registrant. The number of shares of the registrant's Common Stock outstanding on February 19, 2015 was 25,602,440.</w:t>
      </w:r>
    </w:p>
    <w:p>
      <w:pPr>
        <w:spacing w:after="0" w:line="184"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The proxy statement for registrant’s 2015 annual shareholders meeting is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6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EEEEEE"/>
          </w:tcPr>
          <w:p>
            <w:pPr>
              <w:spacing w:after="0"/>
              <w:rPr>
                <w:sz w:val="20"/>
                <w:szCs w:val="20"/>
                <w:color w:val="auto"/>
              </w:rPr>
            </w:pPr>
            <w:r>
              <w:rPr>
                <w:rFonts w:ascii="Arial" w:cs="Arial" w:eastAsia="Arial" w:hAnsi="Arial"/>
                <w:sz w:val="18"/>
                <w:szCs w:val="18"/>
                <w:color w:val="auto"/>
              </w:rPr>
              <w:t>PART I</w:t>
            </w:r>
          </w:p>
        </w:tc>
        <w:tc>
          <w:tcPr>
            <w:tcW w:w="84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Item 1.</w:t>
            </w:r>
          </w:p>
        </w:tc>
        <w:tc>
          <w:tcPr>
            <w:tcW w:w="8460" w:type="dxa"/>
            <w:vAlign w:val="bottom"/>
          </w:tcPr>
          <w:p>
            <w:pPr>
              <w:ind w:left="440"/>
              <w:spacing w:after="0"/>
              <w:rPr>
                <w:sz w:val="20"/>
                <w:szCs w:val="20"/>
                <w:color w:val="auto"/>
              </w:rPr>
            </w:pPr>
            <w:r>
              <w:rPr>
                <w:rFonts w:ascii="Arial" w:cs="Arial" w:eastAsia="Arial" w:hAnsi="Arial"/>
                <w:sz w:val="18"/>
                <w:szCs w:val="18"/>
                <w:color w:val="auto"/>
              </w:rPr>
              <w:t>Business</w:t>
            </w: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1A.</w:t>
            </w:r>
          </w:p>
        </w:tc>
        <w:tc>
          <w:tcPr>
            <w:tcW w:w="8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Risk Factors</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Item 1B.</w:t>
            </w:r>
          </w:p>
        </w:tc>
        <w:tc>
          <w:tcPr>
            <w:tcW w:w="8460" w:type="dxa"/>
            <w:vAlign w:val="bottom"/>
          </w:tcPr>
          <w:p>
            <w:pPr>
              <w:ind w:left="440"/>
              <w:spacing w:after="0"/>
              <w:rPr>
                <w:sz w:val="20"/>
                <w:szCs w:val="20"/>
                <w:color w:val="auto"/>
              </w:rPr>
            </w:pPr>
            <w:r>
              <w:rPr>
                <w:rFonts w:ascii="Arial" w:cs="Arial" w:eastAsia="Arial" w:hAnsi="Arial"/>
                <w:sz w:val="18"/>
                <w:szCs w:val="18"/>
                <w:color w:val="auto"/>
              </w:rPr>
              <w:t>Unresolved Staff Comments</w:t>
            </w:r>
          </w:p>
        </w:tc>
        <w:tc>
          <w:tcPr>
            <w:tcW w:w="16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2.</w:t>
            </w:r>
          </w:p>
        </w:tc>
        <w:tc>
          <w:tcPr>
            <w:tcW w:w="8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Properties</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Item 3.</w:t>
            </w:r>
          </w:p>
        </w:tc>
        <w:tc>
          <w:tcPr>
            <w:tcW w:w="8460" w:type="dxa"/>
            <w:vAlign w:val="bottom"/>
          </w:tcPr>
          <w:p>
            <w:pPr>
              <w:ind w:left="440"/>
              <w:spacing w:after="0"/>
              <w:rPr>
                <w:sz w:val="20"/>
                <w:szCs w:val="20"/>
                <w:color w:val="auto"/>
              </w:rPr>
            </w:pPr>
            <w:r>
              <w:rPr>
                <w:rFonts w:ascii="Arial" w:cs="Arial" w:eastAsia="Arial" w:hAnsi="Arial"/>
                <w:sz w:val="18"/>
                <w:szCs w:val="18"/>
                <w:color w:val="auto"/>
              </w:rPr>
              <w:t>Legal Proceedings</w:t>
            </w: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4.</w:t>
            </w:r>
          </w:p>
        </w:tc>
        <w:tc>
          <w:tcPr>
            <w:tcW w:w="8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Mine Safety Disclosures</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60" w:type="dxa"/>
            <w:vAlign w:val="bottom"/>
          </w:tcPr>
          <w:p>
            <w:pPr>
              <w:ind w:left="440"/>
              <w:spacing w:after="0"/>
              <w:rPr>
                <w:sz w:val="20"/>
                <w:szCs w:val="20"/>
                <w:color w:val="auto"/>
              </w:rPr>
            </w:pPr>
            <w:r>
              <w:rPr>
                <w:rFonts w:ascii="Arial" w:cs="Arial" w:eastAsia="Arial" w:hAnsi="Arial"/>
                <w:sz w:val="18"/>
                <w:szCs w:val="18"/>
                <w:color w:val="auto"/>
              </w:rPr>
              <w:t>Executive Officers of the Registrant</w:t>
            </w: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84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PART II</w:t>
            </w:r>
          </w:p>
        </w:tc>
        <w:tc>
          <w:tcPr>
            <w:tcW w:w="8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EEEEEE"/>
          </w:tcPr>
          <w:p>
            <w:pPr>
              <w:ind w:left="160"/>
              <w:spacing w:after="0" w:line="201" w:lineRule="exact"/>
              <w:rPr>
                <w:sz w:val="20"/>
                <w:szCs w:val="20"/>
                <w:color w:val="auto"/>
              </w:rPr>
            </w:pPr>
            <w:r>
              <w:rPr>
                <w:rFonts w:ascii="Arial" w:cs="Arial" w:eastAsia="Arial" w:hAnsi="Arial"/>
                <w:sz w:val="18"/>
                <w:szCs w:val="18"/>
                <w:color w:val="auto"/>
              </w:rPr>
              <w:t>Item 5.</w:t>
            </w:r>
          </w:p>
        </w:tc>
        <w:tc>
          <w:tcPr>
            <w:tcW w:w="8460" w:type="dxa"/>
            <w:vAlign w:val="bottom"/>
            <w:shd w:val="clear" w:color="auto" w:fill="EEEEEE"/>
          </w:tcPr>
          <w:p>
            <w:pPr>
              <w:ind w:left="440"/>
              <w:spacing w:after="0" w:line="201" w:lineRule="exact"/>
              <w:rPr>
                <w:sz w:val="20"/>
                <w:szCs w:val="20"/>
                <w:color w:val="auto"/>
              </w:rPr>
            </w:pPr>
            <w:r>
              <w:rPr>
                <w:rFonts w:ascii="Arial" w:cs="Arial" w:eastAsia="Arial" w:hAnsi="Arial"/>
                <w:sz w:val="18"/>
                <w:szCs w:val="18"/>
                <w:color w:val="auto"/>
                <w:w w:val="98"/>
              </w:rPr>
              <w:t>Market for Registrant’s Common Equity, Related Stockholder Matters, and Issuer Purchases of Equity</w:t>
            </w:r>
          </w:p>
        </w:tc>
        <w:tc>
          <w:tcPr>
            <w:tcW w:w="16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8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Securities</w:t>
            </w:r>
          </w:p>
        </w:tc>
        <w:tc>
          <w:tcPr>
            <w:tcW w:w="16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Item 6.</w:t>
            </w:r>
          </w:p>
        </w:tc>
        <w:tc>
          <w:tcPr>
            <w:tcW w:w="8460" w:type="dxa"/>
            <w:vAlign w:val="bottom"/>
          </w:tcPr>
          <w:p>
            <w:pPr>
              <w:ind w:left="440"/>
              <w:spacing w:after="0"/>
              <w:rPr>
                <w:sz w:val="20"/>
                <w:szCs w:val="20"/>
                <w:color w:val="auto"/>
              </w:rPr>
            </w:pPr>
            <w:r>
              <w:rPr>
                <w:rFonts w:ascii="Arial" w:cs="Arial" w:eastAsia="Arial" w:hAnsi="Arial"/>
                <w:sz w:val="18"/>
                <w:szCs w:val="18"/>
                <w:color w:val="auto"/>
              </w:rPr>
              <w:t>Selected Financial Data</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7.</w:t>
            </w:r>
          </w:p>
        </w:tc>
        <w:tc>
          <w:tcPr>
            <w:tcW w:w="8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Item 7A.</w:t>
            </w:r>
          </w:p>
        </w:tc>
        <w:tc>
          <w:tcPr>
            <w:tcW w:w="8460" w:type="dxa"/>
            <w:vAlign w:val="bottom"/>
          </w:tcPr>
          <w:p>
            <w:pPr>
              <w:ind w:left="440"/>
              <w:spacing w:after="0"/>
              <w:rPr>
                <w:sz w:val="20"/>
                <w:szCs w:val="20"/>
                <w:color w:val="auto"/>
              </w:rPr>
            </w:pPr>
            <w:r>
              <w:rPr>
                <w:rFonts w:ascii="Arial" w:cs="Arial" w:eastAsia="Arial" w:hAnsi="Arial"/>
                <w:sz w:val="18"/>
                <w:szCs w:val="18"/>
                <w:color w:val="auto"/>
              </w:rPr>
              <w:t>Quantitative and Qualitative Disclosures About Market Risk</w:t>
            </w: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8.</w:t>
            </w:r>
          </w:p>
        </w:tc>
        <w:tc>
          <w:tcPr>
            <w:tcW w:w="8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Financial Statements and Supplementary Data</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Item 9.</w:t>
            </w:r>
          </w:p>
        </w:tc>
        <w:tc>
          <w:tcPr>
            <w:tcW w:w="8460" w:type="dxa"/>
            <w:vAlign w:val="bottom"/>
          </w:tcPr>
          <w:p>
            <w:pPr>
              <w:ind w:left="4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9A.</w:t>
            </w:r>
          </w:p>
        </w:tc>
        <w:tc>
          <w:tcPr>
            <w:tcW w:w="8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Controls and Procedures</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Item 9B.</w:t>
            </w:r>
          </w:p>
        </w:tc>
        <w:tc>
          <w:tcPr>
            <w:tcW w:w="8460" w:type="dxa"/>
            <w:vAlign w:val="bottom"/>
          </w:tcPr>
          <w:p>
            <w:pPr>
              <w:ind w:left="440"/>
              <w:spacing w:after="0"/>
              <w:rPr>
                <w:sz w:val="20"/>
                <w:szCs w:val="20"/>
                <w:color w:val="auto"/>
              </w:rPr>
            </w:pPr>
            <w:r>
              <w:rPr>
                <w:rFonts w:ascii="Arial" w:cs="Arial" w:eastAsia="Arial" w:hAnsi="Arial"/>
                <w:sz w:val="18"/>
                <w:szCs w:val="18"/>
                <w:color w:val="auto"/>
              </w:rPr>
              <w:t>Other Information</w:t>
            </w:r>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84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PART III</w:t>
            </w:r>
          </w:p>
        </w:tc>
        <w:tc>
          <w:tcPr>
            <w:tcW w:w="8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10.</w:t>
            </w:r>
          </w:p>
        </w:tc>
        <w:tc>
          <w:tcPr>
            <w:tcW w:w="8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Directors, Executive Officers and Corporate Governance</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Item 11.</w:t>
            </w:r>
          </w:p>
        </w:tc>
        <w:tc>
          <w:tcPr>
            <w:tcW w:w="8460" w:type="dxa"/>
            <w:vAlign w:val="bottom"/>
          </w:tcPr>
          <w:p>
            <w:pPr>
              <w:ind w:left="440"/>
              <w:spacing w:after="0"/>
              <w:rPr>
                <w:sz w:val="20"/>
                <w:szCs w:val="20"/>
                <w:color w:val="auto"/>
              </w:rPr>
            </w:pPr>
            <w:r>
              <w:rPr>
                <w:rFonts w:ascii="Arial" w:cs="Arial" w:eastAsia="Arial" w:hAnsi="Arial"/>
                <w:sz w:val="18"/>
                <w:szCs w:val="18"/>
                <w:color w:val="auto"/>
              </w:rPr>
              <w:t>Executive Compensation</w:t>
            </w:r>
          </w:p>
        </w:tc>
        <w:tc>
          <w:tcPr>
            <w:tcW w:w="16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12.</w:t>
            </w:r>
          </w:p>
        </w:tc>
        <w:tc>
          <w:tcPr>
            <w:tcW w:w="8460" w:type="dxa"/>
            <w:vAlign w:val="bottom"/>
            <w:shd w:val="clear" w:color="auto" w:fill="EEEEEE"/>
          </w:tcPr>
          <w:p>
            <w:pPr>
              <w:ind w:left="440"/>
              <w:spacing w:after="0"/>
              <w:rPr>
                <w:sz w:val="20"/>
                <w:szCs w:val="20"/>
                <w:color w:val="auto"/>
              </w:rPr>
            </w:pPr>
            <w:r>
              <w:rPr>
                <w:rFonts w:ascii="Arial" w:cs="Arial" w:eastAsia="Arial" w:hAnsi="Arial"/>
                <w:sz w:val="18"/>
                <w:szCs w:val="18"/>
                <w:color w:val="auto"/>
                <w:w w:val="99"/>
              </w:rPr>
              <w:t>Security Ownership of Certain Beneficial Owners and Management and Related Stockholder Matters</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Item 13.</w:t>
            </w:r>
          </w:p>
        </w:tc>
        <w:tc>
          <w:tcPr>
            <w:tcW w:w="8460" w:type="dxa"/>
            <w:vAlign w:val="bottom"/>
          </w:tcPr>
          <w:p>
            <w:pPr>
              <w:ind w:left="4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6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14.</w:t>
            </w:r>
          </w:p>
        </w:tc>
        <w:tc>
          <w:tcPr>
            <w:tcW w:w="8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Principal Accountant Fees and Services</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EEEEEE"/>
          </w:tcPr>
          <w:p>
            <w:pPr>
              <w:spacing w:after="0"/>
              <w:rPr>
                <w:sz w:val="20"/>
                <w:szCs w:val="20"/>
                <w:color w:val="auto"/>
              </w:rPr>
            </w:pPr>
            <w:r>
              <w:rPr>
                <w:rFonts w:ascii="Arial" w:cs="Arial" w:eastAsia="Arial" w:hAnsi="Arial"/>
                <w:sz w:val="18"/>
                <w:szCs w:val="18"/>
                <w:color w:val="auto"/>
              </w:rPr>
              <w:t>PART IV</w:t>
            </w:r>
          </w:p>
        </w:tc>
        <w:tc>
          <w:tcPr>
            <w:tcW w:w="84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Item 15.</w:t>
            </w:r>
          </w:p>
        </w:tc>
        <w:tc>
          <w:tcPr>
            <w:tcW w:w="8460" w:type="dxa"/>
            <w:vAlign w:val="bottom"/>
          </w:tcPr>
          <w:p>
            <w:pPr>
              <w:ind w:left="440"/>
              <w:spacing w:after="0"/>
              <w:rPr>
                <w:sz w:val="20"/>
                <w:szCs w:val="20"/>
                <w:color w:val="auto"/>
              </w:rPr>
            </w:pPr>
            <w:r>
              <w:rPr>
                <w:rFonts w:ascii="Arial" w:cs="Arial" w:eastAsia="Arial" w:hAnsi="Arial"/>
                <w:sz w:val="18"/>
                <w:szCs w:val="18"/>
                <w:color w:val="auto"/>
              </w:rPr>
              <w:t>Exhibits, Financial Statement Schedules</w:t>
            </w:r>
          </w:p>
        </w:tc>
        <w:tc>
          <w:tcPr>
            <w:tcW w:w="16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acquired installment purchase contracts in four merger and acquisition transactions, and purchased or originated immaterial amounts of loans secured by vehicles. In this report, we refer to all of such contracts and loans as "automobile contracts."</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were incorporated and began our operations in March 1991. We consist of Consumer Portfolio Services, Inc. and subsidiaries (collectively, “we,” “us,” “CPS” or “the Company”). From inception through December 31, 2014, we have purchased a total of approximately $11.3 billion of automobile contracts from dealers.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From 2008 through 2010, our managed portfolio decreased each year due to our strategy of limiting contract purchases to conserve our liquidity during the financial crisis and resulting recession, as discussed further below. However, since October 2009, we have gradually increased contract purchases, which, in turn, has resulted in increases in our managed portfolio. Contract purchase volumes and managed portfolio levels for the five years ended December 31, 2014 are shown in the table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4"/>
          </w:tcPr>
          <w:p>
            <w:pPr>
              <w:ind w:left="10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Contracts</w:t>
            </w:r>
          </w:p>
        </w:tc>
        <w:tc>
          <w:tcPr>
            <w:tcW w:w="13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Managed</w:t>
            </w:r>
          </w:p>
        </w:tc>
        <w:tc>
          <w:tcPr>
            <w:tcW w:w="12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Purchased in</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Portfolio at</w:t>
            </w:r>
          </w:p>
        </w:tc>
      </w:tr>
      <w:tr>
        <w:trPr>
          <w:trHeight w:val="234"/>
        </w:trPr>
        <w:tc>
          <w:tcPr>
            <w:tcW w:w="3640" w:type="dxa"/>
            <w:vAlign w:val="bottom"/>
            <w:gridSpan w:val="2"/>
          </w:tcPr>
          <w:p>
            <w:pPr>
              <w:ind w:left="1520"/>
              <w:spacing w:after="0"/>
              <w:rPr>
                <w:sz w:val="20"/>
                <w:szCs w:val="20"/>
                <w:color w:val="auto"/>
              </w:rPr>
            </w:pPr>
            <w:r>
              <w:rPr>
                <w:rFonts w:ascii="Arial" w:cs="Arial" w:eastAsia="Arial" w:hAnsi="Arial"/>
                <w:sz w:val="18"/>
                <w:szCs w:val="18"/>
                <w:b w:val="1"/>
                <w:bCs w:val="1"/>
                <w:color w:val="auto"/>
              </w:rPr>
              <w:t>Year</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Period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 End</w:t>
            </w:r>
          </w:p>
        </w:tc>
      </w:tr>
      <w:tr>
        <w:trPr>
          <w:trHeight w:val="210"/>
        </w:trPr>
        <w:tc>
          <w:tcPr>
            <w:tcW w:w="3420" w:type="dxa"/>
            <w:vAlign w:val="bottom"/>
            <w:tcBorders>
              <w:top w:val="single" w:sz="8" w:color="auto"/>
            </w:tcBorders>
            <w:shd w:val="clear" w:color="auto" w:fill="EEEEEE"/>
          </w:tcPr>
          <w:p>
            <w:pPr>
              <w:ind w:left="1520"/>
              <w:spacing w:after="0"/>
              <w:rPr>
                <w:sz w:val="20"/>
                <w:szCs w:val="20"/>
                <w:color w:val="auto"/>
              </w:rPr>
            </w:pPr>
            <w:r>
              <w:rPr>
                <w:rFonts w:ascii="Arial" w:cs="Arial" w:eastAsia="Arial" w:hAnsi="Arial"/>
                <w:sz w:val="18"/>
                <w:szCs w:val="18"/>
                <w:color w:val="333333"/>
              </w:rPr>
              <w:t>2010</w:t>
            </w:r>
          </w:p>
        </w:tc>
        <w:tc>
          <w:tcPr>
            <w:tcW w:w="22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113,023</w:t>
            </w:r>
          </w:p>
        </w:tc>
        <w:tc>
          <w:tcPr>
            <w:tcW w:w="34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756,203</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3420" w:type="dxa"/>
            <w:vAlign w:val="bottom"/>
          </w:tcPr>
          <w:p>
            <w:pPr>
              <w:ind w:left="1520"/>
              <w:spacing w:after="0"/>
              <w:rPr>
                <w:sz w:val="20"/>
                <w:szCs w:val="20"/>
                <w:color w:val="auto"/>
              </w:rPr>
            </w:pPr>
            <w:r>
              <w:rPr>
                <w:rFonts w:ascii="Arial" w:cs="Arial" w:eastAsia="Arial" w:hAnsi="Arial"/>
                <w:sz w:val="18"/>
                <w:szCs w:val="18"/>
                <w:color w:val="333333"/>
              </w:rPr>
              <w:t>2011</w:t>
            </w:r>
          </w:p>
        </w:tc>
        <w:tc>
          <w:tcPr>
            <w:tcW w:w="2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284,236</w:t>
            </w:r>
          </w:p>
        </w:tc>
        <w:tc>
          <w:tcPr>
            <w:tcW w:w="1380" w:type="dxa"/>
            <w:vAlign w:val="bottom"/>
          </w:tcPr>
          <w:p>
            <w:pPr>
              <w:jc w:val="right"/>
              <w:spacing w:after="0"/>
              <w:rPr>
                <w:sz w:val="20"/>
                <w:szCs w:val="20"/>
                <w:color w:val="auto"/>
              </w:rPr>
            </w:pPr>
            <w:r>
              <w:rPr>
                <w:rFonts w:ascii="Arial" w:cs="Arial" w:eastAsia="Arial" w:hAnsi="Arial"/>
                <w:sz w:val="18"/>
                <w:szCs w:val="18"/>
                <w:color w:val="auto"/>
              </w:rPr>
              <w:t>794,649</w:t>
            </w:r>
          </w:p>
        </w:tc>
        <w:tc>
          <w:tcPr>
            <w:tcW w:w="120" w:type="dxa"/>
            <w:vAlign w:val="bottom"/>
          </w:tcPr>
          <w:p>
            <w:pPr>
              <w:spacing w:after="0"/>
              <w:rPr>
                <w:sz w:val="18"/>
                <w:szCs w:val="18"/>
                <w:color w:val="auto"/>
              </w:rPr>
            </w:pPr>
          </w:p>
        </w:tc>
      </w:tr>
      <w:tr>
        <w:trPr>
          <w:trHeight w:val="216"/>
        </w:trPr>
        <w:tc>
          <w:tcPr>
            <w:tcW w:w="3420" w:type="dxa"/>
            <w:vAlign w:val="bottom"/>
            <w:shd w:val="clear" w:color="auto" w:fill="EEEEEE"/>
          </w:tcPr>
          <w:p>
            <w:pPr>
              <w:ind w:left="1520"/>
              <w:spacing w:after="0"/>
              <w:rPr>
                <w:sz w:val="20"/>
                <w:szCs w:val="20"/>
                <w:color w:val="auto"/>
              </w:rPr>
            </w:pPr>
            <w:r>
              <w:rPr>
                <w:rFonts w:ascii="Arial" w:cs="Arial" w:eastAsia="Arial" w:hAnsi="Arial"/>
                <w:sz w:val="18"/>
                <w:szCs w:val="18"/>
                <w:color w:val="333333"/>
              </w:rPr>
              <w:t>2012</w:t>
            </w:r>
          </w:p>
        </w:tc>
        <w:tc>
          <w:tcPr>
            <w:tcW w:w="2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551,742</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20" w:type="dxa"/>
            <w:vAlign w:val="bottom"/>
            <w:shd w:val="clear" w:color="auto" w:fill="EEEEEE"/>
          </w:tcPr>
          <w:p>
            <w:pPr>
              <w:spacing w:after="0"/>
              <w:rPr>
                <w:sz w:val="18"/>
                <w:szCs w:val="18"/>
                <w:color w:val="auto"/>
              </w:rPr>
            </w:pPr>
          </w:p>
        </w:tc>
      </w:tr>
      <w:tr>
        <w:trPr>
          <w:trHeight w:val="216"/>
        </w:trPr>
        <w:tc>
          <w:tcPr>
            <w:tcW w:w="3420" w:type="dxa"/>
            <w:vAlign w:val="bottom"/>
          </w:tcPr>
          <w:p>
            <w:pPr>
              <w:ind w:left="1520"/>
              <w:spacing w:after="0"/>
              <w:rPr>
                <w:sz w:val="20"/>
                <w:szCs w:val="20"/>
                <w:color w:val="auto"/>
              </w:rPr>
            </w:pPr>
            <w:r>
              <w:rPr>
                <w:rFonts w:ascii="Arial" w:cs="Arial" w:eastAsia="Arial" w:hAnsi="Arial"/>
                <w:sz w:val="18"/>
                <w:szCs w:val="18"/>
                <w:color w:val="333333"/>
              </w:rPr>
              <w:t>2013</w:t>
            </w:r>
          </w:p>
        </w:tc>
        <w:tc>
          <w:tcPr>
            <w:tcW w:w="2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764,087</w:t>
            </w:r>
          </w:p>
        </w:tc>
        <w:tc>
          <w:tcPr>
            <w:tcW w:w="1380" w:type="dxa"/>
            <w:vAlign w:val="bottom"/>
          </w:tcPr>
          <w:p>
            <w:pPr>
              <w:jc w:val="right"/>
              <w:spacing w:after="0"/>
              <w:rPr>
                <w:sz w:val="20"/>
                <w:szCs w:val="20"/>
                <w:color w:val="auto"/>
              </w:rPr>
            </w:pPr>
            <w:r>
              <w:rPr>
                <w:rFonts w:ascii="Arial" w:cs="Arial" w:eastAsia="Arial" w:hAnsi="Arial"/>
                <w:sz w:val="18"/>
                <w:szCs w:val="18"/>
                <w:color w:val="auto"/>
              </w:rPr>
              <w:t>1,231,422</w:t>
            </w:r>
          </w:p>
        </w:tc>
        <w:tc>
          <w:tcPr>
            <w:tcW w:w="120" w:type="dxa"/>
            <w:vAlign w:val="bottom"/>
          </w:tcPr>
          <w:p>
            <w:pPr>
              <w:spacing w:after="0"/>
              <w:rPr>
                <w:sz w:val="18"/>
                <w:szCs w:val="18"/>
                <w:color w:val="auto"/>
              </w:rPr>
            </w:pPr>
          </w:p>
        </w:tc>
      </w:tr>
      <w:tr>
        <w:trPr>
          <w:trHeight w:val="216"/>
        </w:trPr>
        <w:tc>
          <w:tcPr>
            <w:tcW w:w="3420" w:type="dxa"/>
            <w:vAlign w:val="bottom"/>
            <w:shd w:val="clear" w:color="auto" w:fill="EEEEEE"/>
          </w:tcPr>
          <w:p>
            <w:pPr>
              <w:ind w:left="1520"/>
              <w:spacing w:after="0"/>
              <w:rPr>
                <w:sz w:val="20"/>
                <w:szCs w:val="20"/>
                <w:color w:val="auto"/>
              </w:rPr>
            </w:pPr>
            <w:r>
              <w:rPr>
                <w:rFonts w:ascii="Arial" w:cs="Arial" w:eastAsia="Arial" w:hAnsi="Arial"/>
                <w:sz w:val="18"/>
                <w:szCs w:val="18"/>
                <w:color w:val="333333"/>
              </w:rPr>
              <w:t>2014</w:t>
            </w:r>
          </w:p>
        </w:tc>
        <w:tc>
          <w:tcPr>
            <w:tcW w:w="2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944,944</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1,643,920</w:t>
            </w:r>
          </w:p>
        </w:tc>
        <w:tc>
          <w:tcPr>
            <w:tcW w:w="12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direct our marketing efforts primarily to dealers, rather than to consumers. We establish relationships with dealers through our employee marketing representatives, who contact prospective dealers to explain our automobile contract purchase programs, and thereafter provide dealer training and support services. Our marketing representatives represent us exclusively. They may be located in our Irvine branch, in our Las Vegas branch, or in the field, in which case they work from their homes and support dealers in their geographic area. Our marketing representatives present dealers with a marketing package, which includes our promotional material containing the terms offered by us for the purchase of automobile contracts, a copy of our standard-form dealer agreement, and required documentation relating to automobile contracts. As of December 31, 2014, we had 130 marketing representatives and in that month we received applications from 8,637 dealers in 48 states. As of December 31, 2014, approximately 68% of our active dealers were franchised new car dealers that sell both new and used vehicles, and the remainder were independent used car dealers. For the year ended December 31, 2014, approximately 84% of the automobile contracts purchased under our programs consisted of financing for used cars and 16% consisted of financing for new cars, as compared to 91% financing for used cars and 9% for new cars in the year ended December 31, 2013.</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 w:name="page4"/>
    <w:bookmarkEnd w:id="3"/>
    <w:p>
      <w:pPr>
        <w:ind w:right="120" w:firstLine="648"/>
        <w:spacing w:after="0" w:line="255" w:lineRule="auto"/>
        <w:rPr>
          <w:sz w:val="20"/>
          <w:szCs w:val="20"/>
          <w:color w:val="auto"/>
        </w:rPr>
      </w:pPr>
      <w:r>
        <w:rPr>
          <w:rFonts w:ascii="Arial" w:cs="Arial" w:eastAsia="Arial" w:hAnsi="Arial"/>
          <w:sz w:val="18"/>
          <w:szCs w:val="18"/>
          <w:color w:val="auto"/>
        </w:rPr>
        <w:t>We purchase automobile contracts with the intention of financing them on a long-term basis through securitizations. Securitizations are transactions in which we sell a specified pool of contracts to a special purpose subsidiary of ours. The subsidiary in turn issues (or contributes to a trust that issues) asset-backed securities, which are purchased by institutional investors. Since 1994, we have completed 65 term securitizations of approximately $9.4 billion in contracts. We depend upon the availability of short-term warehouse credit facilities as interim financing for our contract purchases prior to the time we pool those contracts for a securitization. From February 2011 through the date of this report, we have maintained two $100 million revolving warehouse credit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Sub-Prime Auto Finance Industry</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Automobile financing is the second largest consumer finance market in the United States. The automobile finance industry can be considered as a continuum where participants choose to provide financing to consumers in various segments of the spectrum of creditworthiness depending on each participant’s business strategy. We operate in a segment of the spectrum that is frequently referred to as sub-prime since we provide financing to less credit-worthy borrowers at higher rates of interest than more credit-worthy borrowers are likely to obtain.</w:t>
      </w:r>
    </w:p>
    <w:p>
      <w:pPr>
        <w:spacing w:after="0" w:line="171"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Traditional automobile finance companies, such as banks, their subsidiaries, credit unions and captive finance subsidiaries of automobile manufacturers, generally lend to the most creditworthy, or so-called prime, borrowers, although some traditional lenders are significant participants in the sub-prime segment in which we operate. Historically, independent companies specializing in sub-prime automobile financing and subsidiaries of larger financial services companies have competed in the sub-prime segment which we believe remains highly fragmented, with no single company having a dominant position in the market.</w:t>
      </w:r>
    </w:p>
    <w:p>
      <w:pPr>
        <w:spacing w:after="0" w:line="188"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Economic conditions of uncertainty have from time to time negatively affected our industry. Notably, and most recently, throughout 2008 and 2009 there was reduced demand for asset-backed securities secured by consumer finance receivables, including sub-prime automobile receivables. Over roughly that same period, lenders who previously provided short-term warehouse financing for sub-prime automobile finance companies such as ours were reluctant to provide such short-term financing due to the uncertainty regarding the prospects of obtaining long-term financing through the issuance of asset-backed securities. In addition, many capital market participants such as investment banks, financial guaranty providers and institutional investors who previously played a role in the sub-prime auto finance industry withdrew from the industry, or in some cases, ceased to do business. Finally, broad economic weakness and high levels of unemployment during 2008, 2009 and thereafter caused many of the obligors under our receivables to be less willing or able to pay, resulting in higher delinquencies, charge-offs and losses. Each of these factors adversely affected our results of operations in the period 2008 through 2011. Since October 2009, however, improvements in the capital markets have allowed us to obtain new short-term credit facilities, and to regularly access long-term funding.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w:t>
      </w:r>
    </w:p>
    <w:p>
      <w:pPr>
        <w:spacing w:after="0" w:line="225"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Our automobile financing programs are designed to serve sub-prime customers, who generally have limited credit histories, low incomes or past credit problems. Because we serve customers who are unable to meet certain credit standards, we incur greater risks, and generally receive interest rates higher than those charged in the prime credit market. We also sustain a higher level of credit losses because of the higher risk customers we serve.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When a retail automobile buyer elects to obtain financing from a dealer, the dealer takes a credit application to submit to its financing sources. Typically, a dealer will submit the buyer's application to more than one financing source for review. We believe the dealer’s decision to choose a financing source is based primarily on: (i) the monthly payment made available to the dealer's customer; (ii) the purchase price offered to the dealer for the automobile contract; (iii) the timeliness, consistency and predictability of response; (iv) funding turnaround time; (v) any conditions to purchase; and (vi) the financial stability of the financing source. Dealers can send credit applications to us by entering the necessary data on our website or through one of several third-party application aggregators. For the year ended December 31, 2014, we received approximately 78% of all applications through DealerTrack (the industry leading dealership application aggregator), 4% via our website and 18% via another aggregator. Our automated application decisioning system produced our initial decision within minutes on approximately 99% of those applications.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ind w:right="120" w:firstLine="648"/>
        <w:spacing w:after="0" w:line="259" w:lineRule="auto"/>
        <w:rPr>
          <w:sz w:val="20"/>
          <w:szCs w:val="20"/>
          <w:color w:val="auto"/>
        </w:rPr>
      </w:pPr>
      <w:r>
        <w:rPr>
          <w:rFonts w:ascii="Arial" w:cs="Arial" w:eastAsia="Arial" w:hAnsi="Arial"/>
          <w:sz w:val="18"/>
          <w:szCs w:val="18"/>
          <w:color w:val="auto"/>
        </w:rPr>
        <w:t>Upon receipt of information from a dealer, we immediately order two credit reports to document the buyer's credit history. If, upon review by our proprietary automated decisioning system, or in some cases, one of our credit analysts, we determine that the automobile contract meets our underwriting criteria, or would meet such criteria with modification, we request and review further information from the dealer and, ultimately, decide whether to approve the automobile contract for purchase.</w:t>
      </w:r>
    </w:p>
    <w:p>
      <w:pPr>
        <w:spacing w:after="0" w:line="187"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Dealers with which we do business are under no obligation to submit any automobile contracts to us, nor are we obligated to purchase any automobile contracts from them. During the year ended December 31, 2014, no dealer accounted for more than 0.40% of the total number of automobile contracts we purchased. The following table sets forth the geographical sources of the automobile contracts we purchased (based on the addresses of the customers as stated on our records) during the years ended December 31, 2014 and 2013.</w:t>
      </w:r>
    </w:p>
    <w:p>
      <w:pPr>
        <w:spacing w:after="0" w:line="181"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3"/>
              </w:rPr>
              <w:t>Contracts Purchased During the Year Ended</w:t>
            </w:r>
          </w:p>
        </w:tc>
        <w:tc>
          <w:tcPr>
            <w:tcW w:w="1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3180" w:type="dxa"/>
            <w:vAlign w:val="bottom"/>
            <w:gridSpan w:val="5"/>
          </w:tcPr>
          <w:p>
            <w:pPr>
              <w:jc w:val="right"/>
              <w:ind w:right="930"/>
              <w:spacing w:after="0"/>
              <w:rPr>
                <w:sz w:val="20"/>
                <w:szCs w:val="20"/>
                <w:color w:val="auto"/>
              </w:rPr>
            </w:pPr>
            <w:r>
              <w:rPr>
                <w:rFonts w:ascii="Arial" w:cs="Arial" w:eastAsia="Arial" w:hAnsi="Arial"/>
                <w:sz w:val="18"/>
                <w:szCs w:val="18"/>
                <w:b w:val="1"/>
                <w:bCs w:val="1"/>
                <w:color w:val="auto"/>
              </w:rPr>
              <w:t>December 31, 2014</w:t>
            </w:r>
          </w:p>
        </w:tc>
        <w:tc>
          <w:tcPr>
            <w:tcW w:w="29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 2013</w:t>
            </w:r>
          </w:p>
        </w:tc>
        <w:tc>
          <w:tcPr>
            <w:tcW w:w="180" w:type="dxa"/>
            <w:vAlign w:val="bottom"/>
          </w:tcPr>
          <w:p>
            <w:pPr>
              <w:spacing w:after="0"/>
              <w:rPr>
                <w:sz w:val="19"/>
                <w:szCs w:val="19"/>
                <w:color w:val="auto"/>
              </w:rPr>
            </w:pPr>
          </w:p>
        </w:tc>
      </w:tr>
      <w:tr>
        <w:trPr>
          <w:trHeight w:val="223"/>
        </w:trPr>
        <w:tc>
          <w:tcPr>
            <w:tcW w:w="3500" w:type="dxa"/>
            <w:vAlign w:val="bottom"/>
            <w:tcBorders>
              <w:bottom w:val="single" w:sz="8" w:color="EEEEEE"/>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Number</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280" w:type="dxa"/>
            <w:vAlign w:val="bottom"/>
            <w:tcBorders>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EEEEEE"/>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Percent (1)</w:t>
            </w:r>
          </w:p>
        </w:tc>
        <w:tc>
          <w:tcPr>
            <w:tcW w:w="180" w:type="dxa"/>
            <w:vAlign w:val="bottom"/>
            <w:tcBorders>
              <w:bottom w:val="single" w:sz="8" w:color="EEEEEE"/>
            </w:tcBorders>
          </w:tcPr>
          <w:p>
            <w:pPr>
              <w:spacing w:after="0"/>
              <w:rPr>
                <w:sz w:val="19"/>
                <w:szCs w:val="19"/>
                <w:color w:val="auto"/>
              </w:rPr>
            </w:pPr>
          </w:p>
        </w:tc>
      </w:tr>
      <w:tr>
        <w:trPr>
          <w:trHeight w:val="210"/>
        </w:trPr>
        <w:tc>
          <w:tcPr>
            <w:tcW w:w="3500" w:type="dxa"/>
            <w:vAlign w:val="bottom"/>
            <w:shd w:val="clear" w:color="auto" w:fill="EEEEEE"/>
          </w:tcPr>
          <w:p>
            <w:pPr>
              <w:spacing w:after="0"/>
              <w:rPr>
                <w:sz w:val="20"/>
                <w:szCs w:val="20"/>
                <w:color w:val="auto"/>
              </w:rPr>
            </w:pPr>
            <w:r>
              <w:rPr>
                <w:rFonts w:ascii="Arial" w:cs="Arial" w:eastAsia="Arial" w:hAnsi="Arial"/>
                <w:sz w:val="18"/>
                <w:szCs w:val="18"/>
                <w:color w:val="333333"/>
              </w:rPr>
              <w:t>Texas</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5,926</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10.0%</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4,910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333333"/>
              </w:rPr>
              <w:t>California</w:t>
            </w:r>
          </w:p>
        </w:tc>
        <w:tc>
          <w:tcPr>
            <w:tcW w:w="1320" w:type="dxa"/>
            <w:vAlign w:val="bottom"/>
          </w:tcPr>
          <w:p>
            <w:pPr>
              <w:jc w:val="right"/>
              <w:spacing w:after="0"/>
              <w:rPr>
                <w:sz w:val="20"/>
                <w:szCs w:val="20"/>
                <w:color w:val="auto"/>
              </w:rPr>
            </w:pPr>
            <w:r>
              <w:rPr>
                <w:rFonts w:ascii="Arial" w:cs="Arial" w:eastAsia="Arial" w:hAnsi="Arial"/>
                <w:sz w:val="18"/>
                <w:szCs w:val="18"/>
                <w:color w:val="auto"/>
              </w:rPr>
              <w:t>5,163</w:t>
            </w:r>
          </w:p>
        </w:tc>
        <w:tc>
          <w:tcPr>
            <w:tcW w:w="1860" w:type="dxa"/>
            <w:vAlign w:val="bottom"/>
            <w:gridSpan w:val="4"/>
          </w:tcPr>
          <w:p>
            <w:pPr>
              <w:jc w:val="right"/>
              <w:ind w:right="50"/>
              <w:spacing w:after="0"/>
              <w:rPr>
                <w:sz w:val="20"/>
                <w:szCs w:val="20"/>
                <w:color w:val="auto"/>
              </w:rPr>
            </w:pPr>
            <w:r>
              <w:rPr>
                <w:rFonts w:ascii="Arial" w:cs="Arial" w:eastAsia="Arial" w:hAnsi="Arial"/>
                <w:sz w:val="18"/>
                <w:szCs w:val="18"/>
                <w:color w:val="auto"/>
              </w:rPr>
              <w:t>8.7%</w:t>
            </w:r>
          </w:p>
        </w:tc>
        <w:tc>
          <w:tcPr>
            <w:tcW w:w="1360" w:type="dxa"/>
            <w:vAlign w:val="bottom"/>
          </w:tcPr>
          <w:p>
            <w:pPr>
              <w:jc w:val="right"/>
              <w:spacing w:after="0"/>
              <w:rPr>
                <w:sz w:val="20"/>
                <w:szCs w:val="20"/>
                <w:color w:val="auto"/>
              </w:rPr>
            </w:pPr>
            <w:r>
              <w:rPr>
                <w:rFonts w:ascii="Arial" w:cs="Arial" w:eastAsia="Arial" w:hAnsi="Arial"/>
                <w:sz w:val="18"/>
                <w:szCs w:val="18"/>
                <w:color w:val="auto"/>
              </w:rPr>
              <w:t>5,175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3500" w:type="dxa"/>
            <w:vAlign w:val="bottom"/>
            <w:shd w:val="clear" w:color="auto" w:fill="EEEEEE"/>
          </w:tcPr>
          <w:p>
            <w:pPr>
              <w:spacing w:after="0"/>
              <w:rPr>
                <w:sz w:val="20"/>
                <w:szCs w:val="20"/>
                <w:color w:val="auto"/>
              </w:rPr>
            </w:pPr>
            <w:r>
              <w:rPr>
                <w:rFonts w:ascii="Arial" w:cs="Arial" w:eastAsia="Arial" w:hAnsi="Arial"/>
                <w:sz w:val="18"/>
                <w:szCs w:val="18"/>
                <w:color w:val="333333"/>
              </w:rPr>
              <w:t>Ohio</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3,379</w:t>
            </w:r>
          </w:p>
        </w:tc>
        <w:tc>
          <w:tcPr>
            <w:tcW w:w="1860" w:type="dxa"/>
            <w:vAlign w:val="bottom"/>
            <w:gridSpan w:val="4"/>
            <w:shd w:val="clear" w:color="auto" w:fill="EEEEEE"/>
          </w:tcPr>
          <w:p>
            <w:pPr>
              <w:jc w:val="right"/>
              <w:ind w:right="50"/>
              <w:spacing w:after="0"/>
              <w:rPr>
                <w:sz w:val="20"/>
                <w:szCs w:val="20"/>
                <w:color w:val="auto"/>
              </w:rPr>
            </w:pPr>
            <w:r>
              <w:rPr>
                <w:rFonts w:ascii="Arial" w:cs="Arial" w:eastAsia="Arial" w:hAnsi="Arial"/>
                <w:sz w:val="18"/>
                <w:szCs w:val="18"/>
                <w:color w:val="auto"/>
              </w:rPr>
              <w:t>5.7%</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2,337</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333333"/>
              </w:rPr>
              <w:t>New Jersey</w:t>
            </w:r>
          </w:p>
        </w:tc>
        <w:tc>
          <w:tcPr>
            <w:tcW w:w="1320" w:type="dxa"/>
            <w:vAlign w:val="bottom"/>
          </w:tcPr>
          <w:p>
            <w:pPr>
              <w:jc w:val="right"/>
              <w:spacing w:after="0"/>
              <w:rPr>
                <w:sz w:val="20"/>
                <w:szCs w:val="20"/>
                <w:color w:val="auto"/>
              </w:rPr>
            </w:pPr>
            <w:r>
              <w:rPr>
                <w:rFonts w:ascii="Arial" w:cs="Arial" w:eastAsia="Arial" w:hAnsi="Arial"/>
                <w:sz w:val="18"/>
                <w:szCs w:val="18"/>
                <w:color w:val="auto"/>
              </w:rPr>
              <w:t>2,996</w:t>
            </w:r>
          </w:p>
        </w:tc>
        <w:tc>
          <w:tcPr>
            <w:tcW w:w="1860" w:type="dxa"/>
            <w:vAlign w:val="bottom"/>
            <w:gridSpan w:val="4"/>
          </w:tcPr>
          <w:p>
            <w:pPr>
              <w:jc w:val="right"/>
              <w:ind w:right="50"/>
              <w:spacing w:after="0"/>
              <w:rPr>
                <w:sz w:val="20"/>
                <w:szCs w:val="20"/>
                <w:color w:val="auto"/>
              </w:rPr>
            </w:pPr>
            <w:r>
              <w:rPr>
                <w:rFonts w:ascii="Arial" w:cs="Arial" w:eastAsia="Arial" w:hAnsi="Arial"/>
                <w:sz w:val="18"/>
                <w:szCs w:val="18"/>
                <w:color w:val="auto"/>
              </w:rPr>
              <w:t>5.1%</w:t>
            </w:r>
          </w:p>
        </w:tc>
        <w:tc>
          <w:tcPr>
            <w:tcW w:w="1360" w:type="dxa"/>
            <w:vAlign w:val="bottom"/>
          </w:tcPr>
          <w:p>
            <w:pPr>
              <w:jc w:val="right"/>
              <w:spacing w:after="0"/>
              <w:rPr>
                <w:sz w:val="20"/>
                <w:szCs w:val="20"/>
                <w:color w:val="auto"/>
              </w:rPr>
            </w:pPr>
            <w:r>
              <w:rPr>
                <w:rFonts w:ascii="Arial" w:cs="Arial" w:eastAsia="Arial" w:hAnsi="Arial"/>
                <w:sz w:val="18"/>
                <w:szCs w:val="18"/>
                <w:color w:val="auto"/>
              </w:rPr>
              <w:t>2,479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500" w:type="dxa"/>
            <w:vAlign w:val="bottom"/>
            <w:shd w:val="clear" w:color="auto" w:fill="EEEEEE"/>
          </w:tcPr>
          <w:p>
            <w:pPr>
              <w:spacing w:after="0"/>
              <w:rPr>
                <w:sz w:val="20"/>
                <w:szCs w:val="20"/>
                <w:color w:val="auto"/>
              </w:rPr>
            </w:pPr>
            <w:r>
              <w:rPr>
                <w:rFonts w:ascii="Arial" w:cs="Arial" w:eastAsia="Arial" w:hAnsi="Arial"/>
                <w:sz w:val="18"/>
                <w:szCs w:val="18"/>
                <w:color w:val="333333"/>
              </w:rPr>
              <w:t>Florida</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2,951</w:t>
            </w:r>
          </w:p>
        </w:tc>
        <w:tc>
          <w:tcPr>
            <w:tcW w:w="1860" w:type="dxa"/>
            <w:vAlign w:val="bottom"/>
            <w:gridSpan w:val="4"/>
            <w:shd w:val="clear" w:color="auto" w:fill="EEEEEE"/>
          </w:tcPr>
          <w:p>
            <w:pPr>
              <w:jc w:val="right"/>
              <w:ind w:right="50"/>
              <w:spacing w:after="0"/>
              <w:rPr>
                <w:sz w:val="20"/>
                <w:szCs w:val="20"/>
                <w:color w:val="auto"/>
              </w:rPr>
            </w:pPr>
            <w:r>
              <w:rPr>
                <w:rFonts w:ascii="Arial" w:cs="Arial" w:eastAsia="Arial" w:hAnsi="Arial"/>
                <w:sz w:val="18"/>
                <w:szCs w:val="18"/>
                <w:color w:val="auto"/>
              </w:rPr>
              <w:t>5.0%</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333333"/>
              </w:rPr>
              <w:t>Pennsylvania</w:t>
            </w:r>
          </w:p>
        </w:tc>
        <w:tc>
          <w:tcPr>
            <w:tcW w:w="1320" w:type="dxa"/>
            <w:vAlign w:val="bottom"/>
          </w:tcPr>
          <w:p>
            <w:pPr>
              <w:jc w:val="right"/>
              <w:spacing w:after="0"/>
              <w:rPr>
                <w:sz w:val="20"/>
                <w:szCs w:val="20"/>
                <w:color w:val="auto"/>
              </w:rPr>
            </w:pPr>
            <w:r>
              <w:rPr>
                <w:rFonts w:ascii="Arial" w:cs="Arial" w:eastAsia="Arial" w:hAnsi="Arial"/>
                <w:sz w:val="18"/>
                <w:szCs w:val="18"/>
                <w:color w:val="auto"/>
              </w:rPr>
              <w:t>2,855</w:t>
            </w:r>
          </w:p>
        </w:tc>
        <w:tc>
          <w:tcPr>
            <w:tcW w:w="1860" w:type="dxa"/>
            <w:vAlign w:val="bottom"/>
            <w:gridSpan w:val="4"/>
          </w:tcPr>
          <w:p>
            <w:pPr>
              <w:jc w:val="right"/>
              <w:ind w:right="50"/>
              <w:spacing w:after="0"/>
              <w:rPr>
                <w:sz w:val="20"/>
                <w:szCs w:val="20"/>
                <w:color w:val="auto"/>
              </w:rPr>
            </w:pPr>
            <w:r>
              <w:rPr>
                <w:rFonts w:ascii="Arial" w:cs="Arial" w:eastAsia="Arial" w:hAnsi="Arial"/>
                <w:sz w:val="18"/>
                <w:szCs w:val="18"/>
                <w:color w:val="auto"/>
              </w:rPr>
              <w:t>4.8%</w:t>
            </w:r>
          </w:p>
        </w:tc>
        <w:tc>
          <w:tcPr>
            <w:tcW w:w="1360" w:type="dxa"/>
            <w:vAlign w:val="bottom"/>
          </w:tcPr>
          <w:p>
            <w:pPr>
              <w:jc w:val="right"/>
              <w:spacing w:after="0"/>
              <w:rPr>
                <w:sz w:val="20"/>
                <w:szCs w:val="20"/>
                <w:color w:val="auto"/>
              </w:rPr>
            </w:pPr>
            <w:r>
              <w:rPr>
                <w:rFonts w:ascii="Arial" w:cs="Arial" w:eastAsia="Arial" w:hAnsi="Arial"/>
                <w:sz w:val="18"/>
                <w:szCs w:val="18"/>
                <w:color w:val="auto"/>
              </w:rPr>
              <w:t>2,962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3500" w:type="dxa"/>
            <w:vAlign w:val="bottom"/>
            <w:shd w:val="clear" w:color="auto" w:fill="EEEEEE"/>
          </w:tcPr>
          <w:p>
            <w:pPr>
              <w:spacing w:after="0"/>
              <w:rPr>
                <w:sz w:val="20"/>
                <w:szCs w:val="20"/>
                <w:color w:val="auto"/>
              </w:rPr>
            </w:pPr>
            <w:r>
              <w:rPr>
                <w:rFonts w:ascii="Arial" w:cs="Arial" w:eastAsia="Arial" w:hAnsi="Arial"/>
                <w:sz w:val="18"/>
                <w:szCs w:val="18"/>
                <w:color w:val="333333"/>
              </w:rPr>
              <w:t>Other States</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36,006</w:t>
            </w:r>
          </w:p>
        </w:tc>
        <w:tc>
          <w:tcPr>
            <w:tcW w:w="1860" w:type="dxa"/>
            <w:vAlign w:val="bottom"/>
            <w:gridSpan w:val="4"/>
            <w:shd w:val="clear" w:color="auto" w:fill="EEEEEE"/>
          </w:tcPr>
          <w:p>
            <w:pPr>
              <w:jc w:val="right"/>
              <w:ind w:right="50"/>
              <w:spacing w:after="0"/>
              <w:rPr>
                <w:sz w:val="20"/>
                <w:szCs w:val="20"/>
                <w:color w:val="auto"/>
              </w:rPr>
            </w:pPr>
            <w:r>
              <w:rPr>
                <w:rFonts w:ascii="Arial" w:cs="Arial" w:eastAsia="Arial" w:hAnsi="Arial"/>
                <w:sz w:val="18"/>
                <w:szCs w:val="18"/>
                <w:color w:val="auto"/>
              </w:rPr>
              <w:t>60.7%</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28,902</w:t>
            </w: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59.0%</w:t>
            </w:r>
          </w:p>
        </w:tc>
      </w:tr>
      <w:tr>
        <w:trPr>
          <w:trHeight w:val="223"/>
        </w:trPr>
        <w:tc>
          <w:tcPr>
            <w:tcW w:w="3500" w:type="dxa"/>
            <w:vAlign w:val="bottom"/>
          </w:tcPr>
          <w:p>
            <w:pPr>
              <w:ind w:left="1500"/>
              <w:spacing w:after="0"/>
              <w:rPr>
                <w:sz w:val="20"/>
                <w:szCs w:val="20"/>
                <w:color w:val="auto"/>
              </w:rPr>
            </w:pPr>
            <w:r>
              <w:rPr>
                <w:rFonts w:ascii="Arial" w:cs="Arial" w:eastAsia="Arial" w:hAnsi="Arial"/>
                <w:sz w:val="18"/>
                <w:szCs w:val="18"/>
                <w:color w:val="333333"/>
              </w:rPr>
              <w:t>Total</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33333"/>
              </w:rPr>
              <w:t>59,276</w:t>
            </w: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33333"/>
              </w:rPr>
              <w:t>48,995</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5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geographic concentrations of our outstanding managed portfolio as of December 31, 2014 and 2013.</w:t>
      </w:r>
    </w:p>
    <w:p>
      <w:pPr>
        <w:spacing w:after="0" w:line="235"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3"/>
          </w:tcPr>
          <w:p>
            <w:pPr>
              <w:ind w:left="500"/>
              <w:spacing w:after="0"/>
              <w:rPr>
                <w:sz w:val="20"/>
                <w:szCs w:val="20"/>
                <w:color w:val="auto"/>
              </w:rPr>
            </w:pPr>
            <w:r>
              <w:rPr>
                <w:rFonts w:ascii="Arial" w:cs="Arial" w:eastAsia="Arial" w:hAnsi="Arial"/>
                <w:sz w:val="18"/>
                <w:szCs w:val="18"/>
                <w:b w:val="1"/>
                <w:bCs w:val="1"/>
                <w:color w:val="auto"/>
                <w:w w:val="97"/>
              </w:rPr>
              <w:t>December 31, 2014</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23"/>
        </w:trPr>
        <w:tc>
          <w:tcPr>
            <w:tcW w:w="3240" w:type="dxa"/>
            <w:vAlign w:val="bottom"/>
            <w:vMerge w:val="restart"/>
          </w:tcPr>
          <w:p>
            <w:pPr>
              <w:ind w:left="400"/>
              <w:spacing w:after="0"/>
              <w:rPr>
                <w:sz w:val="20"/>
                <w:szCs w:val="20"/>
                <w:color w:val="auto"/>
              </w:rPr>
            </w:pPr>
            <w:r>
              <w:rPr>
                <w:rFonts w:ascii="Arial" w:cs="Arial" w:eastAsia="Arial" w:hAnsi="Arial"/>
                <w:sz w:val="18"/>
                <w:szCs w:val="18"/>
                <w:b w:val="1"/>
                <w:bCs w:val="1"/>
                <w:color w:val="auto"/>
                <w:w w:val="94"/>
              </w:rPr>
              <w:t>State based on obligor's residence</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 (1)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40" w:type="dxa"/>
            <w:vAlign w:val="bottom"/>
            <w:gridSpan w:val="6"/>
          </w:tcPr>
          <w:p>
            <w:pPr>
              <w:ind w:left="200"/>
              <w:spacing w:after="0"/>
              <w:rPr>
                <w:sz w:val="20"/>
                <w:szCs w:val="20"/>
                <w:color w:val="auto"/>
              </w:rPr>
            </w:pPr>
            <w:r>
              <w:rPr>
                <w:rFonts w:ascii="Arial" w:cs="Arial" w:eastAsia="Arial" w:hAnsi="Arial"/>
                <w:sz w:val="18"/>
                <w:szCs w:val="18"/>
                <w:b w:val="1"/>
                <w:bCs w:val="1"/>
                <w:color w:val="auto"/>
              </w:rPr>
              <w:t>($ in millions)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California</w:t>
            </w:r>
          </w:p>
        </w:tc>
        <w:tc>
          <w:tcPr>
            <w:tcW w:w="48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178.8</w:t>
            </w:r>
          </w:p>
        </w:tc>
        <w:tc>
          <w:tcPr>
            <w:tcW w:w="2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30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164.2</w:t>
            </w:r>
          </w:p>
        </w:tc>
        <w:tc>
          <w:tcPr>
            <w:tcW w:w="2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Texas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123.3</w:t>
            </w:r>
          </w:p>
        </w:tc>
        <w:tc>
          <w:tcPr>
            <w:tcW w:w="2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Georgia</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83.4</w:t>
            </w:r>
          </w:p>
        </w:tc>
        <w:tc>
          <w:tcPr>
            <w:tcW w:w="2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65.8</w:t>
            </w:r>
          </w:p>
        </w:tc>
        <w:tc>
          <w:tcPr>
            <w:tcW w:w="2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Pennsylvania</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82.5</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Ohio</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81.8</w:t>
            </w:r>
          </w:p>
        </w:tc>
        <w:tc>
          <w:tcPr>
            <w:tcW w:w="2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All others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1,050.6</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749.0</w:t>
            </w:r>
          </w:p>
        </w:tc>
        <w:tc>
          <w:tcPr>
            <w:tcW w:w="2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3240" w:type="dxa"/>
            <w:vAlign w:val="bottom"/>
            <w:tcBorders>
              <w:top w:val="single" w:sz="8" w:color="EEEEEE"/>
              <w:bottom w:val="single" w:sz="8" w:color="EEEEEE"/>
            </w:tcBorders>
            <w:shd w:val="clear" w:color="auto" w:fill="EEEEEE"/>
          </w:tcPr>
          <w:p>
            <w:pPr>
              <w:ind w:left="150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1,643.9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780" w:type="dxa"/>
            <w:vAlign w:val="bottom"/>
            <w:tcBorders>
              <w:top w:val="single" w:sz="8" w:color="auto"/>
              <w:bottom w:val="single" w:sz="8" w:color="auto"/>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1,231.4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58"/>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purchase automobile contracts from dealers at a price generally computed as the total amount financed under the automobile contracts, adjusted for an acquisition fee, which may either increase or decrease the automobile contract purchase price we pay. The amount of the acquisition fee, and whether it results in an increase or decrease to the automobile contract purchase price, is based on the perceived credit risk of and, in some cases, the interest rate on the automobile contract. The following table summarizes the average net acquisition fees we charged dealers and the weighted average annual percentage rate on our purchased contracts for the periods shown: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Average net acquisition fee amount</w:t>
            </w:r>
          </w:p>
        </w:tc>
        <w:tc>
          <w:tcPr>
            <w:tcW w:w="116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162</w:t>
            </w: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418</w:t>
            </w:r>
          </w:p>
        </w:tc>
        <w:tc>
          <w:tcPr>
            <w:tcW w:w="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836</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1,155</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8"/>
              </w:rPr>
              <w:t>Average net acquisition fee as % of amount financed</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annual percentage interest rate</w:t>
            </w:r>
          </w:p>
        </w:tc>
        <w:tc>
          <w:tcPr>
            <w:tcW w:w="4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3"/>
              </w:rPr>
              <w:t>19.6%</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5" w:name="page6"/>
    <w:bookmarkEnd w:id="5"/>
    <w:p>
      <w:pPr>
        <w:ind w:right="20" w:firstLine="648"/>
        <w:spacing w:after="0" w:line="308" w:lineRule="auto"/>
        <w:rPr>
          <w:sz w:val="20"/>
          <w:szCs w:val="20"/>
          <w:color w:val="auto"/>
        </w:rPr>
      </w:pPr>
      <w:r>
        <w:rPr>
          <w:rFonts w:ascii="Arial" w:cs="Arial" w:eastAsia="Arial" w:hAnsi="Arial"/>
          <w:sz w:val="17"/>
          <w:szCs w:val="17"/>
          <w:color w:val="auto"/>
        </w:rPr>
        <w:t>We believe that levels of acquisition fees are determined partially by competition in the marketplace, which has increased over the periods presented, and also by our pricing strategy. Our pricing strategy is driven by our objectives for new contract purchase quantities and yield.</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offer seven different financing programs to our dealership customers, and price each program according to the relative credit risk. Our programs cover a wide band of the credit spectrum and are labeled as follows:</w:t>
      </w:r>
    </w:p>
    <w:p>
      <w:pPr>
        <w:spacing w:after="0" w:line="170" w:lineRule="exact"/>
        <w:rPr>
          <w:sz w:val="20"/>
          <w:szCs w:val="20"/>
          <w:color w:val="auto"/>
        </w:rPr>
      </w:pPr>
    </w:p>
    <w:p>
      <w:pPr>
        <w:ind w:left="660" w:right="220" w:firstLine="648"/>
        <w:spacing w:after="0" w:line="312" w:lineRule="auto"/>
        <w:rPr>
          <w:sz w:val="20"/>
          <w:szCs w:val="20"/>
          <w:color w:val="auto"/>
        </w:rPr>
      </w:pPr>
      <w:r>
        <w:rPr>
          <w:rFonts w:ascii="Arial" w:cs="Arial" w:eastAsia="Arial" w:hAnsi="Arial"/>
          <w:sz w:val="16"/>
          <w:szCs w:val="16"/>
          <w:u w:val="single" w:color="auto"/>
          <w:color w:val="auto"/>
        </w:rPr>
        <w:t>First Time Buyer</w:t>
      </w:r>
      <w:r>
        <w:rPr>
          <w:rFonts w:ascii="Arial" w:cs="Arial" w:eastAsia="Arial" w:hAnsi="Arial"/>
          <w:sz w:val="16"/>
          <w:szCs w:val="16"/>
          <w:color w:val="auto"/>
        </w:rPr>
        <w:t xml:space="preserve"> – This program accommodates an applicant who has limited significant past credit history, such as a previous auto loan. Since the applicant has limited credit history, the contract interest rate and dealer acquisition fees tend to be higher, and the loan amount, loan-to-value ratio, down payment and payment-to-income ratio requirements tend to be more restrictive compared to our other programs.</w:t>
      </w:r>
    </w:p>
    <w:p>
      <w:pPr>
        <w:spacing w:after="0" w:line="147" w:lineRule="exact"/>
        <w:rPr>
          <w:sz w:val="20"/>
          <w:szCs w:val="20"/>
          <w:color w:val="auto"/>
        </w:rPr>
      </w:pPr>
    </w:p>
    <w:p>
      <w:pPr>
        <w:ind w:left="660" w:right="180" w:firstLine="648"/>
        <w:spacing w:after="0" w:line="286" w:lineRule="auto"/>
        <w:rPr>
          <w:sz w:val="20"/>
          <w:szCs w:val="20"/>
          <w:color w:val="auto"/>
        </w:rPr>
      </w:pPr>
      <w:r>
        <w:rPr>
          <w:rFonts w:ascii="Arial" w:cs="Arial" w:eastAsia="Arial" w:hAnsi="Arial"/>
          <w:sz w:val="17"/>
          <w:szCs w:val="17"/>
          <w:u w:val="single" w:color="auto"/>
          <w:color w:val="auto"/>
        </w:rPr>
        <w:t>Mercury / Delta</w:t>
      </w:r>
      <w:r>
        <w:rPr>
          <w:rFonts w:ascii="Arial" w:cs="Arial" w:eastAsia="Arial" w:hAnsi="Arial"/>
          <w:sz w:val="17"/>
          <w:szCs w:val="17"/>
          <w:color w:val="auto"/>
        </w:rPr>
        <w:t xml:space="preserve"> – This program accommodates an applicant who may have had significant past non-performing credit including recent derogatory credit. As a result, the contract interest rate and dealer acquisition fees tend to be higher, and the loan amount, loan-to-value ratio, down payment, and payment-to-income ratio requirements tend to be more restrictive compared to our other programs.</w:t>
      </w:r>
    </w:p>
    <w:p>
      <w:pPr>
        <w:spacing w:after="0" w:line="166" w:lineRule="exact"/>
        <w:rPr>
          <w:sz w:val="20"/>
          <w:szCs w:val="20"/>
          <w:color w:val="auto"/>
        </w:rPr>
      </w:pPr>
    </w:p>
    <w:p>
      <w:pPr>
        <w:ind w:left="660" w:right="400" w:firstLine="648"/>
        <w:spacing w:after="0" w:line="286" w:lineRule="auto"/>
        <w:rPr>
          <w:sz w:val="20"/>
          <w:szCs w:val="20"/>
          <w:color w:val="auto"/>
        </w:rPr>
      </w:pPr>
      <w:r>
        <w:rPr>
          <w:rFonts w:ascii="Arial" w:cs="Arial" w:eastAsia="Arial" w:hAnsi="Arial"/>
          <w:sz w:val="17"/>
          <w:szCs w:val="17"/>
          <w:u w:val="single" w:color="auto"/>
          <w:color w:val="auto"/>
        </w:rPr>
        <w:t>Standard</w:t>
      </w:r>
      <w:r>
        <w:rPr>
          <w:rFonts w:ascii="Arial" w:cs="Arial" w:eastAsia="Arial" w:hAnsi="Arial"/>
          <w:sz w:val="17"/>
          <w:szCs w:val="17"/>
          <w:color w:val="auto"/>
        </w:rPr>
        <w:t xml:space="preserve"> – This program accommodates an applicant who may have significant past non-performing credit, but who has also exhibited some performing credit in their history. The contract interest rate and dealer acquisition fees are comparable to the First Time Buyer and Mercury/Delta programs, but the loan amount and loan-to-value ratio requirements are somewhat less restrictive.</w:t>
      </w:r>
    </w:p>
    <w:p>
      <w:pPr>
        <w:spacing w:after="0" w:line="166" w:lineRule="exact"/>
        <w:rPr>
          <w:sz w:val="20"/>
          <w:szCs w:val="20"/>
          <w:color w:val="auto"/>
        </w:rPr>
      </w:pPr>
    </w:p>
    <w:p>
      <w:pPr>
        <w:ind w:left="660" w:right="40" w:firstLine="648"/>
        <w:spacing w:after="0" w:line="312" w:lineRule="auto"/>
        <w:rPr>
          <w:sz w:val="20"/>
          <w:szCs w:val="20"/>
          <w:color w:val="auto"/>
        </w:rPr>
      </w:pPr>
      <w:r>
        <w:rPr>
          <w:rFonts w:ascii="Arial" w:cs="Arial" w:eastAsia="Arial" w:hAnsi="Arial"/>
          <w:sz w:val="16"/>
          <w:szCs w:val="16"/>
          <w:u w:val="single" w:color="auto"/>
          <w:color w:val="auto"/>
        </w:rPr>
        <w:t>Alpha</w:t>
      </w:r>
      <w:r>
        <w:rPr>
          <w:rFonts w:ascii="Arial" w:cs="Arial" w:eastAsia="Arial" w:hAnsi="Arial"/>
          <w:sz w:val="16"/>
          <w:szCs w:val="16"/>
          <w:color w:val="auto"/>
        </w:rPr>
        <w:t xml:space="preserve"> – This program accommodates applicants who may have a discharged bankruptcy, but who have also exhibited performing credit. In addition, the program allows for homeowners who may have had other significant non-performing credit in the past. The contract interest rate and dealer acquisition fees are lower than the Standard program, down payment and payment-to-income ratio requirements are somewhat less restrictive.</w:t>
      </w:r>
    </w:p>
    <w:p>
      <w:pPr>
        <w:spacing w:after="0" w:line="147" w:lineRule="exact"/>
        <w:rPr>
          <w:sz w:val="20"/>
          <w:szCs w:val="20"/>
          <w:color w:val="auto"/>
        </w:rPr>
      </w:pPr>
    </w:p>
    <w:p>
      <w:pPr>
        <w:ind w:left="660" w:right="160" w:firstLine="648"/>
        <w:spacing w:after="0" w:line="264" w:lineRule="auto"/>
        <w:rPr>
          <w:sz w:val="20"/>
          <w:szCs w:val="20"/>
          <w:color w:val="auto"/>
        </w:rPr>
      </w:pPr>
      <w:r>
        <w:rPr>
          <w:rFonts w:ascii="Arial" w:cs="Arial" w:eastAsia="Arial" w:hAnsi="Arial"/>
          <w:sz w:val="18"/>
          <w:szCs w:val="18"/>
          <w:u w:val="single" w:color="auto"/>
          <w:color w:val="auto"/>
        </w:rPr>
        <w:t>Alpha Plus</w:t>
      </w:r>
      <w:r>
        <w:rPr>
          <w:rFonts w:ascii="Arial" w:cs="Arial" w:eastAsia="Arial" w:hAnsi="Arial"/>
          <w:sz w:val="18"/>
          <w:szCs w:val="18"/>
          <w:color w:val="auto"/>
        </w:rPr>
        <w:t xml:space="preserve"> – This program accommodates applicants with past non-performing credit, but with a stronger history of recent performing credit, including auto or mortgage related credit, and higher incomes than the Alpha program. Contract interest rates and dealer acquisition fees are lower than the Alpha program.</w:t>
      </w:r>
    </w:p>
    <w:p>
      <w:pPr>
        <w:spacing w:after="0" w:line="181" w:lineRule="exact"/>
        <w:rPr>
          <w:sz w:val="20"/>
          <w:szCs w:val="20"/>
          <w:color w:val="auto"/>
        </w:rPr>
      </w:pPr>
    </w:p>
    <w:p>
      <w:pPr>
        <w:jc w:val="both"/>
        <w:ind w:left="660" w:right="380" w:firstLine="648"/>
        <w:spacing w:after="0" w:line="286" w:lineRule="auto"/>
        <w:rPr>
          <w:sz w:val="20"/>
          <w:szCs w:val="20"/>
          <w:color w:val="auto"/>
        </w:rPr>
      </w:pPr>
      <w:r>
        <w:rPr>
          <w:rFonts w:ascii="Arial" w:cs="Arial" w:eastAsia="Arial" w:hAnsi="Arial"/>
          <w:sz w:val="17"/>
          <w:szCs w:val="17"/>
          <w:u w:val="single" w:color="auto"/>
          <w:color w:val="auto"/>
        </w:rPr>
        <w:t>Super Alpha</w:t>
      </w:r>
      <w:r>
        <w:rPr>
          <w:rFonts w:ascii="Arial" w:cs="Arial" w:eastAsia="Arial" w:hAnsi="Arial"/>
          <w:sz w:val="17"/>
          <w:szCs w:val="17"/>
          <w:color w:val="auto"/>
        </w:rPr>
        <w:t xml:space="preserve"> – This program accommodates applicants with past non-performing credit, but with a somewhat stronger history of recent performing credit, including auto or mortgage related credit, and higher incomes than the Alpha Plus program. Contract interest rates and dealer acquisition fees are lower, and the maximum loan amount is somewhat higher, than the Alpha Plus program.</w:t>
      </w:r>
    </w:p>
    <w:p>
      <w:pPr>
        <w:spacing w:after="0" w:line="166" w:lineRule="exact"/>
        <w:rPr>
          <w:sz w:val="20"/>
          <w:szCs w:val="20"/>
          <w:color w:val="auto"/>
        </w:rPr>
      </w:pPr>
    </w:p>
    <w:p>
      <w:pPr>
        <w:ind w:left="660" w:right="120" w:firstLine="648"/>
        <w:spacing w:after="0" w:line="264" w:lineRule="auto"/>
        <w:rPr>
          <w:sz w:val="20"/>
          <w:szCs w:val="20"/>
          <w:color w:val="auto"/>
        </w:rPr>
      </w:pP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 This program accommodates applicants with past non-performing credit, but who demonstrate a somewhat stronger history of recent performing credit than the Super Alpha program. Contract interest rates and dealer acquisition fees are lower, and the maximum loan amount is somewhat higher than the Super Alpha program.</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upper credit tier products, which are our Preferred, Super Alpha, Alpha Plus and Alpha programs, accounted for approximately 74% of our new contract originations in 2014, 74% in 2013 and 72% in 2012, measured by aggregate amount financed.</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identifies the credit program, sorted from highest to lowest credit quality, under which we purchased automobile contracts during the years ended December 31, 2014, 2013, and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20" w:type="dxa"/>
            <w:vAlign w:val="bottom"/>
            <w:gridSpan w:val="10"/>
          </w:tcPr>
          <w:p>
            <w:pPr>
              <w:jc w:val="center"/>
              <w:ind w:left="890"/>
              <w:spacing w:after="0"/>
              <w:rPr>
                <w:sz w:val="20"/>
                <w:szCs w:val="20"/>
                <w:color w:val="auto"/>
              </w:rPr>
            </w:pPr>
            <w:r>
              <w:rPr>
                <w:rFonts w:ascii="Arial" w:cs="Arial" w:eastAsia="Arial" w:hAnsi="Arial"/>
                <w:sz w:val="18"/>
                <w:szCs w:val="18"/>
                <w:b w:val="1"/>
                <w:bCs w:val="1"/>
                <w:color w:val="auto"/>
                <w:w w:val="90"/>
              </w:rPr>
              <w:t>Contracts Purchased During the Year Ended (1)</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4"/>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December 31, 2014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0"/>
              </w:rPr>
              <w:t>December 31, 2013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 2012</w:t>
            </w:r>
          </w:p>
        </w:tc>
      </w:tr>
      <w:tr>
        <w:trPr>
          <w:trHeight w:val="191"/>
        </w:trPr>
        <w:tc>
          <w:tcPr>
            <w:tcW w:w="26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gridSpan w:val="4"/>
          </w:tcPr>
          <w:p>
            <w:pPr>
              <w:jc w:val="center"/>
              <w:ind w:right="29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6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Financed</w:t>
            </w:r>
          </w:p>
        </w:tc>
        <w:tc>
          <w:tcPr>
            <w:tcW w:w="220" w:type="dxa"/>
            <w:vAlign w:val="bottom"/>
            <w:tcBorders>
              <w:bottom w:val="single" w:sz="8" w:color="EEEEEE"/>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 (1)</w:t>
            </w:r>
          </w:p>
        </w:tc>
        <w:tc>
          <w:tcPr>
            <w:tcW w:w="200" w:type="dxa"/>
            <w:vAlign w:val="bottom"/>
            <w:tcBorders>
              <w:bottom w:val="single" w:sz="8" w:color="EEEEEE"/>
            </w:tcBorders>
          </w:tcPr>
          <w:p>
            <w:pPr>
              <w:spacing w:after="0"/>
              <w:rPr>
                <w:sz w:val="20"/>
                <w:szCs w:val="20"/>
                <w:color w:val="auto"/>
              </w:rPr>
            </w:pPr>
          </w:p>
        </w:tc>
        <w:tc>
          <w:tcPr>
            <w:tcW w:w="6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Financed</w:t>
            </w:r>
          </w:p>
        </w:tc>
        <w:tc>
          <w:tcPr>
            <w:tcW w:w="220" w:type="dxa"/>
            <w:vAlign w:val="bottom"/>
            <w:tcBorders>
              <w:bottom w:val="single" w:sz="8" w:color="EEEEEE"/>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 (1)</w:t>
            </w:r>
          </w:p>
        </w:tc>
        <w:tc>
          <w:tcPr>
            <w:tcW w:w="220" w:type="dxa"/>
            <w:vAlign w:val="bottom"/>
            <w:tcBorders>
              <w:bottom w:val="single" w:sz="8" w:color="EEEEEE"/>
            </w:tcBorders>
          </w:tcPr>
          <w:p>
            <w:pPr>
              <w:spacing w:after="0"/>
              <w:rPr>
                <w:sz w:val="20"/>
                <w:szCs w:val="20"/>
                <w:color w:val="auto"/>
              </w:rPr>
            </w:pPr>
          </w:p>
        </w:tc>
        <w:tc>
          <w:tcPr>
            <w:tcW w:w="6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Financed</w:t>
            </w:r>
          </w:p>
        </w:tc>
        <w:tc>
          <w:tcPr>
            <w:tcW w:w="220" w:type="dxa"/>
            <w:vAlign w:val="bottom"/>
            <w:tcBorders>
              <w:bottom w:val="single" w:sz="8" w:color="EEEEEE"/>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 (1)</w:t>
            </w:r>
          </w:p>
        </w:tc>
        <w:tc>
          <w:tcPr>
            <w:tcW w:w="160" w:type="dxa"/>
            <w:vAlign w:val="bottom"/>
            <w:tcBorders>
              <w:bottom w:val="single" w:sz="8" w:color="EEEEEE"/>
            </w:tcBorders>
            <w:gridSpan w:val="2"/>
          </w:tcPr>
          <w:p>
            <w:pPr>
              <w:spacing w:after="0"/>
              <w:rPr>
                <w:sz w:val="20"/>
                <w:szCs w:val="20"/>
                <w:color w:val="auto"/>
              </w:rPr>
            </w:pPr>
          </w:p>
        </w:tc>
      </w:tr>
      <w:tr>
        <w:trPr>
          <w:trHeight w:val="210"/>
        </w:trPr>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Preferred</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40,534</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25,135</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19,715</w:t>
            </w:r>
          </w:p>
        </w:tc>
        <w:tc>
          <w:tcPr>
            <w:tcW w:w="22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Super Alpha</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127,994</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116,551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95,303</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17.3%</w:t>
            </w:r>
          </w:p>
        </w:tc>
      </w:tr>
      <w:tr>
        <w:trPr>
          <w:trHeight w:val="216"/>
        </w:trPr>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Alpha Plus</w:t>
            </w:r>
          </w:p>
        </w:tc>
        <w:tc>
          <w:tcPr>
            <w:tcW w:w="18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137,337</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101,907</w:t>
            </w:r>
          </w:p>
        </w:tc>
        <w:tc>
          <w:tcPr>
            <w:tcW w:w="1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71,172</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Alpha</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395,858</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320,558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213,371</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38.7%</w:t>
            </w:r>
          </w:p>
        </w:tc>
      </w:tr>
      <w:tr>
        <w:trPr>
          <w:trHeight w:val="216"/>
        </w:trPr>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Standard</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90,412</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78,320</w:t>
            </w:r>
          </w:p>
        </w:tc>
        <w:tc>
          <w:tcPr>
            <w:tcW w:w="1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62,405</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11.3%</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Mercury / Delta</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89,075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66,656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52,077</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9.4%</w:t>
            </w:r>
          </w:p>
        </w:tc>
      </w:tr>
      <w:tr>
        <w:trPr>
          <w:trHeight w:val="230"/>
        </w:trPr>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First Time Buyer</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63,734</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54,960</w:t>
            </w:r>
          </w:p>
        </w:tc>
        <w:tc>
          <w:tcPr>
            <w:tcW w:w="1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37,699</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6.8%</w:t>
            </w:r>
          </w:p>
        </w:tc>
      </w:tr>
      <w:tr>
        <w:trPr>
          <w:trHeight w:val="223"/>
        </w:trPr>
        <w:tc>
          <w:tcPr>
            <w:tcW w:w="26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944,944</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764,087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551,742</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58"/>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ind w:right="40" w:firstLine="648"/>
        <w:spacing w:after="0" w:line="257" w:lineRule="auto"/>
        <w:rPr>
          <w:sz w:val="20"/>
          <w:szCs w:val="20"/>
          <w:color w:val="auto"/>
        </w:rPr>
      </w:pPr>
      <w:r>
        <w:rPr>
          <w:rFonts w:ascii="Arial" w:cs="Arial" w:eastAsia="Arial" w:hAnsi="Arial"/>
          <w:sz w:val="18"/>
          <w:szCs w:val="18"/>
          <w:color w:val="auto"/>
        </w:rPr>
        <w:t>We attempt to control misrepresentation regarding the customer's credit worthiness by carefully screening the automobile contracts we purchase, by establishing and maintaining professional business relationships with dealers, and by including certain representations and warranties by the dealer in the dealer agreement. Pursuant to the dealer agreement, we may require the dealer to repurchase any automobile contract in the event that the dealer breaches its representations or warranties. There can be no assurance, however, that any dealer will have the willingness or the financial resources to satisfy its repurchase obligations to us.</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addition to our purchases of installment contracts from dealers, we purchased from 2006 through 2008 an immaterial number of vehicle purchase money loans, evidenced by promissory notes and security agreements. A non-affiliated lender originated all such loans directly to vehicle purchasers, and sold the loans to us. We began financing vehicle purchases by lending money directly to consumers in January 2008, on terms similar to those that we offered through dealers, though without a down payment requirement and with more restrictive loan-to-value and credit score requirements. In October 2008 we suspended purchases of loans from other lenders and direct lending to consumers. There can be no assurance as to whether or not we will recommence these programs, the extent to which we may make such loans, or as to their future performance. In 2012, we initiated a program to make direct loans secured by automobiles to consumers who own their vehicles. As of December 31, 2014 our managed portfolio includes $2.7 million of such loans.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be eligible for purchase, we require that the automobile contract be originated by a dealer that has entered into a dealer agreement with us. The automobile contract must be secured by a first priority lien on a new or used automobile, light truck or passenger van and must meet our underwriting criteria. In addition, each automobile contract requires the customer to maintain physical damage insurance covering the financed vehicle and naming us as a loss payee. We may, nonetheless, suffer a loss upon theft or physical damage of any financed vehicle if the customer fails to maintain insurance as required by the automobile contract and is unable to pay for repairs to or replacement of the vehicle.</w:t>
      </w:r>
    </w:p>
    <w:p>
      <w:pPr>
        <w:spacing w:after="0" w:line="1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believe that our underwriting criteria enable us to evaluate effectively the creditworthiness of sub-prime customers and the adequacy of the financed vehicle as security for an automobile contract. The underwriting criteria include standards for price, term, amount of down payment, installment payment and interest rate; mileage, age and type of vehicle; principal amount of the automobile contract in relation to the value of the vehicle; customer income level, employment and residence stability, credit history and debt service ability, as well as other factors. Specifically, our underwriting guidelines generally limit the maximum principal amount of a purchased automobile contract to 115% of wholesale book value in the case of used vehicles or to 115% of the manufacturer's invoice in the case of new vehicles, plus, in each case, sales tax, licensing and, when the customer purchases such additional items, a service contract or a policy to supplement the customer’s casualty policy in the event of a total loss of the related vehicle. We generally do not finance vehicles that are more than 11 model years old or have in excess of 135,000 miles. Under most of our programs, the maximum term of a purchased contract is 72 months; a shorter maximum term may be applicable based on the program and mileage. Automobile contracts with the maximum term of up to 72 months may be purchased if the customer is among the more creditworthy of our obligors and the vehicle generally has less than 50,000 miles. Automobile contract purchase criteria are subject to change from time to time as circumstances may warrant. Prior to purchasing an automobile contract, our underwriters verify the customer's employment, income, residency, insurance coverage, and credit information by contacting various parties noted on the customer's application, credit information bureaus and other sources. In addition, we contact each customer by telephone to confirm that the customer understands and agrees to the terms of the related automobile contract. During this "welcome call," we also ask the customer a series of open ended questions about his application and the contract, which may uncover potential misrepresentations.</w:t>
      </w:r>
    </w:p>
    <w:p>
      <w:pPr>
        <w:spacing w:after="0" w:line="16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Credit Scoring</w:t>
      </w:r>
      <w:r>
        <w:rPr>
          <w:rFonts w:ascii="Arial" w:cs="Arial" w:eastAsia="Arial" w:hAnsi="Arial"/>
          <w:sz w:val="17"/>
          <w:szCs w:val="17"/>
          <w:color w:val="auto"/>
        </w:rPr>
        <w:t>. We use proprietary scoring models to assign each automobile contract several "credit scores" at the time the application is received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dealer and the customer's credit information is retrieved from the credit reporting agencies. These proprietary scores are used to help determine whether or not we want to approve the application and, if so, the program and pricing we will offer to the dealer. The credit scores are based on a variety of parameters including the customer's credit history, employment and residence stability and income. Once a vehicle is selected by the customer and a proposed deal structure is provided to us by the dealer, our scores will then consider the loan-to-value ratio, payment-to-income ratio, down payment amount, the make and mileage of the vehicle. We have developed the credit scores utilizing statistical risk management techniques and historical performance data from our managed portfolio. We believe this improves our allocation of credit evaluation resources, enhances our competitiveness in the marketplace and manages the risk inherent in the sub-prime market.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 w:name="page8"/>
    <w:bookmarkEnd w:id="7"/>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Characteristics of Contracts. </w:t>
      </w:r>
      <w:r>
        <w:rPr>
          <w:rFonts w:ascii="Arial" w:cs="Arial" w:eastAsia="Arial" w:hAnsi="Arial"/>
          <w:sz w:val="18"/>
          <w:szCs w:val="18"/>
          <w:color w:val="auto"/>
        </w:rPr>
        <w:t>All of the automobile contracts we purchase are fully amortizing and provide for level payments over the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 contract. All automobile contracts may be prepaid at any time without penalty. The average original principal amount financed under the CPS programs in 2014 was $15,941, with an average original term of 63 months and an average down payment amount of 12.4%. Based on information contained in customer applications for this 12-month period, the retail purchase price of the related automobiles averaged $16,171 (which excludes tax, license fees and any additional costs such as a service contract) and the average age of the vehicle at the time the automobile contract was purchased was five years. The average age of our customers is approximately 41, with approximately $55,000 in average annual household income and an average of six years tenure with his or her current employer.</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Dealer Compliance</w:t>
      </w:r>
      <w:r>
        <w:rPr>
          <w:rFonts w:ascii="Arial" w:cs="Arial" w:eastAsia="Arial" w:hAnsi="Arial"/>
          <w:sz w:val="18"/>
          <w:szCs w:val="18"/>
          <w:color w:val="auto"/>
        </w:rPr>
        <w:t>. The dealer agreement and related assignment contain representations and warranties by the dealer that an application for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each financed vehicle, naming us as secured party with respect to the vehicle, was effected by the time of sale of the related automobile contract to us, and that all necessary steps have been taken to obtain a perfected first priority security interest in each financed vehicle in favor of us under the laws of the state in which the financed vehicle is registered. To the extent that we do not receive such state registration within three months of purchasing the automobile contract, our dealer compliance group will work with the dealer in an attempt to rectify the situation. If these efforts are unsuccessful, we generally will require the dealer to repurchase the automobile contract.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and Collection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currently service all automobile contracts that we own as well as those automobile contracts that are included in portfolios that we have sold in securitizations or service for third parties. We organize our servicing activities based on the tasks performed by our personnel. Our servicing activities consist of mailing monthly billing statements; collecting, accounting for and posting of all payments received; responding to customer inquiries; taking all necessary action to maintain the security interest granted in the financed vehicle or other collateral; investigating delinquencies; communicating with the customer to obtain timely payments; repossessing and liquidating the collateral when necessary; collecting deficiency balances; and generally monitoring each automobile contract and the related collateral. We are typically entitled to receive a base monthly servicing fee equal to 2.5% per annum computed as a percentage of the declining outstanding principal balance of the non-charged-off automobile contracts in the securitization pools</w:t>
      </w:r>
      <w:r>
        <w:rPr>
          <w:rFonts w:ascii="Arial" w:cs="Arial" w:eastAsia="Arial" w:hAnsi="Arial"/>
          <w:sz w:val="17"/>
          <w:szCs w:val="17"/>
          <w:b w:val="1"/>
          <w:bCs w:val="1"/>
          <w:color w:val="auto"/>
        </w:rPr>
        <w:t>.</w:t>
      </w:r>
      <w:r>
        <w:rPr>
          <w:rFonts w:ascii="Arial" w:cs="Arial" w:eastAsia="Arial" w:hAnsi="Arial"/>
          <w:sz w:val="17"/>
          <w:szCs w:val="17"/>
          <w:color w:val="auto"/>
        </w:rPr>
        <w:t xml:space="preserve"> The servicing fee is included in interest income for those securitization transactions that are treated as financings.</w:t>
      </w:r>
    </w:p>
    <w:p>
      <w:pPr>
        <w:spacing w:after="0" w:line="17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Collection Procedures. </w:t>
      </w:r>
      <w:r>
        <w:rPr>
          <w:rFonts w:ascii="Arial" w:cs="Arial" w:eastAsia="Arial" w:hAnsi="Arial"/>
          <w:sz w:val="16"/>
          <w:szCs w:val="16"/>
          <w:color w:val="auto"/>
        </w:rPr>
        <w:t>We believe that our ability to monitor performance and collect payments owed from sub-prime customers is primarily a</w:t>
      </w:r>
      <w:r>
        <w:rPr>
          <w:rFonts w:ascii="Arial" w:cs="Arial" w:eastAsia="Arial" w:hAnsi="Arial"/>
          <w:sz w:val="16"/>
          <w:szCs w:val="16"/>
          <w:i w:val="1"/>
          <w:iCs w:val="1"/>
          <w:color w:val="auto"/>
        </w:rPr>
        <w:t xml:space="preserve"> </w:t>
      </w:r>
      <w:r>
        <w:rPr>
          <w:rFonts w:ascii="Arial" w:cs="Arial" w:eastAsia="Arial" w:hAnsi="Arial"/>
          <w:sz w:val="16"/>
          <w:szCs w:val="16"/>
          <w:color w:val="auto"/>
        </w:rPr>
        <w:t>function of our collection approach and support systems. We believe that if payment problems are identified early and our collection staff works closely with customers to address these problems, it is possible to correct many problems before they deteriorate further. To this end, we utilize pro-active collection procedures, which include making early and frequent contact with delinquent customers; educating customers as to the importance of maintaining good credit; and employing a consultative and customer service approach to assist the customer in meeting his or her obligations, which includes attempting to identify the underlying causes of delinquency and cure them whenever possible. In support of our collection activities, we maintain a computerized collection system specifically designed to service automobile contracts with sub-prime customers and similar consumer obligations.</w:t>
      </w:r>
    </w:p>
    <w:p>
      <w:pPr>
        <w:spacing w:after="0" w:line="16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attempt to make telephonic contact with delinquent customers from one to 15 days after their monthly payment due date, depending on our proprietary behavioral scorecards which assess the customer’s likelihood of payment during early stages of delinquency. Our contact priorities may be based on the customers' physical location, stage of delinquency, size of balance or other parameters. Our collectors inquire of the customer the reason for the delinquency and when we can expect to receive the payment. The collector will attempt to get the customer to make an electronic payment over the phone or a promise for the payment for a time generally not to exceed one week from the date of the call. If the customer makes such a promise, the account is routed to a promise queue and is not contacted until the outcome of the promise is known. If the payment is made by the promise date and the account is no longer delinquent, the account is routed out of the collection system. If the payment is not made, or if the payment is made, but the account remains delinquent, the account is returned to the queue for subsequent contacts.</w:t>
      </w:r>
    </w:p>
    <w:p>
      <w:pPr>
        <w:spacing w:after="0" w:line="179"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If a customer fails to make or keep promises for payments, or if the customer is uncooperative or attempts to evade contact or hide the vehicle, a supervisor will review the collection activity relating to the account to determine if repossession of the vehicle is warranted. Generally, such a decision will occur between the 60th and 90th day past the customer's payment due date, but could occur sooner or later, depending on the specific circumstances. At the time the vehicle is repossessed we will stop accruing interest on this automobile contract, and reclassify the remaining automobile contract balance to other assets. In addition we will apply a specific reserve to this automobile contract so that the net balance represents the estimated fair value less costs to sell.</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 w:name="page9"/>
    <w:bookmarkEnd w:id="8"/>
    <w:p>
      <w:pPr>
        <w:ind w:right="20" w:firstLine="648"/>
        <w:spacing w:after="0" w:line="255" w:lineRule="auto"/>
        <w:rPr>
          <w:sz w:val="20"/>
          <w:szCs w:val="20"/>
          <w:color w:val="auto"/>
        </w:rPr>
      </w:pPr>
      <w:r>
        <w:rPr>
          <w:rFonts w:ascii="Arial" w:cs="Arial" w:eastAsia="Arial" w:hAnsi="Arial"/>
          <w:sz w:val="18"/>
          <w:szCs w:val="18"/>
          <w:color w:val="auto"/>
        </w:rPr>
        <w:t>If we elect to repossess the vehicle, we assign the task to an independent local repossession service. Such services are licensed and/or bonded as required by law. When the vehicle is recovered, the repossession service delivers it to a wholesale automobile auction, where it is kept until sold. Financed vehicles that have been repossessed are generally resold through unaffiliated automobile auctions, which are attended principally by car dealers. Net liquidation proceeds are applied to the customer's outstanding obligation under the automobile contract. Such proceeds usually are insufficient to pay the customer's obligation in full, resulting in a deficiency. In most cases we will continue to contact our customers to recover all or a portion of this deficiency for up to several years after charge-off. From time to time, we sell certain charged off accounts to unaffiliated purchasers who specialize in collecting such accounts.</w:t>
      </w:r>
    </w:p>
    <w:p>
      <w:pPr>
        <w:spacing w:after="0" w:line="18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Once an automobile contract becomes greater than 90 days delinquent, we do not recognize additional interest income until the borrower makes sufficient payments to be less than 90 days delinquent. Any payments received by a borrower that are greater than 90 days delinquent are first applied to accrued interest and then to principal reduction.</w:t>
      </w:r>
    </w:p>
    <w:p>
      <w:pPr>
        <w:spacing w:after="0" w:line="18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generally charge off the balance of any contract by the earlier of the end of the month in which the automobile contract becomes five scheduled installments past due or, in the case of repossessions, the month that we receive the proceeds from the liquidation of the financed vehicle or if the vehicle has been in repossession inventory for more than three months. In the case of repossession, the amount of the charge-off is the difference between the outstanding principal balance of the defaulted automobile contract and the net repossession sale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Experience</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The weighted average seasoning of our total owned portfolio excluding contracts acquired from Fireside Bank (“Fireside Portfolio”), represented in the tables below, was 14 months, 14 months and 18 months as of December 31, 2014, December 31, 2013, and December 31, 2012, respectively. Our primary method of monitoring ongoing credit quality of our portfolio is to closely review monthly delinquency, default and net charge off activity and the related trends. The tables below document the delinquency, repossession and net credit loss experience of all such automobile contracts that we were servicing as of the respective dates shown. The tables do not include the experience of third party servicing portfolios.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Delinquency, Repossession and Extension Experience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and Extension Experience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 Excluding 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780" w:type="dxa"/>
            <w:vAlign w:val="bottom"/>
            <w:gridSpan w:val="3"/>
          </w:tcPr>
          <w:p>
            <w:pPr>
              <w:ind w:left="480"/>
              <w:spacing w:after="0"/>
              <w:rPr>
                <w:sz w:val="20"/>
                <w:szCs w:val="20"/>
                <w:color w:val="auto"/>
              </w:rPr>
            </w:pPr>
            <w:r>
              <w:rPr>
                <w:rFonts w:ascii="Arial" w:cs="Arial" w:eastAsia="Arial" w:hAnsi="Arial"/>
                <w:sz w:val="18"/>
                <w:szCs w:val="18"/>
                <w:b w:val="1"/>
                <w:bCs w:val="1"/>
                <w:color w:val="auto"/>
              </w:rPr>
              <w:t>December 31, 2014</w:t>
            </w:r>
          </w:p>
        </w:tc>
        <w:tc>
          <w:tcPr>
            <w:tcW w:w="27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December 31, 2013</w:t>
            </w:r>
          </w:p>
        </w:tc>
        <w:tc>
          <w:tcPr>
            <w:tcW w:w="2580" w:type="dxa"/>
            <w:vAlign w:val="bottom"/>
            <w:gridSpan w:val="4"/>
          </w:tcPr>
          <w:p>
            <w:pPr>
              <w:ind w:left="48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114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3"/>
              </w:rPr>
              <w:t>Number of</w:t>
            </w: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Contracts</w:t>
            </w:r>
          </w:p>
        </w:tc>
        <w:tc>
          <w:tcPr>
            <w:tcW w:w="1640" w:type="dxa"/>
            <w:vAlign w:val="bottom"/>
            <w:gridSpan w:val="2"/>
          </w:tcPr>
          <w:p>
            <w:pPr>
              <w:ind w:left="440"/>
              <w:spacing w:after="0"/>
              <w:rPr>
                <w:sz w:val="20"/>
                <w:szCs w:val="20"/>
                <w:color w:val="auto"/>
              </w:rPr>
            </w:pPr>
            <w:r>
              <w:rPr>
                <w:rFonts w:ascii="Arial" w:cs="Arial" w:eastAsia="Arial" w:hAnsi="Arial"/>
                <w:sz w:val="18"/>
                <w:szCs w:val="18"/>
                <w:b w:val="1"/>
                <w:bCs w:val="1"/>
                <w:color w:val="auto"/>
              </w:rPr>
              <w:t>Amount</w:t>
            </w: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Contracts</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Amount</w:t>
            </w: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Contracts</w:t>
            </w:r>
          </w:p>
        </w:tc>
        <w:tc>
          <w:tcPr>
            <w:tcW w:w="34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89"/>
              </w:rPr>
              <w:t>(Dollars in thousands)</w:t>
            </w:r>
          </w:p>
        </w:tc>
        <w:tc>
          <w:tcPr>
            <w:tcW w:w="11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Gross servicing portfolio (1)</w:t>
            </w:r>
          </w:p>
        </w:tc>
        <w:tc>
          <w:tcPr>
            <w:tcW w:w="11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123,033</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    1,641,807</w:t>
            </w:r>
          </w:p>
        </w:tc>
        <w:tc>
          <w:tcPr>
            <w:tcW w:w="380" w:type="dxa"/>
            <w:vAlign w:val="bottom"/>
            <w:shd w:val="clear" w:color="auto" w:fill="EEEEEE"/>
          </w:tcPr>
          <w:p>
            <w:pPr>
              <w:spacing w:after="0"/>
              <w:rPr>
                <w:sz w:val="22"/>
                <w:szCs w:val="22"/>
                <w:color w:val="auto"/>
              </w:rPr>
            </w:pPr>
          </w:p>
        </w:tc>
        <w:tc>
          <w:tcPr>
            <w:tcW w:w="11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94,206</w:t>
            </w:r>
          </w:p>
        </w:tc>
        <w:tc>
          <w:tcPr>
            <w:tcW w:w="16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    1,213,793</w:t>
            </w:r>
          </w:p>
        </w:tc>
        <w:tc>
          <w:tcPr>
            <w:tcW w:w="11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74,124</w:t>
            </w:r>
          </w:p>
        </w:tc>
        <w:tc>
          <w:tcPr>
            <w:tcW w:w="3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825,186</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Period of delinquency (2)</w:t>
            </w: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rPr>
          <w:sz w:val="20"/>
          <w:szCs w:val="20"/>
          <w:color w:val="auto"/>
        </w:rPr>
      </w:pPr>
      <w:r>
        <w:rPr>
          <w:rFonts w:ascii="Arial" w:cs="Arial" w:eastAsia="Arial" w:hAnsi="Arial"/>
          <w:sz w:val="18"/>
          <w:szCs w:val="18"/>
          <w:color w:val="auto"/>
        </w:rPr>
        <w:t>31-60 days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61-90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delinquencies (2)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Amount in repossession (3)</w:t>
      </w:r>
    </w:p>
    <w:p>
      <w:pPr>
        <w:spacing w:after="0" w:line="50" w:lineRule="exact"/>
        <w:rPr>
          <w:sz w:val="20"/>
          <w:szCs w:val="20"/>
          <w:color w:val="auto"/>
        </w:rPr>
      </w:pPr>
    </w:p>
    <w:p>
      <w:pPr>
        <w:ind w:left="180" w:right="380" w:hanging="179"/>
        <w:spacing w:after="0" w:line="274" w:lineRule="auto"/>
        <w:rPr>
          <w:sz w:val="20"/>
          <w:szCs w:val="20"/>
          <w:color w:val="auto"/>
        </w:rPr>
      </w:pPr>
      <w:r>
        <w:rPr>
          <w:rFonts w:ascii="Arial" w:cs="Arial" w:eastAsia="Arial" w:hAnsi="Arial"/>
          <w:sz w:val="18"/>
          <w:szCs w:val="18"/>
          <w:color w:val="auto"/>
        </w:rPr>
        <w:t>Total delinquencies and amount in repossession (2)</w:t>
      </w:r>
    </w:p>
    <w:p>
      <w:pPr>
        <w:ind w:left="180" w:right="60" w:hanging="179"/>
        <w:spacing w:after="0" w:line="258" w:lineRule="auto"/>
        <w:rPr>
          <w:sz w:val="20"/>
          <w:szCs w:val="20"/>
          <w:color w:val="auto"/>
        </w:rPr>
      </w:pPr>
      <w:r>
        <w:rPr>
          <w:rFonts w:ascii="Arial" w:cs="Arial" w:eastAsia="Arial" w:hAnsi="Arial"/>
          <w:sz w:val="18"/>
          <w:szCs w:val="18"/>
          <w:color w:val="auto"/>
        </w:rPr>
        <w:t>Delinquencies as a percentage of gross servicing portfolio</w:t>
      </w:r>
    </w:p>
    <w:p>
      <w:pPr>
        <w:spacing w:after="0" w:line="1" w:lineRule="exact"/>
        <w:rPr>
          <w:sz w:val="20"/>
          <w:szCs w:val="20"/>
          <w:color w:val="auto"/>
        </w:rPr>
      </w:pPr>
    </w:p>
    <w:p>
      <w:pPr>
        <w:ind w:left="180" w:hanging="179"/>
        <w:spacing w:after="0" w:line="255" w:lineRule="auto"/>
        <w:rPr>
          <w:sz w:val="20"/>
          <w:szCs w:val="20"/>
          <w:color w:val="auto"/>
        </w:rPr>
      </w:pPr>
      <w:r>
        <w:rPr>
          <w:rFonts w:ascii="Arial" w:cs="Arial" w:eastAsia="Arial" w:hAnsi="Arial"/>
          <w:sz w:val="18"/>
          <w:szCs w:val="18"/>
          <w:color w:val="auto"/>
        </w:rPr>
        <w:t>Total delinquencies and amount in repossession as a percentage of gross servicing portfolio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3,571</w:t>
            </w:r>
          </w:p>
        </w:tc>
        <w:tc>
          <w:tcPr>
            <w:tcW w:w="3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42,823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2,652</w:t>
            </w: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21,887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2,545</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18,034</w:t>
            </w:r>
          </w:p>
        </w:tc>
        <w:tc>
          <w:tcPr>
            <w:tcW w:w="120" w:type="dxa"/>
            <w:vAlign w:val="bottom"/>
          </w:tcPr>
          <w:p>
            <w:pPr>
              <w:spacing w:after="0"/>
              <w:rPr>
                <w:sz w:val="18"/>
                <w:szCs w:val="18"/>
                <w:color w:val="auto"/>
              </w:rPr>
            </w:pPr>
          </w:p>
        </w:tc>
      </w:tr>
      <w:tr>
        <w:trPr>
          <w:trHeight w:val="230"/>
        </w:trPr>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1,813</w:t>
            </w:r>
          </w:p>
        </w:tc>
        <w:tc>
          <w:tcPr>
            <w:tcW w:w="3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23,334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24,914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1,179</w:t>
            </w:r>
          </w:p>
        </w:tc>
        <w:tc>
          <w:tcPr>
            <w:tcW w:w="3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9,360</w:t>
            </w:r>
          </w:p>
        </w:tc>
        <w:tc>
          <w:tcPr>
            <w:tcW w:w="120" w:type="dxa"/>
            <w:vAlign w:val="bottom"/>
          </w:tcPr>
          <w:p>
            <w:pPr>
              <w:spacing w:after="0"/>
              <w:rPr>
                <w:sz w:val="19"/>
                <w:szCs w:val="19"/>
                <w:color w:val="auto"/>
              </w:rPr>
            </w:pPr>
          </w:p>
        </w:tc>
      </w:tr>
      <w:tr>
        <w:trPr>
          <w:trHeight w:val="230"/>
        </w:trPr>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1,890</w:t>
            </w:r>
          </w:p>
        </w:tc>
        <w:tc>
          <w:tcPr>
            <w:tcW w:w="3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23,239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1,162</w:t>
            </w:r>
          </w:p>
        </w:tc>
        <w:tc>
          <w:tcPr>
            <w:tcW w:w="3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11,060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773</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5,297</w:t>
            </w:r>
          </w:p>
        </w:tc>
        <w:tc>
          <w:tcPr>
            <w:tcW w:w="120" w:type="dxa"/>
            <w:vAlign w:val="bottom"/>
          </w:tcPr>
          <w:p>
            <w:pPr>
              <w:spacing w:after="0"/>
              <w:rPr>
                <w:sz w:val="20"/>
                <w:szCs w:val="20"/>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7,274</w:t>
            </w:r>
          </w:p>
        </w:tc>
        <w:tc>
          <w:tcPr>
            <w:tcW w:w="3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89,396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5,838</w:t>
            </w:r>
          </w:p>
        </w:tc>
        <w:tc>
          <w:tcPr>
            <w:tcW w:w="3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57,861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4,497</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32,691</w:t>
            </w:r>
          </w:p>
        </w:tc>
        <w:tc>
          <w:tcPr>
            <w:tcW w:w="120" w:type="dxa"/>
            <w:vAlign w:val="bottom"/>
          </w:tcPr>
          <w:p>
            <w:pPr>
              <w:spacing w:after="0"/>
              <w:rPr>
                <w:sz w:val="20"/>
                <w:szCs w:val="20"/>
                <w:color w:val="auto"/>
              </w:rPr>
            </w:pPr>
          </w:p>
        </w:tc>
      </w:tr>
      <w:tr>
        <w:trPr>
          <w:trHeight w:val="257"/>
        </w:trPr>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2,664</w:t>
            </w:r>
          </w:p>
        </w:tc>
        <w:tc>
          <w:tcPr>
            <w:tcW w:w="32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28,249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2,961</w:t>
            </w:r>
          </w:p>
        </w:tc>
        <w:tc>
          <w:tcPr>
            <w:tcW w:w="36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25,010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1,932</w:t>
            </w:r>
          </w:p>
        </w:tc>
        <w:tc>
          <w:tcPr>
            <w:tcW w:w="3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12,506</w:t>
            </w:r>
          </w:p>
        </w:tc>
        <w:tc>
          <w:tcPr>
            <w:tcW w:w="120" w:type="dxa"/>
            <w:vAlign w:val="bottom"/>
          </w:tcPr>
          <w:p>
            <w:pPr>
              <w:spacing w:after="0"/>
              <w:rPr>
                <w:sz w:val="22"/>
                <w:szCs w:val="22"/>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9,938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117,645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8,799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82,871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6,429</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45,197</w:t>
            </w:r>
          </w:p>
        </w:tc>
        <w:tc>
          <w:tcPr>
            <w:tcW w:w="120" w:type="dxa"/>
            <w:vAlign w:val="bottom"/>
          </w:tcPr>
          <w:p>
            <w:pPr>
              <w:spacing w:after="0"/>
              <w:rPr>
                <w:sz w:val="24"/>
                <w:szCs w:val="24"/>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6"/>
        </w:trPr>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648"/>
        </w:trPr>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-1731645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-1457325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-1148715</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-685165</wp:posOffset>
            </wp:positionV>
            <wp:extent cx="72466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2860" w:space="300"/>
            <w:col w:w="826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1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one extension, accruing</w:t>
            </w:r>
          </w:p>
        </w:tc>
        <w:tc>
          <w:tcPr>
            <w:tcW w:w="1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18,165</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238,267</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13,754</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176,236</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9,094</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73,632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accruing (4)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7,537</w:t>
            </w:r>
          </w:p>
        </w:tc>
        <w:tc>
          <w:tcPr>
            <w:tcW w:w="32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93,220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5,449</w:t>
            </w:r>
          </w:p>
        </w:tc>
        <w:tc>
          <w:tcPr>
            <w:tcW w:w="32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43,869</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7,795</w:t>
            </w:r>
          </w:p>
        </w:tc>
        <w:tc>
          <w:tcPr>
            <w:tcW w:w="3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37,761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25,702</w:t>
            </w:r>
          </w:p>
        </w:tc>
        <w:tc>
          <w:tcPr>
            <w:tcW w:w="28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331,487</w:t>
            </w:r>
          </w:p>
        </w:tc>
        <w:tc>
          <w:tcPr>
            <w:tcW w:w="28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19,203</w:t>
            </w:r>
          </w:p>
        </w:tc>
        <w:tc>
          <w:tcPr>
            <w:tcW w:w="26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220,105</w:t>
            </w:r>
          </w:p>
        </w:tc>
        <w:tc>
          <w:tcPr>
            <w:tcW w:w="28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16,889</w:t>
            </w:r>
          </w:p>
        </w:tc>
        <w:tc>
          <w:tcPr>
            <w:tcW w:w="28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111,393</w:t>
            </w:r>
          </w:p>
        </w:tc>
        <w:tc>
          <w:tcPr>
            <w:tcW w:w="16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Contracts with one extension, non-accrual</w:t>
            </w:r>
          </w:p>
        </w:tc>
        <w:tc>
          <w:tcPr>
            <w:tcW w:w="1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1,268</w:t>
            </w:r>
          </w:p>
        </w:tc>
        <w:tc>
          <w:tcPr>
            <w:tcW w:w="32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14,701</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1,030</w:t>
            </w:r>
          </w:p>
        </w:tc>
        <w:tc>
          <w:tcPr>
            <w:tcW w:w="32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9,348</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632</w:t>
            </w:r>
          </w:p>
        </w:tc>
        <w:tc>
          <w:tcPr>
            <w:tcW w:w="320" w:type="dxa"/>
            <w:vAlign w:val="bottom"/>
            <w:shd w:val="clear" w:color="auto" w:fill="EEEEEE"/>
          </w:tcPr>
          <w:p>
            <w:pPr>
              <w:spacing w:after="0"/>
              <w:rPr>
                <w:sz w:val="20"/>
                <w:szCs w:val="20"/>
                <w:color w:val="auto"/>
              </w:rPr>
            </w:pPr>
          </w:p>
        </w:tc>
        <w:tc>
          <w:tcPr>
            <w:tcW w:w="9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non-accrual (4)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594</w:t>
            </w:r>
          </w:p>
        </w:tc>
        <w:tc>
          <w:tcPr>
            <w:tcW w:w="32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6,468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622</w:t>
            </w:r>
          </w:p>
        </w:tc>
        <w:tc>
          <w:tcPr>
            <w:tcW w:w="32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3,267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1,044</w:t>
            </w:r>
          </w:p>
        </w:tc>
        <w:tc>
          <w:tcPr>
            <w:tcW w:w="3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1,862</w:t>
            </w:r>
          </w:p>
        </w:tc>
        <w:tc>
          <w:tcPr>
            <w:tcW w:w="28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21,169</w:t>
            </w:r>
          </w:p>
        </w:tc>
        <w:tc>
          <w:tcPr>
            <w:tcW w:w="28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1,652</w:t>
            </w:r>
          </w:p>
        </w:tc>
        <w:tc>
          <w:tcPr>
            <w:tcW w:w="26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12,615</w:t>
            </w:r>
          </w:p>
        </w:tc>
        <w:tc>
          <w:tcPr>
            <w:tcW w:w="28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1,676</w:t>
            </w:r>
          </w:p>
        </w:tc>
        <w:tc>
          <w:tcPr>
            <w:tcW w:w="28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8,745</w:t>
            </w:r>
          </w:p>
        </w:tc>
        <w:tc>
          <w:tcPr>
            <w:tcW w:w="16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Total accounts with extensions</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27,564</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352,656</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20,855</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232,720</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18,565</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120,138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Delinquency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Fireside Portfolio</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 2014</w:t>
            </w:r>
          </w:p>
        </w:tc>
        <w:tc>
          <w:tcPr>
            <w:tcW w:w="100" w:type="dxa"/>
            <w:vAlign w:val="bottom"/>
          </w:tcPr>
          <w:p>
            <w:pPr>
              <w:spacing w:after="0"/>
              <w:rPr>
                <w:sz w:val="20"/>
                <w:szCs w:val="20"/>
                <w:color w:val="auto"/>
              </w:rPr>
            </w:pPr>
          </w:p>
        </w:tc>
        <w:tc>
          <w:tcPr>
            <w:tcW w:w="27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tcPr>
          <w:p>
            <w:pPr>
              <w:spacing w:after="0"/>
              <w:rPr>
                <w:sz w:val="20"/>
                <w:szCs w:val="20"/>
                <w:color w:val="auto"/>
              </w:rPr>
            </w:pPr>
          </w:p>
        </w:tc>
        <w:tc>
          <w:tcPr>
            <w:tcW w:w="254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rPr>
              <w:t>Number of</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rPr>
              <w:t>Number of</w:t>
            </w: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rPr>
              <w:t>Number of</w:t>
            </w: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0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Contracts</w:t>
            </w:r>
          </w:p>
        </w:tc>
        <w:tc>
          <w:tcPr>
            <w:tcW w:w="2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Contracts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Contracts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Borders>
              <w:top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Gross servicing portfolio (1)</w:t>
            </w:r>
          </w:p>
        </w:tc>
        <w:tc>
          <w:tcPr>
            <w:tcW w:w="140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911</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1,664</w:t>
            </w:r>
          </w:p>
        </w:tc>
        <w:tc>
          <w:tcPr>
            <w:tcW w:w="13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4,893</w:t>
            </w:r>
          </w:p>
        </w:tc>
        <w:tc>
          <w:tcPr>
            <w:tcW w:w="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14,786</w:t>
            </w:r>
          </w:p>
        </w:tc>
        <w:tc>
          <w:tcPr>
            <w:tcW w:w="13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15,039</w:t>
            </w:r>
          </w:p>
        </w:tc>
        <w:tc>
          <w:tcPr>
            <w:tcW w:w="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Period of delinquency (2)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31-60 days</w:t>
            </w:r>
          </w:p>
        </w:tc>
        <w:tc>
          <w:tcPr>
            <w:tcW w:w="140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262</w:t>
            </w:r>
          </w:p>
        </w:tc>
        <w:tc>
          <w:tcPr>
            <w:tcW w:w="13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878</w:t>
            </w:r>
          </w:p>
        </w:tc>
        <w:tc>
          <w:tcPr>
            <w:tcW w:w="13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621</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61-90 days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253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91+ days</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234</w:t>
            </w:r>
          </w:p>
        </w:tc>
        <w:tc>
          <w:tcPr>
            <w:tcW w:w="13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Total delinquencies (2)</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280" w:type="dxa"/>
            <w:vAlign w:val="bottom"/>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Amount in repossession (3)</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w:t>
            </w:r>
          </w:p>
        </w:tc>
        <w:tc>
          <w:tcPr>
            <w:tcW w:w="13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30</w:t>
            </w:r>
          </w:p>
        </w:tc>
        <w:tc>
          <w:tcPr>
            <w:tcW w:w="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120</w:t>
            </w:r>
          </w:p>
        </w:tc>
        <w:tc>
          <w:tcPr>
            <w:tcW w:w="13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175</w:t>
            </w:r>
          </w:p>
        </w:tc>
        <w:tc>
          <w:tcPr>
            <w:tcW w:w="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vMerge w:val="restart"/>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60" w:type="dxa"/>
            <w:vAlign w:val="bottom"/>
            <w:vMerge w:val="continue"/>
          </w:tcPr>
          <w:p>
            <w:pPr>
              <w:spacing w:after="0"/>
              <w:rPr>
                <w:sz w:val="15"/>
                <w:szCs w:val="15"/>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212</w:t>
            </w:r>
          </w:p>
        </w:tc>
        <w:tc>
          <w:tcPr>
            <w:tcW w:w="260" w:type="dxa"/>
            <w:vAlign w:val="bottom"/>
            <w:vMerge w:val="restart"/>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399</w:t>
            </w:r>
          </w:p>
        </w:tc>
        <w:tc>
          <w:tcPr>
            <w:tcW w:w="13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629</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1,485</w:t>
            </w:r>
          </w:p>
        </w:tc>
        <w:tc>
          <w:tcPr>
            <w:tcW w:w="280" w:type="dxa"/>
            <w:vAlign w:val="bottom"/>
          </w:tcPr>
          <w:p>
            <w:pPr>
              <w:spacing w:after="0"/>
              <w:rPr>
                <w:sz w:val="15"/>
                <w:szCs w:val="15"/>
                <w:color w:val="auto"/>
              </w:rPr>
            </w:pPr>
          </w:p>
        </w:tc>
        <w:tc>
          <w:tcPr>
            <w:tcW w:w="134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1,114</w:t>
            </w: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repossession (2)</w:t>
            </w:r>
          </w:p>
        </w:tc>
        <w:tc>
          <w:tcPr>
            <w:tcW w:w="114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40" w:type="dxa"/>
            <w:vAlign w:val="bottom"/>
            <w:gridSpan w:val="3"/>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3"/>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Borders>
              <w:top w:val="single" w:sz="8" w:color="EEEEEE"/>
            </w:tcBorders>
            <w:shd w:val="clear" w:color="auto" w:fill="EEEEEE"/>
          </w:tcPr>
          <w:p>
            <w:pPr>
              <w:spacing w:after="0" w:line="156" w:lineRule="exact"/>
              <w:rPr>
                <w:sz w:val="20"/>
                <w:szCs w:val="20"/>
                <w:color w:val="auto"/>
              </w:rPr>
            </w:pPr>
            <w:r>
              <w:rPr>
                <w:rFonts w:ascii="Arial" w:cs="Arial" w:eastAsia="Arial" w:hAnsi="Arial"/>
                <w:sz w:val="18"/>
                <w:szCs w:val="18"/>
                <w:color w:val="auto"/>
                <w:w w:val="99"/>
              </w:rPr>
              <w:t>Delinquencies as a percentage of gross</w:t>
            </w:r>
          </w:p>
        </w:tc>
        <w:tc>
          <w:tcPr>
            <w:tcW w:w="100" w:type="dxa"/>
            <w:vAlign w:val="bottom"/>
            <w:tcBorders>
              <w:top w:val="single" w:sz="8" w:color="auto"/>
            </w:tcBorders>
            <w:shd w:val="clear" w:color="auto" w:fill="EEEEEE"/>
          </w:tcPr>
          <w:p>
            <w:pPr>
              <w:spacing w:after="0"/>
              <w:rPr>
                <w:sz w:val="13"/>
                <w:szCs w:val="13"/>
                <w:color w:val="auto"/>
              </w:rPr>
            </w:pPr>
          </w:p>
        </w:tc>
        <w:tc>
          <w:tcPr>
            <w:tcW w:w="1040" w:type="dxa"/>
            <w:vAlign w:val="bottom"/>
            <w:tcBorders>
              <w:top w:val="single" w:sz="8" w:color="auto"/>
            </w:tcBorders>
            <w:shd w:val="clear" w:color="auto" w:fill="EEEEEE"/>
          </w:tcPr>
          <w:p>
            <w:pPr>
              <w:spacing w:after="0"/>
              <w:rPr>
                <w:sz w:val="13"/>
                <w:szCs w:val="13"/>
                <w:color w:val="auto"/>
              </w:rPr>
            </w:pPr>
          </w:p>
        </w:tc>
        <w:tc>
          <w:tcPr>
            <w:tcW w:w="260" w:type="dxa"/>
            <w:vAlign w:val="bottom"/>
            <w:tcBorders>
              <w:top w:val="single" w:sz="8" w:color="EEEEEE"/>
            </w:tcBorders>
            <w:shd w:val="clear" w:color="auto" w:fill="EEEEEE"/>
          </w:tcPr>
          <w:p>
            <w:pPr>
              <w:spacing w:after="0"/>
              <w:rPr>
                <w:sz w:val="13"/>
                <w:szCs w:val="13"/>
                <w:color w:val="auto"/>
              </w:rPr>
            </w:pPr>
          </w:p>
        </w:tc>
        <w:tc>
          <w:tcPr>
            <w:tcW w:w="200" w:type="dxa"/>
            <w:vAlign w:val="bottom"/>
            <w:tcBorders>
              <w:top w:val="single" w:sz="8" w:color="auto"/>
            </w:tcBorders>
            <w:shd w:val="clear" w:color="auto" w:fill="EEEEEE"/>
          </w:tcPr>
          <w:p>
            <w:pPr>
              <w:spacing w:after="0"/>
              <w:rPr>
                <w:sz w:val="13"/>
                <w:szCs w:val="13"/>
                <w:color w:val="auto"/>
              </w:rPr>
            </w:pPr>
          </w:p>
        </w:tc>
        <w:tc>
          <w:tcPr>
            <w:tcW w:w="920" w:type="dxa"/>
            <w:vAlign w:val="bottom"/>
            <w:tcBorders>
              <w:top w:val="single" w:sz="8" w:color="auto"/>
            </w:tcBorders>
            <w:shd w:val="clear" w:color="auto" w:fill="EEEEEE"/>
          </w:tcPr>
          <w:p>
            <w:pPr>
              <w:spacing w:after="0"/>
              <w:rPr>
                <w:sz w:val="13"/>
                <w:szCs w:val="13"/>
                <w:color w:val="auto"/>
              </w:rPr>
            </w:pPr>
          </w:p>
        </w:tc>
        <w:tc>
          <w:tcPr>
            <w:tcW w:w="280" w:type="dxa"/>
            <w:vAlign w:val="bottom"/>
            <w:tcBorders>
              <w:top w:val="single" w:sz="8" w:color="EEEEEE"/>
            </w:tcBorders>
            <w:shd w:val="clear" w:color="auto" w:fill="EEEEEE"/>
          </w:tcPr>
          <w:p>
            <w:pPr>
              <w:spacing w:after="0"/>
              <w:rPr>
                <w:sz w:val="13"/>
                <w:szCs w:val="13"/>
                <w:color w:val="auto"/>
              </w:rPr>
            </w:pPr>
          </w:p>
        </w:tc>
        <w:tc>
          <w:tcPr>
            <w:tcW w:w="100" w:type="dxa"/>
            <w:vAlign w:val="bottom"/>
            <w:tcBorders>
              <w:top w:val="single" w:sz="8" w:color="auto"/>
            </w:tcBorders>
            <w:shd w:val="clear" w:color="auto" w:fill="EEEEEE"/>
          </w:tcPr>
          <w:p>
            <w:pPr>
              <w:spacing w:after="0"/>
              <w:rPr>
                <w:sz w:val="13"/>
                <w:szCs w:val="13"/>
                <w:color w:val="auto"/>
              </w:rPr>
            </w:pPr>
          </w:p>
        </w:tc>
        <w:tc>
          <w:tcPr>
            <w:tcW w:w="1040" w:type="dxa"/>
            <w:vAlign w:val="bottom"/>
            <w:tcBorders>
              <w:top w:val="single" w:sz="8" w:color="auto"/>
            </w:tcBorders>
            <w:shd w:val="clear" w:color="auto" w:fill="EEEEEE"/>
          </w:tcPr>
          <w:p>
            <w:pPr>
              <w:spacing w:after="0"/>
              <w:rPr>
                <w:sz w:val="13"/>
                <w:szCs w:val="13"/>
                <w:color w:val="auto"/>
              </w:rPr>
            </w:pPr>
          </w:p>
        </w:tc>
        <w:tc>
          <w:tcPr>
            <w:tcW w:w="200" w:type="dxa"/>
            <w:vAlign w:val="bottom"/>
            <w:tcBorders>
              <w:top w:val="single" w:sz="8" w:color="EEEEEE"/>
            </w:tcBorders>
            <w:shd w:val="clear" w:color="auto" w:fill="EEEEEE"/>
          </w:tcPr>
          <w:p>
            <w:pPr>
              <w:spacing w:after="0"/>
              <w:rPr>
                <w:sz w:val="13"/>
                <w:szCs w:val="13"/>
                <w:color w:val="auto"/>
              </w:rPr>
            </w:pPr>
          </w:p>
        </w:tc>
        <w:tc>
          <w:tcPr>
            <w:tcW w:w="60" w:type="dxa"/>
            <w:vAlign w:val="bottom"/>
            <w:tcBorders>
              <w:top w:val="single" w:sz="8" w:color="EEEEEE"/>
            </w:tcBorders>
            <w:shd w:val="clear" w:color="auto" w:fill="EEEEEE"/>
          </w:tcPr>
          <w:p>
            <w:pPr>
              <w:spacing w:after="0"/>
              <w:rPr>
                <w:sz w:val="13"/>
                <w:szCs w:val="13"/>
                <w:color w:val="auto"/>
              </w:rPr>
            </w:pPr>
          </w:p>
        </w:tc>
        <w:tc>
          <w:tcPr>
            <w:tcW w:w="200" w:type="dxa"/>
            <w:vAlign w:val="bottom"/>
            <w:tcBorders>
              <w:top w:val="single" w:sz="8" w:color="auto"/>
            </w:tcBorders>
            <w:shd w:val="clear" w:color="auto" w:fill="EEEEEE"/>
          </w:tcPr>
          <w:p>
            <w:pPr>
              <w:spacing w:after="0"/>
              <w:rPr>
                <w:sz w:val="13"/>
                <w:szCs w:val="13"/>
                <w:color w:val="auto"/>
              </w:rPr>
            </w:pPr>
          </w:p>
        </w:tc>
        <w:tc>
          <w:tcPr>
            <w:tcW w:w="920" w:type="dxa"/>
            <w:vAlign w:val="bottom"/>
            <w:tcBorders>
              <w:top w:val="single" w:sz="8" w:color="auto"/>
            </w:tcBorders>
            <w:shd w:val="clear" w:color="auto" w:fill="EEEEEE"/>
          </w:tcPr>
          <w:p>
            <w:pPr>
              <w:spacing w:after="0"/>
              <w:rPr>
                <w:sz w:val="13"/>
                <w:szCs w:val="13"/>
                <w:color w:val="auto"/>
              </w:rPr>
            </w:pPr>
          </w:p>
        </w:tc>
        <w:tc>
          <w:tcPr>
            <w:tcW w:w="280" w:type="dxa"/>
            <w:vAlign w:val="bottom"/>
            <w:tcBorders>
              <w:top w:val="single" w:sz="8" w:color="EEEEEE"/>
            </w:tcBorders>
            <w:shd w:val="clear" w:color="auto" w:fill="EEEEEE"/>
          </w:tcPr>
          <w:p>
            <w:pPr>
              <w:spacing w:after="0"/>
              <w:rPr>
                <w:sz w:val="13"/>
                <w:szCs w:val="13"/>
                <w:color w:val="auto"/>
              </w:rPr>
            </w:pPr>
          </w:p>
        </w:tc>
        <w:tc>
          <w:tcPr>
            <w:tcW w:w="100" w:type="dxa"/>
            <w:vAlign w:val="bottom"/>
            <w:tcBorders>
              <w:top w:val="single" w:sz="8" w:color="auto"/>
            </w:tcBorders>
            <w:shd w:val="clear" w:color="auto" w:fill="EEEEEE"/>
          </w:tcPr>
          <w:p>
            <w:pPr>
              <w:spacing w:after="0"/>
              <w:rPr>
                <w:sz w:val="13"/>
                <w:szCs w:val="13"/>
                <w:color w:val="auto"/>
              </w:rPr>
            </w:pPr>
          </w:p>
        </w:tc>
        <w:tc>
          <w:tcPr>
            <w:tcW w:w="1020" w:type="dxa"/>
            <w:vAlign w:val="bottom"/>
            <w:tcBorders>
              <w:top w:val="single" w:sz="8" w:color="auto"/>
            </w:tcBorders>
            <w:shd w:val="clear" w:color="auto" w:fill="EEEEEE"/>
          </w:tcPr>
          <w:p>
            <w:pPr>
              <w:spacing w:after="0"/>
              <w:rPr>
                <w:sz w:val="13"/>
                <w:szCs w:val="13"/>
                <w:color w:val="auto"/>
              </w:rPr>
            </w:pPr>
          </w:p>
        </w:tc>
        <w:tc>
          <w:tcPr>
            <w:tcW w:w="220" w:type="dxa"/>
            <w:vAlign w:val="bottom"/>
            <w:tcBorders>
              <w:top w:val="single" w:sz="8" w:color="EEEEEE"/>
            </w:tcBorders>
            <w:shd w:val="clear" w:color="auto" w:fill="EEEEEE"/>
          </w:tcPr>
          <w:p>
            <w:pPr>
              <w:spacing w:after="0"/>
              <w:rPr>
                <w:sz w:val="13"/>
                <w:szCs w:val="13"/>
                <w:color w:val="auto"/>
              </w:rPr>
            </w:pPr>
          </w:p>
        </w:tc>
        <w:tc>
          <w:tcPr>
            <w:tcW w:w="60" w:type="dxa"/>
            <w:vAlign w:val="bottom"/>
            <w:tcBorders>
              <w:top w:val="single" w:sz="8" w:color="EEEEEE"/>
            </w:tcBorders>
            <w:shd w:val="clear" w:color="auto" w:fill="EEEEEE"/>
          </w:tcPr>
          <w:p>
            <w:pPr>
              <w:spacing w:after="0"/>
              <w:rPr>
                <w:sz w:val="13"/>
                <w:szCs w:val="13"/>
                <w:color w:val="auto"/>
              </w:rPr>
            </w:pPr>
          </w:p>
        </w:tc>
        <w:tc>
          <w:tcPr>
            <w:tcW w:w="200" w:type="dxa"/>
            <w:vAlign w:val="bottom"/>
            <w:tcBorders>
              <w:top w:val="single" w:sz="8" w:color="auto"/>
            </w:tcBorders>
            <w:shd w:val="clear" w:color="auto" w:fill="EEEEEE"/>
          </w:tcPr>
          <w:p>
            <w:pPr>
              <w:spacing w:after="0"/>
              <w:rPr>
                <w:sz w:val="13"/>
                <w:szCs w:val="13"/>
                <w:color w:val="auto"/>
              </w:rPr>
            </w:pPr>
          </w:p>
        </w:tc>
        <w:tc>
          <w:tcPr>
            <w:tcW w:w="940" w:type="dxa"/>
            <w:vAlign w:val="bottom"/>
            <w:tcBorders>
              <w:top w:val="single" w:sz="8" w:color="auto"/>
            </w:tcBorders>
            <w:shd w:val="clear" w:color="auto" w:fill="EEEEEE"/>
          </w:tcPr>
          <w:p>
            <w:pPr>
              <w:spacing w:after="0"/>
              <w:rPr>
                <w:sz w:val="13"/>
                <w:szCs w:val="13"/>
                <w:color w:val="auto"/>
              </w:rPr>
            </w:pPr>
          </w:p>
        </w:tc>
        <w:tc>
          <w:tcPr>
            <w:tcW w:w="100" w:type="dxa"/>
            <w:vAlign w:val="bottom"/>
            <w:tcBorders>
              <w:top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servicing portfolio</w:t>
            </w:r>
          </w:p>
        </w:tc>
        <w:tc>
          <w:tcPr>
            <w:tcW w:w="14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23.9%</w:t>
            </w:r>
          </w:p>
        </w:tc>
        <w:tc>
          <w:tcPr>
            <w:tcW w:w="13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12.2%</w:t>
            </w:r>
          </w:p>
        </w:tc>
        <w:tc>
          <w:tcPr>
            <w:tcW w:w="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9.2%</w:t>
            </w:r>
          </w:p>
        </w:tc>
        <w:tc>
          <w:tcPr>
            <w:tcW w:w="13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w w:val="96"/>
              </w:rPr>
              <w:t>repossession as a percentage of gross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servicing portfolio</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w w:val="93"/>
              </w:rPr>
              <w:t>Contracts with one extension, accruing (4)</w:t>
            </w:r>
          </w:p>
        </w:tc>
        <w:tc>
          <w:tcPr>
            <w:tcW w:w="140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376</w:t>
            </w:r>
          </w:p>
        </w:tc>
        <w:tc>
          <w:tcPr>
            <w:tcW w:w="13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1,203</w:t>
            </w:r>
          </w:p>
        </w:tc>
        <w:tc>
          <w:tcPr>
            <w:tcW w:w="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3,945</w:t>
            </w:r>
          </w:p>
        </w:tc>
        <w:tc>
          <w:tcPr>
            <w:tcW w:w="28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3,117</w:t>
            </w:r>
          </w:p>
        </w:tc>
        <w:tc>
          <w:tcPr>
            <w:tcW w:w="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accruing (4)</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815</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2,924</w:t>
            </w:r>
          </w:p>
        </w:tc>
        <w:tc>
          <w:tcPr>
            <w:tcW w:w="28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515</w:t>
            </w:r>
          </w:p>
        </w:tc>
        <w:tc>
          <w:tcPr>
            <w:tcW w:w="2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1,191</w:t>
            </w:r>
          </w:p>
        </w:tc>
        <w:tc>
          <w:tcPr>
            <w:tcW w:w="28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1,888</w:t>
            </w:r>
          </w:p>
        </w:tc>
        <w:tc>
          <w:tcPr>
            <w:tcW w:w="20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6,869</w:t>
            </w:r>
          </w:p>
        </w:tc>
        <w:tc>
          <w:tcPr>
            <w:tcW w:w="28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3,251</w:t>
            </w:r>
          </w:p>
        </w:tc>
        <w:tc>
          <w:tcPr>
            <w:tcW w:w="2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15,979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Contracts with one extension, non-accrual</w:t>
            </w:r>
          </w:p>
        </w:tc>
        <w:tc>
          <w:tcPr>
            <w:tcW w:w="1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(4)</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EEEEEE"/>
          </w:tcPr>
          <w:p>
            <w:pPr>
              <w:spacing w:after="0"/>
              <w:rPr>
                <w:sz w:val="20"/>
                <w:szCs w:val="20"/>
                <w:color w:val="auto"/>
              </w:rPr>
            </w:pPr>
          </w:p>
        </w:tc>
        <w:tc>
          <w:tcPr>
            <w:tcW w:w="13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60</w:t>
            </w:r>
          </w:p>
        </w:tc>
        <w:tc>
          <w:tcPr>
            <w:tcW w:w="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155</w:t>
            </w:r>
          </w:p>
        </w:tc>
        <w:tc>
          <w:tcPr>
            <w:tcW w:w="13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160</w:t>
            </w:r>
          </w:p>
        </w:tc>
        <w:tc>
          <w:tcPr>
            <w:tcW w:w="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non-accrual (4)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0"/>
                <w:szCs w:val="20"/>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Total accounts with extensions</w:t>
            </w:r>
          </w:p>
        </w:tc>
        <w:tc>
          <w:tcPr>
            <w:tcW w:w="140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1,243</w:t>
            </w:r>
          </w:p>
        </w:tc>
        <w:tc>
          <w:tcPr>
            <w:tcW w:w="13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1,983</w:t>
            </w:r>
          </w:p>
        </w:tc>
        <w:tc>
          <w:tcPr>
            <w:tcW w:w="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7,142</w:t>
            </w:r>
          </w:p>
        </w:tc>
        <w:tc>
          <w:tcPr>
            <w:tcW w:w="280" w:type="dxa"/>
            <w:vAlign w:val="bottom"/>
            <w:shd w:val="clear" w:color="auto" w:fill="EEEEEE"/>
          </w:tcPr>
          <w:p>
            <w:pPr>
              <w:spacing w:after="0"/>
              <w:rPr>
                <w:sz w:val="21"/>
                <w:szCs w:val="21"/>
                <w:color w:val="auto"/>
              </w:rPr>
            </w:pPr>
          </w:p>
        </w:tc>
        <w:tc>
          <w:tcPr>
            <w:tcW w:w="13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3,417</w:t>
            </w:r>
          </w:p>
        </w:tc>
        <w:tc>
          <w:tcPr>
            <w:tcW w:w="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980"/>
        <w:spacing w:after="0" w:line="293" w:lineRule="auto"/>
        <w:rPr>
          <w:sz w:val="20"/>
          <w:szCs w:val="20"/>
          <w:color w:val="auto"/>
        </w:rPr>
      </w:pPr>
      <w:r>
        <w:rPr>
          <w:rFonts w:ascii="Arial" w:cs="Arial" w:eastAsia="Arial" w:hAnsi="Arial"/>
          <w:sz w:val="16"/>
          <w:szCs w:val="16"/>
          <w:b w:val="1"/>
          <w:bCs w:val="1"/>
          <w:i w:val="1"/>
          <w:iCs w:val="1"/>
          <w:color w:val="auto"/>
        </w:rPr>
        <w:t xml:space="preserve">Delinquency Experience </w:t>
      </w:r>
      <w:r>
        <w:rPr>
          <w:rFonts w:ascii="Arial" w:cs="Arial" w:eastAsia="Arial" w:hAnsi="Arial"/>
          <w:sz w:val="16"/>
          <w:szCs w:val="16"/>
          <w:color w:val="auto"/>
        </w:rPr>
        <w:t>Gross servicing portfolio (1) Period of delinquency (2)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31-60 days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61-90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 days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delinquencies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 in repossession (3)</w:t>
      </w:r>
    </w:p>
    <w:p>
      <w:pPr>
        <w:spacing w:after="0" w:line="9" w:lineRule="exact"/>
        <w:rPr>
          <w:sz w:val="20"/>
          <w:szCs w:val="20"/>
          <w:color w:val="auto"/>
        </w:rPr>
      </w:pPr>
    </w:p>
    <w:p>
      <w:pPr>
        <w:ind w:left="180" w:right="560" w:hanging="179"/>
        <w:spacing w:after="0" w:line="273" w:lineRule="auto"/>
        <w:rPr>
          <w:sz w:val="20"/>
          <w:szCs w:val="20"/>
          <w:color w:val="auto"/>
        </w:rPr>
      </w:pPr>
      <w:r>
        <w:rPr>
          <w:rFonts w:ascii="Arial" w:cs="Arial" w:eastAsia="Arial" w:hAnsi="Arial"/>
          <w:sz w:val="18"/>
          <w:szCs w:val="18"/>
          <w:color w:val="auto"/>
        </w:rPr>
        <w:t>Total delinquencies and amount in repossession (2)</w:t>
      </w:r>
    </w:p>
    <w:p>
      <w:pPr>
        <w:spacing w:after="0" w:line="1" w:lineRule="exact"/>
        <w:rPr>
          <w:sz w:val="20"/>
          <w:szCs w:val="20"/>
          <w:color w:val="auto"/>
        </w:rPr>
      </w:pPr>
    </w:p>
    <w:p>
      <w:pPr>
        <w:ind w:left="180" w:right="240" w:hanging="179"/>
        <w:spacing w:after="0" w:line="258" w:lineRule="auto"/>
        <w:rPr>
          <w:sz w:val="20"/>
          <w:szCs w:val="20"/>
          <w:color w:val="auto"/>
        </w:rPr>
      </w:pPr>
      <w:r>
        <w:rPr>
          <w:rFonts w:ascii="Arial" w:cs="Arial" w:eastAsia="Arial" w:hAnsi="Arial"/>
          <w:sz w:val="18"/>
          <w:szCs w:val="18"/>
          <w:color w:val="auto"/>
        </w:rPr>
        <w:t>Delinquencies as a percentage of gross servicing portfolio</w:t>
      </w:r>
    </w:p>
    <w:p>
      <w:pPr>
        <w:spacing w:after="0" w:line="1" w:lineRule="exact"/>
        <w:rPr>
          <w:sz w:val="20"/>
          <w:szCs w:val="20"/>
          <w:color w:val="auto"/>
        </w:rPr>
      </w:pPr>
    </w:p>
    <w:p>
      <w:pPr>
        <w:ind w:left="180" w:right="180" w:hanging="179"/>
        <w:spacing w:after="0" w:line="263" w:lineRule="auto"/>
        <w:rPr>
          <w:sz w:val="20"/>
          <w:szCs w:val="20"/>
          <w:color w:val="auto"/>
        </w:rPr>
      </w:pPr>
      <w:r>
        <w:rPr>
          <w:rFonts w:ascii="Arial" w:cs="Arial" w:eastAsia="Arial" w:hAnsi="Arial"/>
          <w:sz w:val="18"/>
          <w:szCs w:val="18"/>
          <w:color w:val="auto"/>
        </w:rPr>
        <w:t>Total delinquencies and amount in repossession as a percentage of gross servicing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Experience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Contracts with one extension, accruing</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180" w:right="200" w:hanging="179"/>
        <w:spacing w:after="0" w:line="261" w:lineRule="auto"/>
        <w:rPr>
          <w:sz w:val="20"/>
          <w:szCs w:val="20"/>
          <w:color w:val="auto"/>
        </w:rPr>
      </w:pPr>
      <w:r>
        <w:rPr>
          <w:rFonts w:ascii="Arial" w:cs="Arial" w:eastAsia="Arial" w:hAnsi="Arial"/>
          <w:sz w:val="18"/>
          <w:szCs w:val="18"/>
          <w:color w:val="auto"/>
        </w:rPr>
        <w:t>Contracts with two or more extensions, accruing (4)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Contracts with one extension, non-accrual</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180" w:right="200" w:hanging="179"/>
        <w:spacing w:after="0" w:line="261" w:lineRule="auto"/>
        <w:rPr>
          <w:sz w:val="20"/>
          <w:szCs w:val="20"/>
          <w:color w:val="auto"/>
        </w:rPr>
      </w:pPr>
      <w:r>
        <w:rPr>
          <w:rFonts w:ascii="Arial" w:cs="Arial" w:eastAsia="Arial" w:hAnsi="Arial"/>
          <w:sz w:val="18"/>
          <w:szCs w:val="18"/>
          <w:color w:val="auto"/>
        </w:rPr>
        <w:t>Contracts with two or more extensions, non-accrual (4)</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Arial" w:cs="Arial" w:eastAsia="Arial" w:hAnsi="Arial"/>
          <w:sz w:val="18"/>
          <w:szCs w:val="18"/>
          <w:b w:val="1"/>
          <w:bCs w:val="1"/>
          <w:color w:val="auto"/>
        </w:rPr>
        <w:t>Delinquency and Extension Experience (1)</w:t>
      </w:r>
    </w:p>
    <w:p>
      <w:pPr>
        <w:spacing w:after="0" w:line="27" w:lineRule="exact"/>
        <w:rPr>
          <w:sz w:val="20"/>
          <w:szCs w:val="20"/>
          <w:color w:val="auto"/>
        </w:rPr>
      </w:pPr>
    </w:p>
    <w:p>
      <w:pPr>
        <w:jc w:val="center"/>
        <w:ind w:right="3160"/>
        <w:spacing w:after="0"/>
        <w:rPr>
          <w:sz w:val="20"/>
          <w:szCs w:val="20"/>
          <w:color w:val="auto"/>
        </w:rPr>
      </w:pPr>
      <w:r>
        <w:rPr>
          <w:rFonts w:ascii="Arial" w:cs="Arial" w:eastAsia="Arial" w:hAnsi="Arial"/>
          <w:sz w:val="18"/>
          <w:szCs w:val="18"/>
          <w:b w:val="1"/>
          <w:bCs w:val="1"/>
          <w:color w:val="auto"/>
        </w:rPr>
        <w:t>Total Owned Portfolio</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6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 2014</w:t>
            </w:r>
          </w:p>
        </w:tc>
        <w:tc>
          <w:tcPr>
            <w:tcW w:w="100" w:type="dxa"/>
            <w:vAlign w:val="bottom"/>
          </w:tcPr>
          <w:p>
            <w:pPr>
              <w:spacing w:after="0"/>
              <w:rPr>
                <w:sz w:val="20"/>
                <w:szCs w:val="20"/>
                <w:color w:val="auto"/>
              </w:rPr>
            </w:pPr>
          </w:p>
        </w:tc>
        <w:tc>
          <w:tcPr>
            <w:tcW w:w="26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tcPr>
          <w:p>
            <w:pPr>
              <w:spacing w:after="0"/>
              <w:rPr>
                <w:sz w:val="20"/>
                <w:szCs w:val="20"/>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December 31, 2012</w:t>
            </w:r>
          </w:p>
        </w:tc>
      </w:tr>
      <w:tr>
        <w:trPr>
          <w:trHeight w:val="191"/>
        </w:trPr>
        <w:tc>
          <w:tcPr>
            <w:tcW w:w="120" w:type="dxa"/>
            <w:vAlign w:val="bottom"/>
          </w:tcPr>
          <w:p>
            <w:pPr>
              <w:spacing w:after="0"/>
              <w:rPr>
                <w:sz w:val="16"/>
                <w:szCs w:val="16"/>
                <w:color w:val="auto"/>
              </w:rPr>
            </w:pPr>
          </w:p>
        </w:tc>
        <w:tc>
          <w:tcPr>
            <w:tcW w:w="128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9"/>
              </w:rPr>
              <w:t>Number of</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9"/>
              </w:rPr>
              <w:t>Number of</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rPr>
              <w:t>Number of</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12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Contracts</w:t>
            </w:r>
          </w:p>
        </w:tc>
        <w:tc>
          <w:tcPr>
            <w:tcW w:w="2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Contracts</w:t>
            </w:r>
          </w:p>
        </w:tc>
        <w:tc>
          <w:tcPr>
            <w:tcW w:w="2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Contracts</w:t>
            </w:r>
          </w:p>
        </w:tc>
        <w:tc>
          <w:tcPr>
            <w:tcW w:w="200" w:type="dxa"/>
            <w:vAlign w:val="bottom"/>
          </w:tcPr>
          <w:p>
            <w:pPr>
              <w:spacing w:after="0"/>
              <w:rPr>
                <w:sz w:val="20"/>
                <w:szCs w:val="20"/>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Amount</w:t>
            </w:r>
          </w:p>
        </w:tc>
      </w:tr>
      <w:tr>
        <w:trPr>
          <w:trHeight w:val="209"/>
        </w:trPr>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123,944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1,643,471</w:t>
            </w:r>
          </w:p>
        </w:tc>
        <w:tc>
          <w:tcPr>
            <w:tcW w:w="280" w:type="dxa"/>
            <w:vAlign w:val="bottom"/>
          </w:tcPr>
          <w:p>
            <w:pPr>
              <w:spacing w:after="0"/>
              <w:rPr>
                <w:sz w:val="20"/>
                <w:szCs w:val="20"/>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99,099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1,228,579</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89,163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885,990</w:t>
            </w:r>
          </w:p>
        </w:tc>
        <w:tc>
          <w:tcPr>
            <w:tcW w:w="120" w:type="dxa"/>
            <w:vAlign w:val="bottom"/>
          </w:tcPr>
          <w:p>
            <w:pPr>
              <w:spacing w:after="0"/>
              <w:rPr>
                <w:sz w:val="20"/>
                <w:szCs w:val="20"/>
                <w:color w:val="auto"/>
              </w:rPr>
            </w:pPr>
          </w:p>
        </w:tc>
      </w:tr>
      <w:tr>
        <w:trPr>
          <w:trHeight w:val="431"/>
        </w:trPr>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3,684</w:t>
            </w:r>
          </w:p>
        </w:tc>
        <w:tc>
          <w:tcPr>
            <w:tcW w:w="2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43,085</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3,018</w:t>
            </w:r>
          </w:p>
        </w:tc>
        <w:tc>
          <w:tcPr>
            <w:tcW w:w="2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22,765</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3,166</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20,240</w:t>
            </w:r>
          </w:p>
        </w:tc>
        <w:tc>
          <w:tcPr>
            <w:tcW w:w="120" w:type="dxa"/>
            <w:vAlign w:val="bottom"/>
          </w:tcPr>
          <w:p>
            <w:pPr>
              <w:spacing w:after="0"/>
              <w:rPr>
                <w:sz w:val="24"/>
                <w:szCs w:val="24"/>
                <w:color w:val="auto"/>
              </w:rPr>
            </w:pPr>
          </w:p>
        </w:tc>
      </w:tr>
      <w:tr>
        <w:trPr>
          <w:trHeight w:val="230"/>
        </w:trPr>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1,866</w:t>
            </w:r>
          </w:p>
        </w:tc>
        <w:tc>
          <w:tcPr>
            <w:tcW w:w="2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23,407</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2,149</w:t>
            </w:r>
          </w:p>
        </w:tc>
        <w:tc>
          <w:tcPr>
            <w:tcW w:w="2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25,167</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1,383</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19"/>
                <w:szCs w:val="19"/>
                <w:color w:val="auto"/>
              </w:rPr>
            </w:pPr>
          </w:p>
        </w:tc>
      </w:tr>
      <w:tr>
        <w:trPr>
          <w:trHeight w:val="230"/>
        </w:trPr>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1,935</w:t>
            </w: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23,301</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1,270</w:t>
            </w: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11,294</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5,628</w:t>
            </w:r>
          </w:p>
        </w:tc>
        <w:tc>
          <w:tcPr>
            <w:tcW w:w="120" w:type="dxa"/>
            <w:vAlign w:val="bottom"/>
          </w:tcPr>
          <w:p>
            <w:pPr>
              <w:spacing w:after="0"/>
              <w:rPr>
                <w:sz w:val="20"/>
                <w:szCs w:val="20"/>
                <w:color w:val="auto"/>
              </w:rPr>
            </w:pPr>
          </w:p>
        </w:tc>
      </w:tr>
      <w:tr>
        <w:trPr>
          <w:trHeight w:val="209"/>
        </w:trPr>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7,485</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89,793</w:t>
            </w:r>
          </w:p>
        </w:tc>
        <w:tc>
          <w:tcPr>
            <w:tcW w:w="280" w:type="dxa"/>
            <w:vAlign w:val="bottom"/>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6,437</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59,226</w:t>
            </w:r>
          </w:p>
        </w:tc>
        <w:tc>
          <w:tcPr>
            <w:tcW w:w="280" w:type="dxa"/>
            <w:vAlign w:val="bottom"/>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5,436</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35,938</w:t>
            </w:r>
          </w:p>
        </w:tc>
        <w:tc>
          <w:tcPr>
            <w:tcW w:w="120" w:type="dxa"/>
            <w:vAlign w:val="bottom"/>
          </w:tcPr>
          <w:p>
            <w:pPr>
              <w:spacing w:after="0"/>
              <w:rPr>
                <w:sz w:val="18"/>
                <w:szCs w:val="18"/>
                <w:color w:val="auto"/>
              </w:rPr>
            </w:pPr>
          </w:p>
        </w:tc>
      </w:tr>
      <w:tr>
        <w:trPr>
          <w:trHeight w:val="230"/>
        </w:trPr>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2,665</w:t>
            </w: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28,250</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2,991</w:t>
            </w: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25,130</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2,107</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13,209</w:t>
            </w:r>
          </w:p>
        </w:tc>
        <w:tc>
          <w:tcPr>
            <w:tcW w:w="120" w:type="dxa"/>
            <w:vAlign w:val="bottom"/>
          </w:tcPr>
          <w:p>
            <w:pPr>
              <w:spacing w:after="0"/>
              <w:rPr>
                <w:sz w:val="20"/>
                <w:szCs w:val="20"/>
                <w:color w:val="auto"/>
              </w:rPr>
            </w:pPr>
          </w:p>
        </w:tc>
      </w:tr>
      <w:tr>
        <w:trPr>
          <w:trHeight w:val="20"/>
        </w:trPr>
        <w:tc>
          <w:tcPr>
            <w:tcW w:w="11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10,150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118,043</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9,428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84,356</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7,543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49,147</w:t>
            </w:r>
          </w:p>
        </w:tc>
        <w:tc>
          <w:tcPr>
            <w:tcW w:w="1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648"/>
        </w:trPr>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5.5%</w:t>
            </w:r>
          </w:p>
        </w:tc>
      </w:tr>
      <w:tr>
        <w:trPr>
          <w:trHeight w:val="864"/>
        </w:trPr>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18,377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238,643</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14,957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180,181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12,211</w:t>
            </w:r>
          </w:p>
        </w:tc>
        <w:tc>
          <w:tcPr>
            <w:tcW w:w="28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88,894</w:t>
            </w:r>
          </w:p>
        </w:tc>
        <w:tc>
          <w:tcPr>
            <w:tcW w:w="120" w:type="dxa"/>
            <w:vAlign w:val="bottom"/>
          </w:tcPr>
          <w:p>
            <w:pPr>
              <w:spacing w:after="0"/>
              <w:rPr>
                <w:sz w:val="24"/>
                <w:szCs w:val="24"/>
                <w:color w:val="auto"/>
              </w:rPr>
            </w:pPr>
          </w:p>
        </w:tc>
      </w:tr>
      <w:tr>
        <w:trPr>
          <w:trHeight w:val="446"/>
        </w:trPr>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7,840</w:t>
            </w:r>
          </w:p>
        </w:tc>
        <w:tc>
          <w:tcPr>
            <w:tcW w:w="2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94,035</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6,134</w:t>
            </w:r>
          </w:p>
        </w:tc>
        <w:tc>
          <w:tcPr>
            <w:tcW w:w="2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46,793</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7,929</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38,478</w:t>
            </w:r>
          </w:p>
        </w:tc>
        <w:tc>
          <w:tcPr>
            <w:tcW w:w="120" w:type="dxa"/>
            <w:vAlign w:val="bottom"/>
          </w:tcPr>
          <w:p>
            <w:pPr>
              <w:spacing w:after="0"/>
              <w:rPr>
                <w:sz w:val="24"/>
                <w:szCs w:val="24"/>
                <w:color w:val="auto"/>
              </w:rPr>
            </w:pPr>
          </w:p>
        </w:tc>
      </w:tr>
      <w:tr>
        <w:trPr>
          <w:trHeight w:val="224"/>
        </w:trPr>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26,217</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332,678</w:t>
            </w:r>
          </w:p>
        </w:tc>
        <w:tc>
          <w:tcPr>
            <w:tcW w:w="280" w:type="dxa"/>
            <w:vAlign w:val="bottom"/>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21,091</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226,974</w:t>
            </w:r>
          </w:p>
        </w:tc>
        <w:tc>
          <w:tcPr>
            <w:tcW w:w="280" w:type="dxa"/>
            <w:vAlign w:val="bottom"/>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20,140</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127,372</w:t>
            </w:r>
          </w:p>
        </w:tc>
        <w:tc>
          <w:tcPr>
            <w:tcW w:w="120" w:type="dxa"/>
            <w:vAlign w:val="bottom"/>
          </w:tcPr>
          <w:p>
            <w:pPr>
              <w:spacing w:after="0"/>
              <w:rPr>
                <w:sz w:val="19"/>
                <w:szCs w:val="19"/>
                <w:color w:val="auto"/>
              </w:rPr>
            </w:pPr>
          </w:p>
        </w:tc>
      </w:tr>
      <w:tr>
        <w:trPr>
          <w:trHeight w:val="634"/>
        </w:trPr>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1,285</w:t>
            </w:r>
          </w:p>
        </w:tc>
        <w:tc>
          <w:tcPr>
            <w:tcW w:w="2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14,723</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1,090</w:t>
            </w:r>
          </w:p>
        </w:tc>
        <w:tc>
          <w:tcPr>
            <w:tcW w:w="2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9,503</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792</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5,127</w:t>
            </w:r>
          </w:p>
        </w:tc>
        <w:tc>
          <w:tcPr>
            <w:tcW w:w="120" w:type="dxa"/>
            <w:vAlign w:val="bottom"/>
          </w:tcPr>
          <w:p>
            <w:pPr>
              <w:spacing w:after="0"/>
              <w:rPr>
                <w:sz w:val="24"/>
                <w:szCs w:val="24"/>
                <w:color w:val="auto"/>
              </w:rPr>
            </w:pPr>
          </w:p>
        </w:tc>
      </w:tr>
      <w:tr>
        <w:trPr>
          <w:trHeight w:val="444"/>
        </w:trPr>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6,499</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3,385</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4,364</w:t>
            </w: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-3668395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-3376930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-3102610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-2811145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-2364740</wp:posOffset>
            </wp:positionV>
            <wp:extent cx="7246620"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-1670685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-1395730</wp:posOffset>
            </wp:positionV>
            <wp:extent cx="72466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-838835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-555625</wp:posOffset>
            </wp:positionV>
            <wp:extent cx="72466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40" w:space="120"/>
            <w:col w:w="826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3160" w:type="dxa"/>
            <w:vAlign w:val="bottom"/>
            <w:shd w:val="clear" w:color="auto" w:fill="EEEEEE"/>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r>
      <w:tr>
        <w:trPr>
          <w:trHeight w:val="192"/>
        </w:trPr>
        <w:tc>
          <w:tcPr>
            <w:tcW w:w="3160" w:type="dxa"/>
            <w:vAlign w:val="bottom"/>
            <w:shd w:val="clear" w:color="auto" w:fill="EEEEEE"/>
          </w:tcPr>
          <w:p>
            <w:pPr>
              <w:spacing w:after="0"/>
              <w:rPr>
                <w:sz w:val="16"/>
                <w:szCs w:val="16"/>
                <w:color w:val="auto"/>
              </w:rPr>
            </w:pPr>
          </w:p>
        </w:tc>
        <w:tc>
          <w:tcPr>
            <w:tcW w:w="1400" w:type="dxa"/>
            <w:vAlign w:val="bottom"/>
            <w:gridSpan w:val="2"/>
            <w:shd w:val="clear" w:color="auto" w:fill="EEEEEE"/>
          </w:tcPr>
          <w:p>
            <w:pPr>
              <w:jc w:val="right"/>
              <w:ind w:right="280"/>
              <w:spacing w:after="0" w:line="192" w:lineRule="exact"/>
              <w:rPr>
                <w:sz w:val="20"/>
                <w:szCs w:val="20"/>
                <w:color w:val="auto"/>
              </w:rPr>
            </w:pPr>
            <w:r>
              <w:rPr>
                <w:rFonts w:ascii="Arial" w:cs="Arial" w:eastAsia="Arial" w:hAnsi="Arial"/>
                <w:sz w:val="18"/>
                <w:szCs w:val="18"/>
                <w:color w:val="auto"/>
              </w:rPr>
              <w:t>1,897</w:t>
            </w:r>
          </w:p>
        </w:tc>
        <w:tc>
          <w:tcPr>
            <w:tcW w:w="32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280"/>
              <w:spacing w:after="0" w:line="192" w:lineRule="exact"/>
              <w:rPr>
                <w:sz w:val="20"/>
                <w:szCs w:val="20"/>
                <w:color w:val="auto"/>
              </w:rPr>
            </w:pPr>
            <w:r>
              <w:rPr>
                <w:rFonts w:ascii="Arial" w:cs="Arial" w:eastAsia="Arial" w:hAnsi="Arial"/>
                <w:sz w:val="18"/>
                <w:szCs w:val="18"/>
                <w:color w:val="auto"/>
              </w:rPr>
              <w:t>21,222</w:t>
            </w:r>
          </w:p>
        </w:tc>
        <w:tc>
          <w:tcPr>
            <w:tcW w:w="1380" w:type="dxa"/>
            <w:vAlign w:val="bottom"/>
            <w:gridSpan w:val="2"/>
            <w:shd w:val="clear" w:color="auto" w:fill="EEEEEE"/>
          </w:tcPr>
          <w:p>
            <w:pPr>
              <w:jc w:val="right"/>
              <w:ind w:right="260"/>
              <w:spacing w:after="0" w:line="192" w:lineRule="exact"/>
              <w:rPr>
                <w:sz w:val="20"/>
                <w:szCs w:val="20"/>
                <w:color w:val="auto"/>
              </w:rPr>
            </w:pPr>
            <w:r>
              <w:rPr>
                <w:rFonts w:ascii="Arial" w:cs="Arial" w:eastAsia="Arial" w:hAnsi="Arial"/>
                <w:sz w:val="18"/>
                <w:szCs w:val="18"/>
                <w:color w:val="auto"/>
              </w:rPr>
              <w:t>1,747</w:t>
            </w:r>
          </w:p>
        </w:tc>
        <w:tc>
          <w:tcPr>
            <w:tcW w:w="32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280"/>
              <w:spacing w:after="0" w:line="192" w:lineRule="exact"/>
              <w:rPr>
                <w:sz w:val="20"/>
                <w:szCs w:val="20"/>
                <w:color w:val="auto"/>
              </w:rPr>
            </w:pPr>
            <w:r>
              <w:rPr>
                <w:rFonts w:ascii="Arial" w:cs="Arial" w:eastAsia="Arial" w:hAnsi="Arial"/>
                <w:sz w:val="18"/>
                <w:szCs w:val="18"/>
                <w:color w:val="auto"/>
              </w:rPr>
              <w:t>12,888</w:t>
            </w:r>
          </w:p>
        </w:tc>
        <w:tc>
          <w:tcPr>
            <w:tcW w:w="1400" w:type="dxa"/>
            <w:vAlign w:val="bottom"/>
            <w:gridSpan w:val="2"/>
            <w:shd w:val="clear" w:color="auto" w:fill="EEEEEE"/>
          </w:tcPr>
          <w:p>
            <w:pPr>
              <w:jc w:val="right"/>
              <w:ind w:right="280"/>
              <w:spacing w:after="0" w:line="192" w:lineRule="exact"/>
              <w:rPr>
                <w:sz w:val="20"/>
                <w:szCs w:val="20"/>
                <w:color w:val="auto"/>
              </w:rPr>
            </w:pPr>
            <w:r>
              <w:rPr>
                <w:rFonts w:ascii="Arial" w:cs="Arial" w:eastAsia="Arial" w:hAnsi="Arial"/>
                <w:sz w:val="18"/>
                <w:szCs w:val="18"/>
                <w:color w:val="auto"/>
              </w:rPr>
              <w:t>1,842</w:t>
            </w:r>
          </w:p>
        </w:tc>
        <w:tc>
          <w:tcPr>
            <w:tcW w:w="320" w:type="dxa"/>
            <w:vAlign w:val="bottom"/>
            <w:shd w:val="clear" w:color="auto" w:fill="EEEEEE"/>
          </w:tcPr>
          <w:p>
            <w:pPr>
              <w:spacing w:after="0"/>
              <w:rPr>
                <w:sz w:val="16"/>
                <w:szCs w:val="16"/>
                <w:color w:val="auto"/>
              </w:rPr>
            </w:pPr>
          </w:p>
        </w:tc>
        <w:tc>
          <w:tcPr>
            <w:tcW w:w="960" w:type="dxa"/>
            <w:vAlign w:val="bottom"/>
            <w:gridSpan w:val="2"/>
            <w:shd w:val="clear" w:color="auto" w:fill="EEEEEE"/>
          </w:tcPr>
          <w:p>
            <w:pPr>
              <w:jc w:val="right"/>
              <w:ind w:right="160"/>
              <w:spacing w:after="0" w:line="192" w:lineRule="exact"/>
              <w:rPr>
                <w:sz w:val="20"/>
                <w:szCs w:val="20"/>
                <w:color w:val="auto"/>
              </w:rPr>
            </w:pPr>
            <w:r>
              <w:rPr>
                <w:rFonts w:ascii="Arial" w:cs="Arial" w:eastAsia="Arial" w:hAnsi="Arial"/>
                <w:sz w:val="18"/>
                <w:szCs w:val="18"/>
                <w:color w:val="auto"/>
              </w:rPr>
              <w:t>9,491</w:t>
            </w:r>
          </w:p>
        </w:tc>
      </w:tr>
      <w:tr>
        <w:trPr>
          <w:trHeight w:val="210"/>
        </w:trPr>
        <w:tc>
          <w:tcPr>
            <w:tcW w:w="3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Total accounts with extensions</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28,114</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353,900</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22,838</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239,862</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21,982</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136,863</w:t>
            </w:r>
          </w:p>
        </w:tc>
      </w:tr>
      <w:tr>
        <w:trPr>
          <w:trHeight w:val="20"/>
        </w:trPr>
        <w:tc>
          <w:tcPr>
            <w:tcW w:w="31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ind w:left="620" w:right="140" w:hanging="558"/>
        <w:spacing w:after="0" w:line="269" w:lineRule="auto"/>
        <w:tabs>
          <w:tab w:leader="none" w:pos="620" w:val="left"/>
        </w:tabs>
        <w:numPr>
          <w:ilvl w:val="1"/>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purchased, including automobile contracts we subsequently sold in securitization transactions that we continue to service. The table does not include certain contracts we have serviced for third-parties on which we earn servicing fees only, and have no credit risk.</w:t>
      </w:r>
    </w:p>
    <w:p>
      <w:pPr>
        <w:spacing w:after="0" w:line="2" w:lineRule="exact"/>
        <w:rPr>
          <w:rFonts w:ascii="Arial" w:cs="Arial" w:eastAsia="Arial" w:hAnsi="Arial"/>
          <w:sz w:val="17"/>
          <w:szCs w:val="17"/>
          <w:i w:val="1"/>
          <w:iCs w:val="1"/>
          <w:color w:val="auto"/>
        </w:rPr>
      </w:pPr>
    </w:p>
    <w:p>
      <w:pPr>
        <w:ind w:left="620" w:right="40" w:hanging="558"/>
        <w:spacing w:after="0" w:line="250" w:lineRule="auto"/>
        <w:tabs>
          <w:tab w:leader="none" w:pos="62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580" w:hanging="558"/>
        <w:spacing w:after="0"/>
        <w:tabs>
          <w:tab w:leader="none" w:pos="5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the contract balance on financed vehicles that have been repossessed but not yet liquidated.</w:t>
      </w:r>
    </w:p>
    <w:p>
      <w:pPr>
        <w:spacing w:after="0" w:line="9" w:lineRule="exact"/>
        <w:rPr>
          <w:rFonts w:ascii="Arial" w:cs="Arial" w:eastAsia="Arial" w:hAnsi="Arial"/>
          <w:sz w:val="18"/>
          <w:szCs w:val="18"/>
          <w:i w:val="1"/>
          <w:iCs w:val="1"/>
          <w:color w:val="auto"/>
        </w:rPr>
      </w:pPr>
    </w:p>
    <w:p>
      <w:pPr>
        <w:ind w:left="580" w:hanging="558"/>
        <w:spacing w:after="0"/>
        <w:tabs>
          <w:tab w:leader="none" w:pos="5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Net Credit Loss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 Excluding Fireside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90"/>
              </w:rPr>
              <w:t>Year Ended December 31,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9"/>
              </w:rPr>
              <w:t>2014</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89"/>
              </w:rPr>
              <w:t>2013</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(Dollars 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2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1,415,667</w:t>
            </w:r>
          </w:p>
        </w:tc>
        <w:tc>
          <w:tcPr>
            <w:tcW w:w="5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1,044,686</w:t>
            </w:r>
          </w:p>
        </w:tc>
        <w:tc>
          <w:tcPr>
            <w:tcW w:w="3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699,030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0"/>
              </w:rPr>
              <w:t>Net charge-offs as a percentage of average servicing portfolio (2)</w:t>
            </w:r>
          </w:p>
        </w:tc>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6900" w:type="dxa"/>
            <w:vAlign w:val="bottom"/>
            <w:gridSpan w:val="3"/>
          </w:tcPr>
          <w:p>
            <w:pPr>
              <w:jc w:val="center"/>
              <w:ind w:left="4410"/>
              <w:spacing w:after="0"/>
              <w:rPr>
                <w:sz w:val="20"/>
                <w:szCs w:val="20"/>
                <w:color w:val="auto"/>
              </w:rPr>
            </w:pPr>
            <w:r>
              <w:rPr>
                <w:rFonts w:ascii="Arial" w:cs="Arial" w:eastAsia="Arial" w:hAnsi="Arial"/>
                <w:sz w:val="18"/>
                <w:szCs w:val="18"/>
                <w:b w:val="1"/>
                <w:bCs w:val="1"/>
                <w:color w:val="auto"/>
                <w:w w:val="90"/>
              </w:rPr>
              <w:t>Net Credit Loss Experience (1)</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Fireside Portfolio (3)</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90"/>
              </w:rPr>
              <w:t>Year Ended December 31,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9"/>
              </w:rPr>
              <w:t>2014</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89"/>
              </w:rPr>
              <w:t>2013</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(Dollars 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220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2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5,919</w:t>
            </w:r>
          </w:p>
        </w:tc>
        <w:tc>
          <w:tcPr>
            <w:tcW w:w="5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31,293</w:t>
            </w:r>
          </w:p>
        </w:tc>
        <w:tc>
          <w:tcPr>
            <w:tcW w:w="3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103,548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0"/>
              </w:rPr>
              <w:t>Net charge-offs as a percentage of average servicing portfolio (2)</w:t>
            </w:r>
          </w:p>
        </w:tc>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50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6900" w:type="dxa"/>
            <w:vAlign w:val="bottom"/>
            <w:gridSpan w:val="3"/>
          </w:tcPr>
          <w:p>
            <w:pPr>
              <w:jc w:val="center"/>
              <w:ind w:left="4410"/>
              <w:spacing w:after="0"/>
              <w:rPr>
                <w:sz w:val="20"/>
                <w:szCs w:val="20"/>
                <w:color w:val="auto"/>
              </w:rPr>
            </w:pPr>
            <w:r>
              <w:rPr>
                <w:rFonts w:ascii="Arial" w:cs="Arial" w:eastAsia="Arial" w:hAnsi="Arial"/>
                <w:sz w:val="18"/>
                <w:szCs w:val="18"/>
                <w:b w:val="1"/>
                <w:bCs w:val="1"/>
                <w:color w:val="auto"/>
                <w:w w:val="90"/>
              </w:rPr>
              <w:t>Net Credit Loss Experience (1)</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Owned Portfolio (3)</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90"/>
              </w:rPr>
              <w:t>Year Ended December 31,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9"/>
              </w:rPr>
              <w:t>2014</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89"/>
              </w:rPr>
              <w:t>2013</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(Dollars in thousands)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2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1,421,587</w:t>
            </w:r>
          </w:p>
        </w:tc>
        <w:tc>
          <w:tcPr>
            <w:tcW w:w="5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1,075,979</w:t>
            </w:r>
          </w:p>
        </w:tc>
        <w:tc>
          <w:tcPr>
            <w:tcW w:w="3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802,579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0"/>
              </w:rPr>
              <w:t>Net charge-offs as a percentage of average servicing portfolio (2)</w:t>
            </w:r>
          </w:p>
        </w:tc>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right="240" w:hanging="558"/>
        <w:spacing w:after="0" w:line="256" w:lineRule="auto"/>
        <w:tabs>
          <w:tab w:leader="none" w:pos="5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 The information in the table represents all automobile contracts we service, excluding certain contracts we have serviced for third-parties on which we earn servicing fees only, and have no credit risk.</w:t>
      </w:r>
    </w:p>
    <w:p>
      <w:pPr>
        <w:ind w:left="620" w:right="300" w:hanging="558"/>
        <w:spacing w:after="0" w:line="250" w:lineRule="auto"/>
        <w:tabs>
          <w:tab w:leader="none" w:pos="620" w:val="left"/>
        </w:tabs>
        <w:numPr>
          <w:ilvl w:val="1"/>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financial statements.</w:t>
      </w:r>
    </w:p>
    <w:p>
      <w:pPr>
        <w:spacing w:after="0" w:line="1" w:lineRule="exact"/>
        <w:rPr>
          <w:rFonts w:ascii="Arial" w:cs="Arial" w:eastAsia="Arial" w:hAnsi="Arial"/>
          <w:sz w:val="18"/>
          <w:szCs w:val="18"/>
          <w:i w:val="1"/>
          <w:iCs w:val="1"/>
          <w:color w:val="auto"/>
        </w:rPr>
      </w:pPr>
    </w:p>
    <w:p>
      <w:pPr>
        <w:ind w:left="620" w:hanging="558"/>
        <w:spacing w:after="0"/>
        <w:tabs>
          <w:tab w:leader="none" w:pos="620" w:val="left"/>
        </w:tabs>
        <w:numPr>
          <w:ilvl w:val="1"/>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Amounts and percentages associated with the Fireside Portfolio reflect only the period after the acquisition of the portfolio in September 2011.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Extensions</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ind w:right="20" w:firstLine="648"/>
        <w:spacing w:after="0" w:line="271" w:lineRule="auto"/>
        <w:rPr>
          <w:sz w:val="20"/>
          <w:szCs w:val="20"/>
          <w:color w:val="auto"/>
        </w:rPr>
      </w:pPr>
      <w:r>
        <w:rPr>
          <w:rFonts w:ascii="Arial" w:cs="Arial" w:eastAsia="Arial" w:hAnsi="Arial"/>
          <w:sz w:val="17"/>
          <w:szCs w:val="17"/>
          <w:color w:val="auto"/>
        </w:rPr>
        <w:t>The basic question in deciding to grant an extension is whether or not we will (a) be delaying an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from the obligor, thereby indicating an additional monetary and psychological commitment to the contract on the obligor’s part. Fees collected in conjunction with an extension are credited to obligors’ outstanding accrued interest.</w:t>
      </w:r>
    </w:p>
    <w:p>
      <w:pPr>
        <w:spacing w:after="0" w:line="17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6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believe that a prudent extension program is an integral component to mitigating losses in our portfolio of sub-prime automobile receivables. The table below summarizes the status, as of December 31, 2014, for accounts that received extensions from 2008 through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 Charged</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Avg</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Active or Paid</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 Active or</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rPr>
              <w:t>Off ≤ 6</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Months</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Off at</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Paid Off at</w:t>
            </w: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Charged Off &gt;</w:t>
            </w: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 Charged Off</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Charged Off ≤</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Months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to Charge</w:t>
            </w:r>
          </w:p>
        </w:tc>
      </w:tr>
      <w:tr>
        <w:trPr>
          <w:trHeight w:val="216"/>
        </w:trPr>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Period of</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 Extensions</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31,</w:t>
            </w: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6 Months After</w:t>
            </w: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&gt; 6 Months</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6 Months After</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Off Post</w:t>
            </w:r>
          </w:p>
        </w:tc>
      </w:tr>
      <w:tr>
        <w:trPr>
          <w:trHeight w:val="230"/>
        </w:trPr>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Extension</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Granted</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34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Extension</w:t>
            </w: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After Extension</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Extension</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Extension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Extension</w:t>
            </w:r>
          </w:p>
        </w:tc>
      </w:tr>
      <w:tr>
        <w:trPr>
          <w:trHeight w:val="210"/>
        </w:trPr>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35,588</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10,871</w:t>
            </w: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30.5%</w:t>
            </w:r>
          </w:p>
        </w:tc>
        <w:tc>
          <w:tcPr>
            <w:tcW w:w="14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19,898</w:t>
            </w: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55.9%</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4,819</w:t>
            </w:r>
          </w:p>
        </w:tc>
        <w:tc>
          <w:tcPr>
            <w:tcW w:w="10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13.5%</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2009</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32,004</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10,271</w:t>
            </w: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32.1%</w:t>
            </w:r>
          </w:p>
        </w:tc>
        <w:tc>
          <w:tcPr>
            <w:tcW w:w="14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15,950</w:t>
            </w: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49.8%</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5,783</w:t>
            </w:r>
          </w:p>
        </w:tc>
        <w:tc>
          <w:tcPr>
            <w:tcW w:w="10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18.1%</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26,167</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12,489</w:t>
            </w: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47.7%</w:t>
            </w:r>
          </w:p>
        </w:tc>
        <w:tc>
          <w:tcPr>
            <w:tcW w:w="14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11,679</w:t>
            </w: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44.6%</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1,999</w:t>
            </w:r>
          </w:p>
        </w:tc>
        <w:tc>
          <w:tcPr>
            <w:tcW w:w="10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7.6%</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2011</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18,786</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11,382</w:t>
            </w: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60.6%</w:t>
            </w:r>
          </w:p>
        </w:tc>
        <w:tc>
          <w:tcPr>
            <w:tcW w:w="14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6,472</w:t>
            </w: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34.5%</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932</w:t>
            </w:r>
          </w:p>
        </w:tc>
        <w:tc>
          <w:tcPr>
            <w:tcW w:w="10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5.0%</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18,783</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12,439</w:t>
            </w: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66.2%</w:t>
            </w:r>
          </w:p>
        </w:tc>
        <w:tc>
          <w:tcPr>
            <w:tcW w:w="14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5,548</w:t>
            </w: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29.5%</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796</w:t>
            </w:r>
          </w:p>
        </w:tc>
        <w:tc>
          <w:tcPr>
            <w:tcW w:w="10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4.2%</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2013</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23,398</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17,759</w:t>
            </w: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75.9%</w:t>
            </w:r>
          </w:p>
        </w:tc>
        <w:tc>
          <w:tcPr>
            <w:tcW w:w="14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4,663</w:t>
            </w: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19.9%</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976</w:t>
            </w:r>
          </w:p>
        </w:tc>
        <w:tc>
          <w:tcPr>
            <w:tcW w:w="10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4.2%</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view these results as a confirmation of the effectiveness of our extension program. For the accounts receiving extensions in 2008, 2009, 2010, 2011, 2012 and 2013, 30.5%, 32.1%, 47.7%, 60.6%, 66.2% and 75.9%, respectively, were either paid in full or are active and performing at December 31, 2014. With each of these successful extensions we received continued payments of interest and principal (including payment in full in many cases). Without the extension, however, we would have likely incurred a substantial loss and no additional interest revenue.</w:t>
      </w:r>
    </w:p>
    <w:p>
      <w:pPr>
        <w:spacing w:after="0" w:line="17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For extension accounts that ultimately charged off, we consider accounts that charged off more than six months after the extension to be at least partially successful. For the 2008, 2009, 2010, 2011, 2012 and 2013 extensions that charged off, the charge off was incurred, on average, 19, 16, 18, 17, 14 and 11 months, respectively, after the extension, This indicates that even in the cases of an ultimate loss, we received additional payments of principal and interest that otherwise we would not have received.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4"/>
          </w:tcPr>
          <w:p>
            <w:pPr>
              <w:jc w:val="center"/>
              <w:ind w:left="10"/>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7"/>
          </w:tcPr>
          <w:p>
            <w:pPr>
              <w:jc w:val="center"/>
              <w:ind w:right="480"/>
              <w:spacing w:after="0"/>
              <w:rPr>
                <w:sz w:val="20"/>
                <w:szCs w:val="20"/>
                <w:color w:val="auto"/>
              </w:rPr>
            </w:pPr>
            <w:r>
              <w:rPr>
                <w:rFonts w:ascii="Arial" w:cs="Arial" w:eastAsia="Arial" w:hAnsi="Arial"/>
                <w:sz w:val="18"/>
                <w:szCs w:val="18"/>
                <w:color w:val="auto"/>
                <w:w w:val="88"/>
              </w:rPr>
              <w:t>Year Ended</w:t>
            </w:r>
          </w:p>
        </w:tc>
        <w:tc>
          <w:tcPr>
            <w:tcW w:w="1400" w:type="dxa"/>
            <w:vAlign w:val="bottom"/>
            <w:gridSpan w:val="5"/>
          </w:tcPr>
          <w:p>
            <w:pPr>
              <w:ind w:left="14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4"/>
          </w:tcPr>
          <w:p>
            <w:pPr>
              <w:jc w:val="center"/>
              <w:ind w:left="3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gridSpan w:val="7"/>
          </w:tcPr>
          <w:p>
            <w:pPr>
              <w:jc w:val="center"/>
              <w:ind w:right="500"/>
              <w:spacing w:after="0"/>
              <w:rPr>
                <w:sz w:val="20"/>
                <w:szCs w:val="20"/>
                <w:color w:val="auto"/>
              </w:rPr>
            </w:pPr>
            <w:r>
              <w:rPr>
                <w:rFonts w:ascii="Arial" w:cs="Arial" w:eastAsia="Arial" w:hAnsi="Arial"/>
                <w:sz w:val="18"/>
                <w:szCs w:val="18"/>
                <w:color w:val="auto"/>
                <w:w w:val="90"/>
              </w:rPr>
              <w:t>December 31,</w:t>
            </w:r>
          </w:p>
        </w:tc>
        <w:tc>
          <w:tcPr>
            <w:tcW w:w="1400" w:type="dxa"/>
            <w:vAlign w:val="bottom"/>
            <w:gridSpan w:val="5"/>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left="67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center"/>
              <w:ind w:right="350"/>
              <w:spacing w:after="0"/>
              <w:rPr>
                <w:sz w:val="20"/>
                <w:szCs w:val="20"/>
                <w:color w:val="auto"/>
              </w:rPr>
            </w:pPr>
            <w:r>
              <w:rPr>
                <w:rFonts w:ascii="Arial" w:cs="Arial" w:eastAsia="Arial" w:hAnsi="Arial"/>
                <w:sz w:val="18"/>
                <w:szCs w:val="18"/>
                <w:color w:val="auto"/>
                <w:w w:val="89"/>
              </w:rPr>
              <w:t>2013</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w w:val="99"/>
              </w:rPr>
              <w:t>2012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w w:val="93"/>
              </w:rPr>
              <w:t>2,148</w:t>
            </w: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1,950</w:t>
            </w:r>
          </w:p>
        </w:tc>
        <w:tc>
          <w:tcPr>
            <w:tcW w:w="3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1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60" w:type="dxa"/>
            <w:vAlign w:val="bottom"/>
            <w:gridSpan w:val="7"/>
            <w:shd w:val="clear" w:color="auto" w:fill="EEEEEE"/>
          </w:tcPr>
          <w:p>
            <w:pPr>
              <w:jc w:val="right"/>
              <w:ind w:right="380"/>
              <w:spacing w:after="0"/>
              <w:rPr>
                <w:sz w:val="20"/>
                <w:szCs w:val="20"/>
                <w:color w:val="auto"/>
              </w:rPr>
            </w:pPr>
            <w:r>
              <w:rPr>
                <w:rFonts w:ascii="Arial" w:cs="Arial" w:eastAsia="Arial" w:hAnsi="Arial"/>
                <w:sz w:val="18"/>
                <w:szCs w:val="18"/>
                <w:color w:val="auto"/>
              </w:rPr>
              <w:t>110,356</w:t>
            </w: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93,247</w:t>
            </w: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93,022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9"/>
              </w:rPr>
              <w:t>Average monthly extensions as % of average outstandings</w:t>
            </w: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1.9%</w:t>
            </w: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2.1%</w:t>
            </w: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4700" w:type="dxa"/>
            <w:vAlign w:val="bottom"/>
            <w:gridSpan w:val="4"/>
          </w:tcPr>
          <w:p>
            <w:pPr>
              <w:spacing w:after="0"/>
              <w:rPr>
                <w:sz w:val="20"/>
                <w:szCs w:val="20"/>
                <w:color w:val="auto"/>
              </w:rPr>
            </w:pPr>
            <w:r>
              <w:rPr>
                <w:rFonts w:ascii="Arial" w:cs="Arial" w:eastAsia="Arial" w:hAnsi="Arial"/>
                <w:sz w:val="18"/>
                <w:szCs w:val="18"/>
                <w:i w:val="1"/>
                <w:iCs w:val="1"/>
                <w:color w:val="auto"/>
                <w:w w:val="91"/>
              </w:rPr>
              <w:t>Table excludes extensions on portfolios serviced for third parties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80" w:type="dxa"/>
            <w:vAlign w:val="bottom"/>
            <w:gridSpan w:val="6"/>
          </w:tcPr>
          <w:p>
            <w:pPr>
              <w:ind w:left="560"/>
              <w:spacing w:after="0"/>
              <w:rPr>
                <w:sz w:val="20"/>
                <w:szCs w:val="20"/>
                <w:color w:val="auto"/>
              </w:rPr>
            </w:pPr>
            <w:r>
              <w:rPr>
                <w:rFonts w:ascii="Arial" w:cs="Arial" w:eastAsia="Arial" w:hAnsi="Arial"/>
                <w:sz w:val="18"/>
                <w:szCs w:val="18"/>
                <w:color w:val="auto"/>
              </w:rPr>
              <w:t>December 31, 2014</w:t>
            </w:r>
          </w:p>
        </w:tc>
        <w:tc>
          <w:tcPr>
            <w:tcW w:w="340" w:type="dxa"/>
            <w:vAlign w:val="bottom"/>
          </w:tcPr>
          <w:p>
            <w:pPr>
              <w:spacing w:after="0"/>
              <w:rPr>
                <w:sz w:val="24"/>
                <w:szCs w:val="24"/>
                <w:color w:val="auto"/>
              </w:rPr>
            </w:pPr>
          </w:p>
        </w:tc>
        <w:tc>
          <w:tcPr>
            <w:tcW w:w="2180" w:type="dxa"/>
            <w:vAlign w:val="bottom"/>
            <w:gridSpan w:val="8"/>
          </w:tcPr>
          <w:p>
            <w:pPr>
              <w:ind w:left="200"/>
              <w:spacing w:after="0"/>
              <w:rPr>
                <w:sz w:val="20"/>
                <w:szCs w:val="20"/>
                <w:color w:val="auto"/>
              </w:rPr>
            </w:pPr>
            <w:r>
              <w:rPr>
                <w:rFonts w:ascii="Arial" w:cs="Arial" w:eastAsia="Arial" w:hAnsi="Arial"/>
                <w:sz w:val="18"/>
                <w:szCs w:val="18"/>
                <w:color w:val="auto"/>
              </w:rPr>
              <w:t>December 31, 2013</w:t>
            </w:r>
          </w:p>
        </w:tc>
        <w:tc>
          <w:tcPr>
            <w:tcW w:w="180" w:type="dxa"/>
            <w:vAlign w:val="bottom"/>
          </w:tcPr>
          <w:p>
            <w:pPr>
              <w:spacing w:after="0"/>
              <w:rPr>
                <w:sz w:val="24"/>
                <w:szCs w:val="24"/>
                <w:color w:val="auto"/>
              </w:rPr>
            </w:pPr>
          </w:p>
        </w:tc>
        <w:tc>
          <w:tcPr>
            <w:tcW w:w="2600" w:type="dxa"/>
            <w:vAlign w:val="bottom"/>
            <w:gridSpan w:val="9"/>
          </w:tcPr>
          <w:p>
            <w:pPr>
              <w:jc w:val="right"/>
              <w:ind w:right="640"/>
              <w:spacing w:after="0"/>
              <w:rPr>
                <w:sz w:val="20"/>
                <w:szCs w:val="20"/>
                <w:color w:val="auto"/>
              </w:rPr>
            </w:pPr>
            <w:r>
              <w:rPr>
                <w:rFonts w:ascii="Arial" w:cs="Arial" w:eastAsia="Arial" w:hAnsi="Arial"/>
                <w:sz w:val="18"/>
                <w:szCs w:val="18"/>
                <w:color w:val="auto"/>
              </w:rPr>
              <w:t>December 31, 2012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360" w:type="dxa"/>
            <w:vAlign w:val="bottom"/>
            <w:tcBorders>
              <w:top w:val="single" w:sz="8" w:color="auto"/>
            </w:tcBorders>
            <w:gridSpan w:val="2"/>
          </w:tcPr>
          <w:p>
            <w:pPr>
              <w:jc w:val="center"/>
              <w:ind w:right="220"/>
              <w:spacing w:after="0" w:line="195" w:lineRule="exact"/>
              <w:rPr>
                <w:sz w:val="20"/>
                <w:szCs w:val="20"/>
                <w:color w:val="auto"/>
              </w:rPr>
            </w:pPr>
            <w:r>
              <w:rPr>
                <w:rFonts w:ascii="Arial" w:cs="Arial" w:eastAsia="Arial" w:hAnsi="Arial"/>
                <w:sz w:val="18"/>
                <w:szCs w:val="18"/>
                <w:color w:val="auto"/>
                <w:w w:val="92"/>
              </w:rPr>
              <w:t>Number of</w:t>
            </w: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gridSpan w:val="3"/>
          </w:tcPr>
          <w:p>
            <w:pPr>
              <w:jc w:val="right"/>
              <w:ind w:right="280"/>
              <w:spacing w:after="0" w:line="195" w:lineRule="exact"/>
              <w:rPr>
                <w:sz w:val="20"/>
                <w:szCs w:val="20"/>
                <w:color w:val="auto"/>
              </w:rPr>
            </w:pPr>
            <w:r>
              <w:rPr>
                <w:rFonts w:ascii="Arial" w:cs="Arial" w:eastAsia="Arial" w:hAnsi="Arial"/>
                <w:sz w:val="18"/>
                <w:szCs w:val="18"/>
                <w:color w:val="auto"/>
              </w:rPr>
              <w:t>Number of</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top w:val="single" w:sz="8" w:color="auto"/>
            </w:tcBorders>
            <w:gridSpan w:val="4"/>
          </w:tcPr>
          <w:p>
            <w:pPr>
              <w:jc w:val="right"/>
              <w:ind w:right="240"/>
              <w:spacing w:after="0" w:line="195" w:lineRule="exact"/>
              <w:rPr>
                <w:sz w:val="20"/>
                <w:szCs w:val="20"/>
                <w:color w:val="auto"/>
              </w:rPr>
            </w:pPr>
            <w:r>
              <w:rPr>
                <w:rFonts w:ascii="Arial" w:cs="Arial" w:eastAsia="Arial" w:hAnsi="Arial"/>
                <w:sz w:val="18"/>
                <w:szCs w:val="18"/>
                <w:color w:val="auto"/>
              </w:rPr>
              <w:t>Number of</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Contracts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Contracts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4"/>
          </w:tcPr>
          <w:p>
            <w:pPr>
              <w:ind w:left="6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1200" w:type="dxa"/>
            <w:vAlign w:val="bottom"/>
            <w:gridSpan w:val="4"/>
          </w:tcPr>
          <w:p>
            <w:pPr>
              <w:jc w:val="right"/>
              <w:ind w:right="280"/>
              <w:spacing w:after="0"/>
              <w:rPr>
                <w:sz w:val="20"/>
                <w:szCs w:val="20"/>
                <w:color w:val="auto"/>
              </w:rPr>
            </w:pPr>
            <w:r>
              <w:rPr>
                <w:rFonts w:ascii="Arial" w:cs="Arial" w:eastAsia="Arial" w:hAnsi="Arial"/>
                <w:sz w:val="18"/>
                <w:szCs w:val="18"/>
                <w:color w:val="auto"/>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gridSpan w:val="7"/>
          </w:tcPr>
          <w:p>
            <w:pPr>
              <w:jc w:val="right"/>
              <w:ind w:right="370"/>
              <w:spacing w:after="0"/>
              <w:rPr>
                <w:sz w:val="20"/>
                <w:szCs w:val="20"/>
                <w:color w:val="auto"/>
              </w:rPr>
            </w:pPr>
            <w:r>
              <w:rPr>
                <w:rFonts w:ascii="Arial" w:cs="Arial" w:eastAsia="Arial" w:hAnsi="Arial"/>
                <w:sz w:val="18"/>
                <w:szCs w:val="18"/>
                <w:color w:val="auto"/>
                <w:w w:val="95"/>
              </w:rPr>
              <w:t>(Dollars in thousands)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19,662</w:t>
            </w:r>
          </w:p>
        </w:tc>
        <w:tc>
          <w:tcPr>
            <w:tcW w:w="22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253,366</w:t>
            </w: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16,047</w:t>
            </w:r>
          </w:p>
        </w:tc>
        <w:tc>
          <w:tcPr>
            <w:tcW w:w="320" w:type="dxa"/>
            <w:vAlign w:val="bottom"/>
            <w:gridSpan w:val="2"/>
            <w:shd w:val="clear" w:color="auto" w:fill="EEEEEE"/>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189,684</w:t>
            </w:r>
          </w:p>
        </w:tc>
        <w:tc>
          <w:tcPr>
            <w:tcW w:w="138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13,003</w:t>
            </w:r>
          </w:p>
        </w:tc>
        <w:tc>
          <w:tcPr>
            <w:tcW w:w="32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94,021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6,378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79,774</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4,397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38,499</w:t>
            </w:r>
          </w:p>
        </w:tc>
        <w:tc>
          <w:tcPr>
            <w:tcW w:w="1380" w:type="dxa"/>
            <w:vAlign w:val="bottom"/>
            <w:gridSpan w:val="5"/>
          </w:tcPr>
          <w:p>
            <w:pPr>
              <w:jc w:val="right"/>
              <w:ind w:right="60"/>
              <w:spacing w:after="0"/>
              <w:rPr>
                <w:sz w:val="20"/>
                <w:szCs w:val="20"/>
                <w:color w:val="auto"/>
              </w:rPr>
            </w:pPr>
            <w:r>
              <w:rPr>
                <w:rFonts w:ascii="Arial" w:cs="Arial" w:eastAsia="Arial" w:hAnsi="Arial"/>
                <w:sz w:val="18"/>
                <w:szCs w:val="18"/>
                <w:color w:val="auto"/>
              </w:rPr>
              <w:t>4,801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1,603</w:t>
            </w: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17,452</w:t>
            </w: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7,790</w:t>
            </w:r>
          </w:p>
        </w:tc>
        <w:tc>
          <w:tcPr>
            <w:tcW w:w="138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2,822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2,710</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2,519</w:t>
            </w:r>
          </w:p>
        </w:tc>
        <w:tc>
          <w:tcPr>
            <w:tcW w:w="1380" w:type="dxa"/>
            <w:vAlign w:val="bottom"/>
            <w:gridSpan w:val="5"/>
          </w:tcPr>
          <w:p>
            <w:pPr>
              <w:jc w:val="right"/>
              <w:ind w:right="60"/>
              <w:spacing w:after="0"/>
              <w:rPr>
                <w:sz w:val="20"/>
                <w:szCs w:val="20"/>
                <w:color w:val="auto"/>
              </w:rPr>
            </w:pPr>
            <w:r>
              <w:rPr>
                <w:rFonts w:ascii="Arial" w:cs="Arial" w:eastAsia="Arial" w:hAnsi="Arial"/>
                <w:sz w:val="18"/>
                <w:szCs w:val="18"/>
                <w:color w:val="auto"/>
              </w:rPr>
              <w:t>1,134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74</w:t>
            </w: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442</w:t>
            </w: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1,059</w:t>
            </w:r>
          </w:p>
        </w:tc>
        <w:tc>
          <w:tcPr>
            <w:tcW w:w="138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309</w:t>
            </w:r>
          </w:p>
        </w:tc>
        <w:tc>
          <w:tcPr>
            <w:tcW w:w="1380" w:type="dxa"/>
            <w:vAlign w:val="bottom"/>
            <w:gridSpan w:val="5"/>
          </w:tcPr>
          <w:p>
            <w:pPr>
              <w:jc w:val="right"/>
              <w:ind w:right="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28,114</w:t>
            </w:r>
          </w:p>
        </w:tc>
        <w:tc>
          <w:tcPr>
            <w:tcW w:w="200" w:type="dxa"/>
            <w:vAlign w:val="bottom"/>
            <w:tcBorders>
              <w:top w:val="single" w:sz="8" w:color="EEEEEE"/>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353,900</w:t>
            </w: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22,838</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239,860</w:t>
            </w:r>
          </w:p>
        </w:tc>
        <w:tc>
          <w:tcPr>
            <w:tcW w:w="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21,982</w:t>
            </w:r>
          </w:p>
        </w:tc>
        <w:tc>
          <w:tcPr>
            <w:tcW w:w="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136,864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Gross servicing portfolio</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123,944</w:t>
            </w:r>
          </w:p>
        </w:tc>
        <w:tc>
          <w:tcPr>
            <w:tcW w:w="22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1,643,471</w:t>
            </w:r>
          </w:p>
        </w:tc>
        <w:tc>
          <w:tcPr>
            <w:tcW w:w="12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99,099</w:t>
            </w:r>
          </w:p>
        </w:tc>
        <w:tc>
          <w:tcPr>
            <w:tcW w:w="320" w:type="dxa"/>
            <w:vAlign w:val="bottom"/>
            <w:gridSpan w:val="2"/>
            <w:shd w:val="clear" w:color="auto" w:fill="EEEEEE"/>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1,228,579</w:t>
            </w:r>
          </w:p>
        </w:tc>
        <w:tc>
          <w:tcPr>
            <w:tcW w:w="20" w:type="dxa"/>
            <w:vAlign w:val="bottom"/>
            <w:shd w:val="clear" w:color="auto" w:fill="EEEEEE"/>
          </w:tcPr>
          <w:p>
            <w:pPr>
              <w:spacing w:after="0"/>
              <w:rPr>
                <w:sz w:val="18"/>
                <w:szCs w:val="18"/>
                <w:color w:val="auto"/>
              </w:rPr>
            </w:pPr>
          </w:p>
        </w:tc>
        <w:tc>
          <w:tcPr>
            <w:tcW w:w="138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89,163</w:t>
            </w:r>
          </w:p>
        </w:tc>
        <w:tc>
          <w:tcPr>
            <w:tcW w:w="32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885,990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Receivables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in order to avoid losing their vehicle to repossession. Through our experience, we have learned that once a contract becomes greater than 90 days past due, it is more likely than not that the delinquency will not be resolved and will ultimately result in a charge-off. As a result, we do not recognize any interest income or retain on our balance sheet any accrued interest for contracts that are greater than 90 days past due.</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an obligor exceeds the 90 days past due threshold at the end of one period, and then makes the necessary payments such that it becomes equal to or below 90 days delinquent at the end of a subsequent period, the related contract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of Automobile Contracts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ind w:right="100" w:firstLine="648"/>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unaudited condensed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Since 1994 we have conducted 65 term securitizations (generally quarterly) of automobile contracts that we purchased from dealers under our regular programs. As of December 31, 2014, 16 of those securitizations are active and all but one are structured as secured financings. Our September 2010 transaction is our only active securitization that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53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Recent Asset-Backed Term Securitizations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gridSpan w:val="5"/>
          </w:tcPr>
          <w:p>
            <w:pPr>
              <w:jc w:val="right"/>
              <w:ind w:right="124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Number of Term</w:t>
            </w: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Amount of</w:t>
            </w:r>
          </w:p>
        </w:tc>
        <w:tc>
          <w:tcPr>
            <w:tcW w:w="120" w:type="dxa"/>
            <w:vAlign w:val="bottom"/>
          </w:tcPr>
          <w:p>
            <w:pPr>
              <w:spacing w:after="0"/>
              <w:rPr>
                <w:sz w:val="16"/>
                <w:szCs w:val="16"/>
                <w:color w:val="auto"/>
              </w:rPr>
            </w:pPr>
          </w:p>
        </w:tc>
      </w:tr>
      <w:tr>
        <w:trPr>
          <w:trHeight w:val="234"/>
        </w:trPr>
        <w:tc>
          <w:tcPr>
            <w:tcW w:w="3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Period</w:t>
            </w:r>
          </w:p>
        </w:tc>
        <w:tc>
          <w:tcPr>
            <w:tcW w:w="1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Securitizations</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Receivables</w:t>
            </w:r>
          </w:p>
        </w:tc>
      </w:tr>
      <w:tr>
        <w:trPr>
          <w:trHeight w:val="210"/>
        </w:trPr>
        <w:tc>
          <w:tcPr>
            <w:tcW w:w="32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2005</w:t>
            </w:r>
          </w:p>
        </w:tc>
        <w:tc>
          <w:tcPr>
            <w:tcW w:w="20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698,353</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957,681</w:t>
            </w:r>
          </w:p>
        </w:tc>
      </w:tr>
      <w:tr>
        <w:trPr>
          <w:trHeight w:val="216"/>
        </w:trPr>
        <w:tc>
          <w:tcPr>
            <w:tcW w:w="3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1,118,097</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333333"/>
                <w:w w:val="89"/>
              </w:rPr>
              <w:t>2008</w:t>
            </w:r>
          </w:p>
        </w:tc>
        <w:tc>
          <w:tcPr>
            <w:tcW w:w="2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509,022</w:t>
            </w:r>
          </w:p>
        </w:tc>
      </w:tr>
      <w:tr>
        <w:trPr>
          <w:trHeight w:val="216"/>
        </w:trPr>
        <w:tc>
          <w:tcPr>
            <w:tcW w:w="320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2009</w:t>
            </w:r>
          </w:p>
        </w:tc>
        <w:tc>
          <w:tcPr>
            <w:tcW w:w="20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333333"/>
                <w:w w:val="89"/>
              </w:rPr>
              <w:t>2010</w:t>
            </w:r>
          </w:p>
        </w:tc>
        <w:tc>
          <w:tcPr>
            <w:tcW w:w="2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103,772</w:t>
            </w:r>
          </w:p>
        </w:tc>
      </w:tr>
      <w:tr>
        <w:trPr>
          <w:trHeight w:val="216"/>
        </w:trPr>
        <w:tc>
          <w:tcPr>
            <w:tcW w:w="320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2011</w:t>
            </w:r>
          </w:p>
        </w:tc>
        <w:tc>
          <w:tcPr>
            <w:tcW w:w="20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335,593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333333"/>
                <w:w w:val="89"/>
              </w:rPr>
              <w:t>2012</w:t>
            </w:r>
          </w:p>
        </w:tc>
        <w:tc>
          <w:tcPr>
            <w:tcW w:w="20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603,500</w:t>
            </w:r>
          </w:p>
        </w:tc>
      </w:tr>
      <w:tr>
        <w:trPr>
          <w:trHeight w:val="216"/>
        </w:trPr>
        <w:tc>
          <w:tcPr>
            <w:tcW w:w="320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2013</w:t>
            </w:r>
          </w:p>
        </w:tc>
        <w:tc>
          <w:tcPr>
            <w:tcW w:w="20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778,000</w:t>
            </w:r>
          </w:p>
        </w:tc>
      </w:tr>
      <w:tr>
        <w:trPr>
          <w:trHeight w:val="230"/>
        </w:trPr>
        <w:tc>
          <w:tcPr>
            <w:tcW w:w="32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923,000</w:t>
            </w:r>
          </w:p>
        </w:tc>
      </w:tr>
    </w:tbl>
    <w:p>
      <w:pPr>
        <w:spacing w:after="0" w:line="187"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Our 2012 securitizations included $58.2 million in contracts that were repurchased in 2012 from securitizations closed in 2006 and 2007. Our 2013 securitizations included $7.4 million in contracts that were repurchased from a securitization closed in 2008. Our 2010 securitization was, in substance, a re-securitization of the receivables from our second securitization of 2008 which allowed us to take advantage of a lower interest rate environment at that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From time to time we have also completed financings of our residual interests in other securitizations that we and our affiliates previously sponsored.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we have one such residual interest financing outstanding.</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Since December 2011, our securitizations have included a pre-funding feature in which a portion of the receivables to be sold to the securitization trust were not delivered until after the initial closing. As a result, our restricted cash balance at December 31, 2014 included $85.3 million from the proceeds of the sale of the asset-backed notes that were held by a trustee pending delivery of the remaining receivables. In January 2015, the requisite additional receivables were delivered to the securitization trust and we received the related restricted cash, most of which was used to repay amounts owed under our warehouse credit facilities.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Generally, prior to a securitization transaction we fund our automobile contract purchases primarily with proceeds from warehouse credit facilities. Our current short-term funding capacity is $200 million, comprising two credit facilities. The first $100 million credit facility was established in December 2010. This facility was renewed in March 2013, extending the revolving period to March 2015, and adding an amortization period through March 2017. Our second $100 million credit facility was established in May 2012. This facility was renewed in August 2014, extending the revolving period to August 2016, and adding an amortization period through August 2017.</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6" w:name="page17"/>
    <w:bookmarkEnd w:id="16"/>
    <w:p>
      <w:pPr>
        <w:ind w:right="60"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2014 we were in compliance with all such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automobile financing business is highly competitive. We compete with a number of national, regional and local finance companies with operations similar to ours. In addition, competitors or potential competitors include other types of financial services companies, such as banks, leasing companies, credit unions providing retail loan financing and lease financing for new and used vehicles, and captive finance companies affiliated with major automobile manufacturers. Many of our competitors and potential competitors possess substantially greater financial, marketing, technical, personnel and other resources than we do. Moreover, our future profitability will be directly related to the availability and cost of our capital in relation to the availability and cost of capital to our competitors. Our competitors and potential competitors include far larger, more established companies that have access to capital markets for unsecured commercial paper and investment grade-rated debt instruments and to other funding sources that may be unavailable to us. Many of these companies also have long-standing relationships with dealers and may provide other financing to dealers, including floor plan financing for the dealers' purchase of automobiles from manufacturers, which we do not offer.</w:t>
      </w:r>
    </w:p>
    <w:p>
      <w:pPr>
        <w:spacing w:after="0" w:line="18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believe that the principal competitive factors affecting a dealer's decision to offer automobile contracts for sale to a particular financing source are the monthly payment amount made available to the dealer’s customer, the purchase price offered for the automobile contracts, the timeliness of the response to the dealer upon submission of the initial application, the amount of required documentation, the consistency and timeliness of purchases and the financial stability of the funding source. While we believe that we can obtain from dealers sufficient automobile contracts for purchase at attractive prices by consistently applying reasonable underwriting criteria and making timely purchases of qualifying automobile contracts, there can be no assurance that we will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Several federal and state consumer protection laws, including the federal Truth-In-Lending Act, the federal Equal Credit Opportunity Act, the federal Fair Debt Collection Practices Act and the Federal Trade Commission Act, regulate consumer credit transactions. These laws mandate certain disclosures with respect to finance charges on automobile contracts and impose certain other restrictions. In most states, a license is required to engage in the business of purchasing automobile contracts from dealers. In addition, laws in a number of states impose limitations on the amount of finance charges that may be charged by dealers on credit sales. The so-called Lemon Laws enacted by various states provide certain rights to purchasers with respect to automobiles that fail to satisfy express warranties. The application of Lemon Laws or violation of such other federal and state laws may give rise to a claim or defense of a customer against a dealer and its assignees, including us and those who purchase automobile contracts from us. The dealer agreement contains representations by the dealer that, as of the date of assignment of automobile contracts, no such claims or defenses have been asserted or threatened with respect to the automobile contracts and that all requirements of such federal and state laws have been complied with in all material respects. Although a dealer would be obligated to repurchase automobile contracts that involve a breach of such warranty, there can be no assurance that the dealer will have the financial resources to satisfy its repurchase obligations. Certain of these laws also regulate our servicing activities, including our methods of collection.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7" w:name="page18"/>
    <w:bookmarkEnd w:id="17"/>
    <w:p>
      <w:pPr>
        <w:ind w:firstLine="648"/>
        <w:spacing w:after="0" w:line="268" w:lineRule="auto"/>
        <w:rPr>
          <w:sz w:val="20"/>
          <w:szCs w:val="20"/>
          <w:color w:val="auto"/>
        </w:rPr>
      </w:pPr>
      <w:r>
        <w:rPr>
          <w:rFonts w:ascii="Arial" w:cs="Arial" w:eastAsia="Arial" w:hAnsi="Arial"/>
          <w:sz w:val="17"/>
          <w:szCs w:val="17"/>
          <w:color w:val="auto"/>
        </w:rPr>
        <w:t>In July 2010 the Dodd-Frank Wall Street Reform and Consumer Protection Act (the “Dodd-Frank Act”) became law. The Dodd-Frank Act restructured the regulation and supervision of the financial services industry and created the Consumer Financial Protection Bureau (the “CFPB”). The CFPB has rulemaking and enforcement authority over “non-banks,” including us. Many of the provisions of the Dodd-Frank Act have extended implementation periods and delayed effective dates and will require extensive rulemaking. As a result, the ultimate effect of the Dodd-Frank Act on our business cannot be determined at this time. We believe that we are currently in material compliance with applicable statutes and regulations; however, there can be no assurance that we are correct, nor that we will be able to maintain such compliance. The past or future failure to comply with applicable statutes and regulations could have a material adverse effect on us. Furthermore, the adoption of additional statutes and regulations, changes in the interpretation and enforcement of current statutes and regulations or the expansion of our business into jurisdictions that have adopted more stringent regulatory requirements than those in which we currently conduct business could have a material adverse effect on us. In addition, due to the consumer-oriented nature of our industry and the application of certain laws and regulations, industry participants are regularly named as defendants in litigation involving alleged violations of federal and state laws and regulations and consumer law torts, including fraud. Many of these actions involve alleged violations of consumer protection laws. A significant judgment against us or within the industry in connection with any such litigation could have a material adverse effect on our financial condition, results of operations or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2014, we had 869 employees. The breakdown of the employees is as follows: 11 were senior management personnel; 445 were servicing personnel; 210 were automobile contract origination personnel; 155 were marketing personnel (130 of whom were marketing representatives); 26 were operations and systems personnel; and 22 were administrative personnel. We believe that our relations with our employees are good. We are not a party to any collective bargaining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business, operating results and financial condition could be adversely affected by any of the following specific risks. The trading price of our common stock could decline due to any of these risks and other industry risks. This listing of risks by its nature cannot be exhaustive, and the order in which the risks appear is not intended as an indication of their relative weight or importance. In addition to the risks described below, we may encounter risks that we do not currently recognize or that we currently deem immaterial, which may also impair our business operations and the value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Substantial Amount of Cash to Service Our Substantial Debt.</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81"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economic and competitive conditions in the asset-backed securities market;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current and future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residual interests from our securitizations and warehouse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operating difficulties or pricing pressures we may experience;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credit enhancement for our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and maintain dealer relationships;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passage of laws or regulations that affect us adversely;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compete with our competitors;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acquire and finance automobile contracts.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8" w:name="page19"/>
    <w:bookmarkEnd w:id="18"/>
    <w:p>
      <w:pPr>
        <w:ind w:right="160" w:firstLine="648"/>
        <w:spacing w:after="0" w:line="276" w:lineRule="auto"/>
        <w:rPr>
          <w:sz w:val="20"/>
          <w:szCs w:val="20"/>
          <w:color w:val="auto"/>
        </w:rPr>
      </w:pPr>
      <w:r>
        <w:rPr>
          <w:rFonts w:ascii="Arial" w:cs="Arial" w:eastAsia="Arial" w:hAnsi="Arial"/>
          <w:sz w:val="17"/>
          <w:szCs w:val="17"/>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earnings available to our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Substantial Liquidity to Operate Our Business.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While our access to such funding has improved since then, our results of operations, financial condition and cash flows have been and may continue to be materially and adversely affected. We require a substantial amount of cash liquidity to operate our business. Among other things, we use such cash liquidity to:</w:t>
      </w:r>
    </w:p>
    <w:p>
      <w:pPr>
        <w:spacing w:after="0" w:line="17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automobile contracts;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fund overcollateralization in warehouse credit facilities and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securitization fees and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fund spread accounts in connection with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satisfy working capital requirements and pay operating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taxes;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interest expense.</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of Significant Losses.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From time to time throughout our history we have incurred net losses, most recently over the period beginning with the quarter ended September 30, 2008 and ending with the quarter ended September 30, 2011. We were adversely affected by the economic recession affecting the United States as a whole, until recently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spacing w:after="0" w:line="15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expect to earn quarterly profits during 2015; however, there can be no assurance as to that expectation. Our expectation of profitability is a forward-looking statement. We discuss the assumptions underlying that expectation under the caption “Forward-Looking Statements” in this report. We identify important factors that could cause actual results to differ, generally in the “Risk Factors” section of this report, and also under the caption “Forward-Looking Statements.” One reason for our expectation is that we have had positive net income throughout the three years ended December 31, 2014.</w:t>
      </w:r>
    </w:p>
    <w:p>
      <w:pPr>
        <w:spacing w:after="0" w:line="15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 the year ended December 31, 2014, our pretax income was $52.2 million, compared to pretax income of $37.2 million and $9.2 million for the years 2013 and 2012, respectively, and a pretax loss of $14.5 million for the year 2011. Our net income for 2014 was $29.5 million, or $0.92 per diluted share, compared to net income of $21.0 million, or $.67 per diluted share and $69.4 million, or $2.72 per diluted share for the years 2013 and 2012 respectively, and a net loss of $14.5 million, or $0.76 per diluted share, for 2011. Net income for 2012 includes an income tax benefit of $60.2 million, or $2.36 per diluted share, related to reversal of a valuation allowance against our deferred tax asset. Such tax benefit cannot be expected to recur.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Will Depend on Our Ability to Secure and Maintain Adequate Credit and Warehouse Financing on Favorable Terms.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strategy requires that warehouse credit facilities be available in order to purchase significant volumes of receivables.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ind w:firstLine="648"/>
        <w:spacing w:after="0" w:line="254" w:lineRule="auto"/>
        <w:rPr>
          <w:sz w:val="20"/>
          <w:szCs w:val="20"/>
          <w:color w:val="auto"/>
        </w:rPr>
      </w:pPr>
      <w:r>
        <w:rPr>
          <w:rFonts w:ascii="Arial" w:cs="Arial" w:eastAsia="Arial" w:hAnsi="Arial"/>
          <w:sz w:val="18"/>
          <w:szCs w:val="18"/>
          <w:color w:val="auto"/>
        </w:rPr>
        <w:t>Historically, our primary sources of day-to-day liquidity have been our warehouse credit facilities, in which we sold and contributed automobile contracts, as often as twice a week, to special-purpose subsidiaries, where they were "warehoused" until they were financed on a long-term basis through the issuance of asset-backed notes. Upon issuance of the notes, funds advanced under one or more warehouse credit facilities were repaid from the proceeds. Our current short-term funding capacity is $200 million, comprising two credit facilities. The first $100 million credit facility was established in December 2010. This facility was renewed in March 2013, extending the revolving period to March 2015, and adding an amortization period through March 2017. Our second $100 million credit facility was established in May 2012. This facility was renewed in August 2014, extending the revolving period to August 2016, and adding an amortization period through August 2017. See “Management’s Discussion and Analysis of Financial Condition and Results of Operations – Liquidity and Capital Resources – Liquidity”.</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we are unable to maintain warehouse financing on acceptable terms, we might curtail or cease our purchases of new automobile contracts, which could lead to a material adverse effect on our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Historically we have depended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89"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approval by all parties of the terms of the securitization;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acquire a sufficient number of automobile contracts for securitization.</w:t>
      </w:r>
    </w:p>
    <w:p>
      <w:pPr>
        <w:spacing w:after="0" w:line="21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As stated elsewhere in this report, 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Although we have seen improvements in the capital markets from 2010 through 2013, as compared to 2008 and 2009, if the trend of improvement in the markets for asset-backed securities should reverse, we could expect a material adverse effect on our results of operations.</w:t>
      </w:r>
    </w:p>
    <w:p>
      <w:pPr>
        <w:spacing w:after="0" w:line="15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Our Results of Operations Will Depend on Cash Flows from Our Residual Interests in Our Securitization Program and Our Warehouse Credit Facilities.</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When we finance our automobile contracts through securitizations and warehouse credit facilities, we receive cash and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193" w:lineRule="exact"/>
        <w:rPr>
          <w:sz w:val="20"/>
          <w:szCs w:val="20"/>
          <w:color w:val="auto"/>
        </w:rPr>
      </w:pPr>
    </w:p>
    <w:p>
      <w:pPr>
        <w:ind w:right="560" w:firstLine="648"/>
        <w:spacing w:after="0" w:line="286" w:lineRule="auto"/>
        <w:rPr>
          <w:sz w:val="20"/>
          <w:szCs w:val="20"/>
          <w:color w:val="auto"/>
        </w:rPr>
      </w:pPr>
      <w:r>
        <w:rPr>
          <w:rFonts w:ascii="Arial" w:cs="Arial" w:eastAsia="Arial" w:hAnsi="Arial"/>
          <w:sz w:val="17"/>
          <w:szCs w:val="17"/>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66"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the delinquency, defaults or net losses related to the automobile contracts in the automobile contract pools are below certain predetermined levels. In the event delinquencies, defaults or net losses on automobile contracts exceed these levels, the terms of the securitization or warehouse credit facility:</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0" w:name="page21"/>
    <w:bookmarkEnd w:id="20"/>
    <w:p>
      <w:pPr>
        <w:ind w:left="1300" w:right="560" w:hanging="644"/>
        <w:spacing w:after="0" w:line="25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require increased credit enhancement, including an increase in the amount required to be on deposit in the spread account to be accumulated for the particular pool; and</w:t>
      </w:r>
    </w:p>
    <w:p>
      <w:pPr>
        <w:spacing w:after="0" w:line="1" w:lineRule="exact"/>
        <w:rPr>
          <w:rFonts w:ascii="Arial" w:cs="Arial" w:eastAsia="Arial" w:hAnsi="Arial"/>
          <w:sz w:val="18"/>
          <w:szCs w:val="18"/>
          <w:color w:val="auto"/>
        </w:rPr>
      </w:pPr>
    </w:p>
    <w:p>
      <w:pPr>
        <w:ind w:left="1300" w:right="300" w:hanging="644"/>
        <w:spacing w:after="0" w:line="261"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certain circumstances, may permit affected parties to require the transfer of servicing on some or all of the securitized or warehoused contracts from us to an unaffiliated servicer.</w:t>
      </w:r>
    </w:p>
    <w:p>
      <w:pPr>
        <w:spacing w:after="0" w:line="18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higher than expected losses occurred in 2008 through 2010, which had an adverse effect on our operations, financial condition and cash flows. While losses have not occurred since the third quarter of 2011, should significant losses reoccur we would expect this to result in material adverse effects on our future results of operations, financial condition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Obtain Credit Enhancement for Our Securitizations Upon Favorable Terms, Our Results of Operations Would Be Impaired.</w:t>
      </w:r>
    </w:p>
    <w:p>
      <w:pPr>
        <w:spacing w:after="0" w:line="25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our securitizations from 1994 through 2008, we utilized credit enhancement in the form of one or more financial guaranty insurance policies issued by financial guaranty insurance companies. Each of these policies unconditionally and irrevocably guarantees timely interest and ultimate principal payments on the senior classes of the securities issued in those securitizations. These guarantees enabled these securities to achieve the highest credit rating available. This form of credit enhancement reduced the costs of our securitizations relative to alternative forms of credit enhancement available to us at the time. Due to significantly reduced investor demand for securities carrying such a financial guaranty, this form of credit enhancement may not be economical for us in the future. The 16 securitization transactions we executed from 2010 through 2014 did not utilize financial guaranty insurance policies, and none of the securities issued in those transactions received the highest possible credit ratings. As we pursue future securitizations, we may not be able to obtain:</w:t>
      </w:r>
    </w:p>
    <w:p>
      <w:pPr>
        <w:spacing w:after="0" w:line="16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enhancement in any form on terms acceptable to us, or at all; or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similar highest available credit ratings for senior classes of securities to be issued in future securitizations.</w:t>
      </w:r>
    </w:p>
    <w:p>
      <w:pPr>
        <w:spacing w:after="0" w:line="21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expect to pay a greater credit spread than we have seen in the past between our securitization trust debt and risk-free investments. As of the date of this report, interest rates on risk-free debt are close to historical lows, which have offset much of the adverse effect on us of greater credit spreads. When interest rates on risk-free debt increase, we would expect increased interest expense, which could adversely affect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Corporation. Many of our competitors and potential competitors possess substantially greater financial, marketing,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1" w:name="page22"/>
    <w:bookmarkEnd w:id="21"/>
    <w:p>
      <w:pPr>
        <w:ind w:right="620"/>
        <w:spacing w:after="0" w:line="282" w:lineRule="auto"/>
        <w:rPr>
          <w:sz w:val="20"/>
          <w:szCs w:val="20"/>
          <w:color w:val="auto"/>
        </w:rPr>
      </w:pPr>
      <w:r>
        <w:rPr>
          <w:rFonts w:ascii="Arial" w:cs="Arial" w:eastAsia="Arial" w:hAnsi="Arial"/>
          <w:sz w:val="18"/>
          <w:szCs w:val="18"/>
          <w:b w:val="1"/>
          <w:bCs w:val="1"/>
          <w:color w:val="auto"/>
        </w:rPr>
        <w:t>If Our Dealers Do Not Submit a Sufficient Number of Suitable Automobile Contracts to Us for Purchase, Our Results of Operations May Be Impaired.</w:t>
      </w:r>
    </w:p>
    <w:p>
      <w:pPr>
        <w:spacing w:after="0" w:line="166"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We are dependent upon establishing and maintaining relationships with a large number of unaffiliated automobile dealers to supply us with automobile contracts. During the years ended December 31, 2014 and 2013, no single dealer accounted for more than 0.4% and 0.9%, respectively,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specialize in the purchase and servicing of automobile contracts to finance automobile purchases by sub-prime customers, those who have limited credit history, low income,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 During the 2008-2010 period we experienced increases in the delinquency of, and credit losses on, our automobile contracts.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 We maintain an allowance for credit losses on automobile contracts held on our balance sheet, which reflects our estimates of probable credit losses that can be reasonably estimated for securitizations that are accounted for as financings and warehoused automobile contracts. If the allowance is inadequate, then we would recognize the losses in excess of the allowance as an expense and our results of operations could be adversely affected. 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24"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generally to observe and perform our responsibilities and other covenants;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bankruptcy events;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documents governing the facilities.</w:t>
      </w:r>
    </w:p>
    <w:p>
      <w:pPr>
        <w:spacing w:after="0" w:line="21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Key Personnel, Our Results of Operations May Be Impaired.</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senior management team averages over 18 years of service with us. Charles E. Bradley, Jr., our President and CEO, has been our President since our formation in 1991.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Layoffs since 2008 may have reduced employee loyalty, which may in turn result in decreased employee performance.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If We Fail to Comply with Regulations, Our Results of Operations May Be Impaired.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materially comply with all laws and regulations applicable to us could materially and adversely affect our ability to operate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numerous federal and state consumer protection laws and regulations, which, among other things:</w:t>
      </w:r>
    </w:p>
    <w:p>
      <w:pPr>
        <w:spacing w:after="0" w:line="211"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obtain and maintain certain licenses and qualifications;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the interest rates, fees and other charges we are allowed to charge;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or prescribe certain other terms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specific disclosures to our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define our rights to repossess and sell collateral;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safeguards designed to protect the security and confidentiality of customer information.</w:t>
      </w:r>
    </w:p>
    <w:p>
      <w:pPr>
        <w:spacing w:after="0" w:line="21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industry is also at times investigated by regulators and offices of state attorneys general, which could lead to enforcement actions, fines and penalties, or the assertion of private claims and law suits against us. The Federal Trade Commission (“FTC”) has the authority to investigate consumer complaints against us, to conduct inquiries at its own instance, and to recommend enforcement actions and seek monetary penalties. The FTC has conducted an inquiry into our practices, and proposed remedial action against us in 2014, to which we have consented. See Legal Proceedings – FTC Action. The Consumer Financial Protection Bureau (“CFPB”) has proposed regulations that will, if adopted as proposed, place us and other companies similar to us under the supervision of the CFPB. Our industry is also under investigation by the United States Department of Justice, which is conducting an inquiry that appears to be focused on securitization practices. In that inquiry, we received a subpoena in January 2015, which requires that we produce specified documents. We are cooperating with that inquiry. Such inquiry could in the future result in the imposition of damages, fines or civil or criminal claims and/or penalties. No assurance can be given as to the ultimate outcome of the inquiry or any resulting proceeding(s), which might materially and adversely affect us.</w:t>
      </w:r>
    </w:p>
    <w:p>
      <w:pPr>
        <w:spacing w:after="0" w:line="16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6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24"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existing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interpretation of existing laws or regulations;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additional laws or regulations that may be enacted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Legislation and Proposed Regulations May Have an Adverse Effect on Our Business.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("Dodd-Frank") mandates the most wide-ranging overhaul of financial industry regulation in decades. Dodd-Frank was signed into law on July 21, 2010, and is now in the implementation stage. The law provides a regulatory framework and requires that regulators, some of which are new regulatory bodies created by Dodd-Frank, draft, review and approve more than 200 implementing regulations and conduct numerous studies that are likely to lead to still more regulations.</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Dodd-Frank Act includes risk retention requirements. Six federal agencies recently approved a rule implementing these requirements. The rule, which is set to become effective in October 2015, generally requires sponsors of asset-backed securities (ABS), such as us, to retain not less than five percent of the credit risk of the assets collateralizing the ABS issuance. The rule also sets forth prohibitions on transferring or hedging the credit risk that the sponsor is required to retain. The final rule also does not require any retention for securitizations of commercial loans, commercial mortgages, or automobile loans if they meet specific standards for high quality underwriting. If we do not meet this exception, our future securitization structures may be adversely affected by the risk retention requirement.</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23" w:name="page24"/>
    <w:bookmarkEnd w:id="23"/>
    <w:p>
      <w:pPr>
        <w:ind w:right="200" w:firstLine="648"/>
        <w:spacing w:after="0" w:line="312" w:lineRule="auto"/>
        <w:rPr>
          <w:sz w:val="20"/>
          <w:szCs w:val="20"/>
          <w:color w:val="auto"/>
        </w:rPr>
      </w:pPr>
      <w:r>
        <w:rPr>
          <w:rFonts w:ascii="Arial" w:cs="Arial" w:eastAsia="Arial" w:hAnsi="Arial"/>
          <w:sz w:val="16"/>
          <w:szCs w:val="16"/>
          <w:color w:val="auto"/>
        </w:rPr>
        <w:t>In addition, the Commission is considering amendments to regulations first adopted in 2005 known as Regulation AB. The amendments to Regulation AB have yet to be adopted and are expected to be significantly modified from the form initially proposed, however, the final form of the amendments to Regulation AB when adopted are expected to affect adversely our ability to complete securitization transactions without increased expense.</w:t>
      </w:r>
    </w:p>
    <w:p>
      <w:pPr>
        <w:spacing w:after="0" w:line="147" w:lineRule="exact"/>
        <w:rPr>
          <w:sz w:val="20"/>
          <w:szCs w:val="20"/>
          <w:color w:val="auto"/>
        </w:rPr>
      </w:pPr>
    </w:p>
    <w:p>
      <w:pPr>
        <w:jc w:val="both"/>
        <w:ind w:right="480" w:firstLine="648"/>
        <w:spacing w:after="0" w:line="257" w:lineRule="auto"/>
        <w:rPr>
          <w:sz w:val="20"/>
          <w:szCs w:val="20"/>
          <w:color w:val="auto"/>
        </w:rPr>
      </w:pPr>
      <w:r>
        <w:rPr>
          <w:rFonts w:ascii="Arial" w:cs="Arial" w:eastAsia="Arial" w:hAnsi="Arial"/>
          <w:sz w:val="18"/>
          <w:szCs w:val="18"/>
          <w:color w:val="auto"/>
        </w:rPr>
        <w:t>Compliance with these new laws and regulations may be or likely will be costly and can affect operating results. Compliance requires forms, processes, procedures, controls and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18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At this time, it is difficult to predict the extent to which the Dodd-Frank Act or the resulting regulations or the Regulation AB amendments will affect our business. However, compliance with these new laws and regulations may result in additional cost and expenses, which may adversely affect our results of operations, financial condition or 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Federal Trade Commission, the Consumer Financial Protection Bureau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39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166"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Negative publicity associated with litigation, governmental investigations, regulatory actions, and other public statements could damage our reputation.</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are dependent on our receivables originations, accounting and collection systems to service our portfolio of automobile contracts. Such systems are vulnerable to damage or interruption from natural disasters, power loss, telecommunication failures, terrorist 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Despite any precautions we may take, such problems could result in interruptions in our services,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Substantial Indebtedness.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currently have and will continue to have a substantial amount of indebtedness. At December 31, 2014, we had approximately $1,684.1 million of debt outstanding. Such debt consisted primarily of $1,598.5 million of securitization trust debt, and also included $1.3 million of debt used for the acquisition of the Fireside portfolio, $56.8 million of warehouse lines of credit, $12.3 million of residual interest financing and $15.2 million in subordinated renewable notes. We are also currently offering the subordinated renewable notes to the public on a continuous basis, and such notes have maturities that range from three months to 10 years.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1300" w:right="8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payments on our indebtedness, thereby reducing amounts available for working capital, capital expenditures and other general corporate purposes;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14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Because We Are Subject to Many Restrictions in Our Existing Credit Facilities and Securitization Transactions, Our Ability to Pay Dividends or Engage in Specified Transactions May Be Impaired.</w:t>
      </w:r>
    </w:p>
    <w:p>
      <w:pPr>
        <w:spacing w:after="0" w:line="16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4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incurring or guaranteeing additional indebtedness;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capital expenditures in excess of agreed upon amounts;</w:t>
      </w:r>
    </w:p>
    <w:p>
      <w:pPr>
        <w:spacing w:after="0" w:line="9" w:lineRule="exact"/>
        <w:rPr>
          <w:rFonts w:ascii="Arial" w:cs="Arial" w:eastAsia="Arial" w:hAnsi="Arial"/>
          <w:sz w:val="18"/>
          <w:szCs w:val="18"/>
          <w:color w:val="auto"/>
        </w:rPr>
      </w:pPr>
    </w:p>
    <w:p>
      <w:pPr>
        <w:ind w:left="1300" w:right="700" w:hanging="644"/>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paying dividends or other distributions to our shareholders or redeeming, repurchasing or retiring our capital stock or subordinated obligations;</w:t>
      </w: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investments;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creating or permitting liens on our assets or the assets of our subsidiaries;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issuing or selling capital stock of our subsidiaries;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transferring or selling our assets;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engaging in mergers or consolidations;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permitting a change of control of our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liquidating, winding up or dissolving our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our name or the nature of our business, or the names or nature of the business of our subsidiaries;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engaging in transactions with our affiliates outside the normal course of business.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ind w:right="40" w:firstLine="648"/>
        <w:spacing w:after="0" w:line="272" w:lineRule="auto"/>
        <w:rPr>
          <w:sz w:val="20"/>
          <w:szCs w:val="20"/>
          <w:color w:val="auto"/>
        </w:rPr>
      </w:pPr>
      <w:r>
        <w:rPr>
          <w:rFonts w:ascii="Arial" w:cs="Arial" w:eastAsia="Arial" w:hAnsi="Arial"/>
          <w:sz w:val="17"/>
          <w:szCs w:val="17"/>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 These restrictions may limit our ability to receive distributions in respect of the residual interests from our securitization facilities, which may limit our ability to generate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Texas, Georgia, Pennsylvania and Ohio,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Impaired as a Result of Natural Disasters.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automobile contracts are geographically concentrated in the states of California and Texas. Such states may be particularly susceptible to natural disasters: earthquake in the case of California, and hurricanes and flooding in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an Increase in Interest Rates Results in a Decrease in Our Cash Flows from Excess Spread, Our Results of Operations May Be Impaired.</w:t>
      </w:r>
    </w:p>
    <w:p>
      <w:pPr>
        <w:spacing w:after="0" w:line="24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Is Thinly-Traded.</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stock is thinly-traded, which means investors will have limited opportunities to sell their shares of common stock in the open market. Limited trading of our common stock also contributes to more volatile price fluctuations. Because there historically has been low trading volume in our common stock, there can be no assurance that our stock price will not decline as additional shares are sold in the public market. As of December 31, 2014, our directors and executive officers collectively owned 4,234,994 shares of our common stock, or approximately 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any future earnings and do not expect to pay any dividends in the foreseeable future. See "Dividend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performance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losses incurred on contracts in our managed portfolio;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decisions by courts or regulators</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Our principal executive offices are located in Las Vegas, Nevada. Our operating headquarters are located in Irvine, California, where we lease approximately 60,000 square feet of general office space from an unaffiliated lessor. The annual base rent is approximately $1.77 million, increasing to approximately $1.80 million through 2016.</w:t>
      </w:r>
    </w:p>
    <w:p>
      <w:pPr>
        <w:spacing w:after="0" w:line="181"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In March 1997, we established a branch collection facility in Chesapeake, Virginia. We lease approximately 16,500 square feet of general office space in Chesapeake, Virginia, at a base rent that is approximately $280,000 per year, increasing to approximately $325,000 through 2018.</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remaining three regional servicing centers occupy a total of approximately 68,000 square feet of leased space in Las Vegas, Nevada; Maitland, Florida; and Lombard, Illinois. The termination dates of such leases range from 2018 to 2019. The annual base rent for these facilities total approximately $1.43 million increasing to approximately $1.64 million through 2019.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Consumer Litigation. </w:t>
      </w:r>
      <w:r>
        <w:rPr>
          <w:rFonts w:ascii="Arial" w:cs="Arial" w:eastAsia="Arial" w:hAnsi="Arial"/>
          <w:sz w:val="17"/>
          <w:szCs w:val="17"/>
          <w:color w:val="auto"/>
        </w:rPr>
        <w:t>We are routinely involved in various legal proceedings resulting from our consumer finance activities and practices, both</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and discontinued. Consumers can and do initiate lawsuits against us alleging violations of law applicable to collection of receivables, and such lawsuits sometimes allege that resolution as a class action is appropriate. We are currently defending two such purported class actions, one of which has been settled by agreement with the plaintiffs (such settlement remains subject to approval by the court). For the most part, we have legal and factual defenses to such claims, which we routinely contest or settle (for immaterial amounts) depending on the particular circumstances of each case. We have recorded a liability as of December 31, 2014 with respect to such matters, in the aggregate.</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FTC Action</w:t>
      </w:r>
      <w:r>
        <w:rPr>
          <w:rFonts w:ascii="Arial" w:cs="Arial" w:eastAsia="Arial" w:hAnsi="Arial"/>
          <w:sz w:val="16"/>
          <w:szCs w:val="16"/>
          <w:color w:val="auto"/>
        </w:rPr>
        <w:t>. In July 2013, the staff of the U.S. Federal Trade Commission (“FTC”) advised us that they were prepared to recommend that the FTC</w:t>
      </w:r>
      <w:r>
        <w:rPr>
          <w:rFonts w:ascii="Arial" w:cs="Arial" w:eastAsia="Arial" w:hAnsi="Arial"/>
          <w:sz w:val="16"/>
          <w:szCs w:val="16"/>
          <w:i w:val="1"/>
          <w:iCs w:val="1"/>
          <w:color w:val="auto"/>
        </w:rPr>
        <w:t xml:space="preserve"> </w:t>
      </w:r>
      <w:r>
        <w:rPr>
          <w:rFonts w:ascii="Arial" w:cs="Arial" w:eastAsia="Arial" w:hAnsi="Arial"/>
          <w:sz w:val="16"/>
          <w:szCs w:val="16"/>
          <w:color w:val="auto"/>
        </w:rPr>
        <w:t>initiate a lawsuit against us relating to allegedly unfair trade practices, and simultaneously advised that settlement of such issues by consent decree might be achieved. On May 29, 2014, the FTC announced its agreement to settle the matter by filing a lawsuit against us, and requesting, with our consent, that the court enter an agreed judgment against us. The lawsuit arose out of the FTC’s inquiry into our business practices. Under the agreed settlement, we made approximately $1.9 million of restitutionary payments and $1.6 million of account adjustments to our customers in September 2014, paid a $2 million penalty to the federal government in June 2014, and implemented procedural changes, all pursuant to a consent decree that was entered by the court in June 2014.</w:t>
      </w:r>
    </w:p>
    <w:p>
      <w:pPr>
        <w:spacing w:after="0" w:line="16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Department of Justice Subpoena. </w:t>
      </w:r>
      <w:r>
        <w:rPr>
          <w:rFonts w:ascii="Arial" w:cs="Arial" w:eastAsia="Arial" w:hAnsi="Arial"/>
          <w:sz w:val="17"/>
          <w:szCs w:val="17"/>
          <w:color w:val="auto"/>
        </w:rPr>
        <w:t>In January 2015, we were served with a subpoena by the U.S. Department of Justice directing us to produce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Among other matters, the subpoena requests information relating to the underwriting criteria used to originate these automobile contracts and the representations and warranties relating to those underwriting criteria that were made in connection with the securitization of the automobile contracts. We are among several other securitizers of sub-prime automobile receivables who have received such a subpoena in 2015. We are investigating these matters internally and are cooperating with the request. Such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18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any of the matters referenced above. We have recorded a liability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2014, which 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2014, and in excess of the liability we have recorded, is from $0 to $1.5 million.</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400" w:firstLine="648"/>
        <w:spacing w:after="0" w:line="288" w:lineRule="auto"/>
        <w:rPr>
          <w:sz w:val="20"/>
          <w:szCs w:val="20"/>
          <w:color w:val="auto"/>
        </w:rPr>
      </w:pPr>
      <w:r>
        <w:rPr>
          <w:rFonts w:ascii="Arial" w:cs="Arial" w:eastAsia="Arial" w:hAnsi="Arial"/>
          <w:sz w:val="16"/>
          <w:szCs w:val="16"/>
          <w:i w:val="1"/>
          <w:iCs w:val="1"/>
          <w:color w:val="auto"/>
        </w:rPr>
        <w:t>Charles E. Bradley, Jr</w:t>
      </w:r>
      <w:r>
        <w:rPr>
          <w:rFonts w:ascii="Arial" w:cs="Arial" w:eastAsia="Arial" w:hAnsi="Arial"/>
          <w:sz w:val="16"/>
          <w:szCs w:val="16"/>
          <w:color w:val="auto"/>
        </w:rPr>
        <w:t>., 55, has been our President and a director since our formation in March 1991, and was elected Chairman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in July 2001. In January 1992, Mr. Bradley was appointed Chief Executive Officer. From April 1989 to November 1990, he served as Chief Operating Officer of Barnard and Company, a private investment firm. From September 1987 to March 1989, Mr. Bradley, Jr. was an associate of</w:t>
      </w:r>
    </w:p>
    <w:p>
      <w:pPr>
        <w:spacing w:after="0"/>
        <w:rPr>
          <w:sz w:val="20"/>
          <w:szCs w:val="20"/>
          <w:color w:val="auto"/>
        </w:rPr>
      </w:pPr>
      <w:r>
        <w:rPr>
          <w:rFonts w:ascii="Arial" w:cs="Arial" w:eastAsia="Arial" w:hAnsi="Arial"/>
          <w:sz w:val="16"/>
          <w:szCs w:val="16"/>
          <w:color w:val="auto"/>
        </w:rPr>
        <w:t>The Harding Group, a private investment banking firm. Mr. Bradley does not currently serve on the board of directors of any other publicly-traded companies.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8" w:name="page29"/>
    <w:bookmarkEnd w:id="28"/>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Jeffrey P. Fritz, </w:t>
      </w:r>
      <w:r>
        <w:rPr>
          <w:rFonts w:ascii="Arial" w:cs="Arial" w:eastAsia="Arial" w:hAnsi="Arial"/>
          <w:sz w:val="18"/>
          <w:szCs w:val="18"/>
          <w:color w:val="auto"/>
        </w:rPr>
        <w:t>55</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Executive Vice President and Chief Financial Officer since March 2014. Prior to that, he was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since April 2006. He was Senior Vice President of Accounting from August 2004 through March 2006 and served as a consultant to us from May 2004 to August 2004. He also served as our Chief Financial Officer from our inception through May 1999. He is a licensed Certified Public Accountant and has previously practiced public accounting.</w:t>
      </w:r>
    </w:p>
    <w:p>
      <w:pPr>
        <w:spacing w:after="0" w:line="18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Robert E. Riedl, </w:t>
      </w:r>
      <w:r>
        <w:rPr>
          <w:rFonts w:ascii="Arial" w:cs="Arial" w:eastAsia="Arial" w:hAnsi="Arial"/>
          <w:sz w:val="17"/>
          <w:szCs w:val="17"/>
          <w:color w:val="auto"/>
        </w:rPr>
        <w:t>51, has been Executive Vice President and Chief Operating Officer since March 2014. Mr. Riedl joined CPS in 2003 and has held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different senior positions within the company since then, including Chief Investment Officer, Chief Financial Officer and Senior Vice President, Risk Management. Prior to CPS, Mr. Riedl was a Principal at Northwest Capital Appreciation ("NCA"), a middle market private equity firm, from 1999 to 2002. Mr. Riedl was an investment banker for ContiFinancial Services, Jefferies &amp; Company and PaineWebber from 1986 until 1999.</w:t>
      </w:r>
    </w:p>
    <w:p>
      <w:pPr>
        <w:spacing w:after="0" w:line="17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i w:val="1"/>
          <w:iCs w:val="1"/>
          <w:color w:val="auto"/>
        </w:rPr>
        <w:t xml:space="preserve">Michael T. Lavin, </w:t>
      </w:r>
      <w:r>
        <w:rPr>
          <w:rFonts w:ascii="Arial" w:cs="Arial" w:eastAsia="Arial" w:hAnsi="Arial"/>
          <w:sz w:val="17"/>
          <w:szCs w:val="17"/>
          <w:color w:val="auto"/>
        </w:rPr>
        <w:t>42, has been Executive Vice President - Chief Legal Officer since March 2014. Prior to that, he was our Senior Vice President –</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Counsel since March 2013, Senior Vice President and Corporate Counsel since May 2009 and our Vice President- Legal since joining the Company in November of 2001. Mr. Lavin was previously engaged as a law clerk and an associate with the San Diego based large law firm (now defunct) of Edwards, Sooy &amp; Byron from 1996 through 2000 and then as an associate with the Orange County based firm of Trachtman &amp; Trachtman from 2000 through 2001. Mr. Lavin also clerked for the San Diego District Attorney’s office and Orange County Public Defender’s office.</w:t>
      </w:r>
    </w:p>
    <w:p>
      <w:pPr>
        <w:spacing w:after="0" w:line="17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i w:val="1"/>
          <w:iCs w:val="1"/>
          <w:color w:val="auto"/>
        </w:rPr>
        <w:t xml:space="preserve">Mark A. Creatura, </w:t>
      </w:r>
      <w:r>
        <w:rPr>
          <w:rFonts w:ascii="Arial" w:cs="Arial" w:eastAsia="Arial" w:hAnsi="Arial"/>
          <w:sz w:val="17"/>
          <w:szCs w:val="17"/>
          <w:color w:val="auto"/>
        </w:rPr>
        <w:t>55, has been Senior Vice President – General Counsel since October 1996. From October 1993 through October 1996, he was</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and General Counsel at Urethane Technologies, Inc., a polyurethane chemicals formulator. Mr. Creatura was previously engaged in the private practice of law with the Los Angeles law firm of Troy &amp; Gould Professional Corporation, from October 1985 through October 1993.</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Christopher Terry, </w:t>
      </w:r>
      <w:r>
        <w:rPr>
          <w:rFonts w:ascii="Arial" w:cs="Arial" w:eastAsia="Arial" w:hAnsi="Arial"/>
          <w:sz w:val="18"/>
          <w:szCs w:val="18"/>
          <w:color w:val="auto"/>
        </w:rPr>
        <w:t>47, has been Senior Vice President – Asset Recovery since August 2013. Prior to that was our Senior Vice President of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May 2005, and prior to that was Senior Vice President - Asset Recovery since January 2003. He joined us in January 1995 as a loan officer, held a series of successively more responsible positions, and was promoted to Vice President - Asset Recovery in June 1999. Mr. Terry was previously a branch manager with Norwest Financial from 1990 to October 1994.</w:t>
      </w:r>
    </w:p>
    <w:p>
      <w:pPr>
        <w:spacing w:after="0" w:line="187"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i w:val="1"/>
          <w:iCs w:val="1"/>
          <w:color w:val="auto"/>
        </w:rPr>
        <w:t xml:space="preserve">Teri L. Robinson, </w:t>
      </w:r>
      <w:r>
        <w:rPr>
          <w:rFonts w:ascii="Arial" w:cs="Arial" w:eastAsia="Arial" w:hAnsi="Arial"/>
          <w:sz w:val="18"/>
          <w:szCs w:val="18"/>
          <w:color w:val="auto"/>
        </w:rPr>
        <w:t>52, has been Senior Vice President of Originations since April 2007. Prior to that, she held the position of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Originations since August 1998. She joined the Company in June 1991 as an Operations Specialist, and held a series of successively more responsible positions. Previously, Ms. Robinson held an administrative position at Greco &amp; Associates.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Curtis K. Powell, </w:t>
      </w:r>
      <w:r>
        <w:rPr>
          <w:rFonts w:ascii="Arial" w:cs="Arial" w:eastAsia="Arial" w:hAnsi="Arial"/>
          <w:sz w:val="18"/>
          <w:szCs w:val="18"/>
          <w:color w:val="auto"/>
        </w:rPr>
        <w:t>57, has been Senior Vice President – Project Development since May 2010. Previously he was our Senior Vice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from March 2007 to May 2010. Prior to that, he was our Senior Vice President of Originations from June 2001 to March 2007. Prior to that, he was our Senior Vice President – Marketing, from April 1995 to June 2001. He joined us in January 1993 as an independent marketing representative until being appointed Regional Vice President of Marketing for Southern California in November 1994. From June 1985 through January 1993, Mr. Powell was in the retail automobile sales and leasing business.</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Laurie A. Straten, </w:t>
      </w:r>
      <w:r>
        <w:rPr>
          <w:rFonts w:ascii="Arial" w:cs="Arial" w:eastAsia="Arial" w:hAnsi="Arial"/>
          <w:sz w:val="18"/>
          <w:szCs w:val="18"/>
          <w:color w:val="auto"/>
        </w:rPr>
        <w:t>46</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Senior Vice President of Servicing since August 2013. Prior to that, she was our Senior Vice President of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since April 2013, and before that she held the position of Vice President of Asset Recovery starting in April 2005. She started with the Company in March 1996 as a bankruptcy specialist and took on more responsibility within Asset Recovery over time. Prior to joining CPS she worked for the FDIC and served in the United States Marine Corps.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Richard B. Haskell, </w:t>
      </w:r>
      <w:r>
        <w:rPr>
          <w:rFonts w:ascii="Arial" w:cs="Arial" w:eastAsia="Arial" w:hAnsi="Arial"/>
          <w:sz w:val="18"/>
          <w:szCs w:val="18"/>
          <w:color w:val="auto"/>
        </w:rPr>
        <w:t>48</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Senior Vice President of Systems and Risk Management since April 2013. Prior to that, he held the positions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Systems and Risk Management since January 2007, and Vice President of Risk Management since January 2005. He joined the Company in March 1994 as a data entry clerk in the Originations Department and held a series of successively more responsible positions. Previously, Mr. Haskell held a position as loan officer at Trust One Mortgage.</w:t>
      </w:r>
    </w:p>
    <w:p>
      <w:pPr>
        <w:spacing w:after="0" w:line="187"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i w:val="1"/>
          <w:iCs w:val="1"/>
          <w:color w:val="auto"/>
        </w:rPr>
        <w:t>John P. Harton</w:t>
      </w:r>
      <w:r>
        <w:rPr>
          <w:rFonts w:ascii="Arial" w:cs="Arial" w:eastAsia="Arial" w:hAnsi="Arial"/>
          <w:sz w:val="16"/>
          <w:szCs w:val="16"/>
          <w:color w:val="auto"/>
        </w:rPr>
        <w:t>, 50, has been Senior Vice President - Marketing since March 2014. Prior to that, he held the position of Vice President –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since April 2010. He joined the Company in April 1996 as a loan officer, held a series of successively more responsible positions, and was promoted to Vice President - Originations in June 2007. Mr. Harton was previously a branch manager with American General Finance from 1990 to March 1996.</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Company’s Common Stock is traded on the Nasdaq Global Market, under the symbol "CPSS." The following table sets forth the high and low sale prices as reported by Nasdaq for our Common Stock for the periods shown.</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440" w:type="dxa"/>
            <w:vAlign w:val="bottom"/>
            <w:gridSpan w:val="2"/>
          </w:tcPr>
          <w:p>
            <w:pPr>
              <w:ind w:left="360"/>
              <w:spacing w:after="0"/>
              <w:rPr>
                <w:sz w:val="20"/>
                <w:szCs w:val="20"/>
                <w:color w:val="auto"/>
              </w:rPr>
            </w:pPr>
            <w:r>
              <w:rPr>
                <w:rFonts w:ascii="Arial" w:cs="Arial" w:eastAsia="Arial" w:hAnsi="Arial"/>
                <w:sz w:val="18"/>
                <w:szCs w:val="18"/>
                <w:b w:val="1"/>
                <w:bCs w:val="1"/>
                <w:color w:val="auto"/>
              </w:rPr>
              <w:t>High</w:t>
            </w:r>
          </w:p>
        </w:tc>
        <w:tc>
          <w:tcPr>
            <w:tcW w:w="1260" w:type="dxa"/>
            <w:vAlign w:val="bottom"/>
            <w:gridSpan w:val="2"/>
          </w:tcPr>
          <w:p>
            <w:pPr>
              <w:ind w:left="400"/>
              <w:spacing w:after="0"/>
              <w:rPr>
                <w:sz w:val="20"/>
                <w:szCs w:val="20"/>
                <w:color w:val="auto"/>
              </w:rPr>
            </w:pPr>
            <w:r>
              <w:rPr>
                <w:rFonts w:ascii="Arial" w:cs="Arial" w:eastAsia="Arial" w:hAnsi="Arial"/>
                <w:sz w:val="18"/>
                <w:szCs w:val="18"/>
                <w:b w:val="1"/>
                <w:bCs w:val="1"/>
                <w:color w:val="auto"/>
              </w:rPr>
              <w:t>Low</w:t>
            </w:r>
          </w:p>
        </w:tc>
      </w:tr>
      <w:tr>
        <w:trPr>
          <w:trHeight w:val="210"/>
        </w:trPr>
        <w:tc>
          <w:tcPr>
            <w:tcW w:w="20" w:type="dxa"/>
            <w:vAlign w:val="bottom"/>
          </w:tcPr>
          <w:p>
            <w:pPr>
              <w:spacing w:after="0"/>
              <w:rPr>
                <w:sz w:val="18"/>
                <w:szCs w:val="18"/>
                <w:color w:val="auto"/>
              </w:rPr>
            </w:pPr>
          </w:p>
        </w:tc>
        <w:tc>
          <w:tcPr>
            <w:tcW w:w="64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January 1 - March 31, 2013</w:t>
            </w:r>
          </w:p>
        </w:tc>
        <w:tc>
          <w:tcPr>
            <w:tcW w:w="11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8"/>
              </w:rPr>
              <w:t>11.94</w:t>
            </w:r>
          </w:p>
        </w:tc>
        <w:tc>
          <w:tcPr>
            <w:tcW w:w="32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ind w:right="290"/>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April 1 - June 30, 2013</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12.79</w:t>
            </w:r>
          </w:p>
        </w:tc>
        <w:tc>
          <w:tcPr>
            <w:tcW w:w="3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2013</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7.62</w:t>
            </w:r>
          </w:p>
        </w:tc>
        <w:tc>
          <w:tcPr>
            <w:tcW w:w="32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October 1 - December 31, 2013</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9.45</w:t>
            </w:r>
          </w:p>
        </w:tc>
        <w:tc>
          <w:tcPr>
            <w:tcW w:w="3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January 1 - March 31, 2014</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9.64</w:t>
            </w:r>
          </w:p>
        </w:tc>
        <w:tc>
          <w:tcPr>
            <w:tcW w:w="32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April 1 - June 30, 2014</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7.99</w:t>
            </w:r>
          </w:p>
        </w:tc>
        <w:tc>
          <w:tcPr>
            <w:tcW w:w="3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2014</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8.22</w:t>
            </w:r>
          </w:p>
        </w:tc>
        <w:tc>
          <w:tcPr>
            <w:tcW w:w="32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October 1 - December 31, 2014</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8.00</w:t>
            </w:r>
          </w:p>
        </w:tc>
        <w:tc>
          <w:tcPr>
            <w:tcW w:w="32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January 1, 2015, there were 43 holders of record of the Company’s Common Stock. To date, we have not declared or paid any dividends on our Common Stock. The payment of future dividends, if any, on our Common Stock is within the discretion of the Board of Directors and will depend upon our income, capital requirements and financial condition, and other relevant factors. The instruments governing our outstanding debt place certain restrictions on the payment of dividends. We do not intend to declare any dividends on our Common Stock in the foreseeable future, but instead intend to retain any cash flow for use in our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information regarding outstanding options to purchase our Common Stock as of December 31, 2014:</w:t>
      </w:r>
    </w:p>
    <w:p>
      <w:pPr>
        <w:sectPr>
          <w:pgSz w:w="11900" w:h="16838" w:orient="portrait"/>
          <w:cols w:equalWidth="0" w:num="1">
            <w:col w:w="11360"/>
          </w:cols>
          <w:pgMar w:left="240" w:top="87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9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23"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Equity compensation plans approved by security holders Equity compensation plans not approved by security holders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Number of securities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securities remaining</w:t>
            </w:r>
          </w:p>
        </w:tc>
      </w:tr>
      <w:tr>
        <w:trPr>
          <w:trHeight w:val="216"/>
        </w:trPr>
        <w:tc>
          <w:tcPr>
            <w:tcW w:w="12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to be issued upon</w:t>
            </w:r>
          </w:p>
        </w:tc>
        <w:tc>
          <w:tcPr>
            <w:tcW w:w="1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Weighted average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 for future</w:t>
            </w:r>
          </w:p>
        </w:tc>
      </w:tr>
      <w:tr>
        <w:trPr>
          <w:trHeight w:val="216"/>
        </w:trPr>
        <w:tc>
          <w:tcPr>
            <w:tcW w:w="12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exercise price of</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issuance under</w:t>
            </w:r>
          </w:p>
        </w:tc>
      </w:tr>
      <w:tr>
        <w:trPr>
          <w:trHeight w:val="216"/>
        </w:trPr>
        <w:tc>
          <w:tcPr>
            <w:tcW w:w="1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outstanding options,</w:t>
            </w:r>
          </w:p>
        </w:tc>
        <w:tc>
          <w:tcPr>
            <w:tcW w:w="19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outstanding options,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equity</w:t>
            </w:r>
          </w:p>
        </w:tc>
      </w:tr>
      <w:tr>
        <w:trPr>
          <w:trHeight w:val="234"/>
        </w:trPr>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360" w:type="dxa"/>
            <w:vAlign w:val="bottom"/>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 plans</w:t>
            </w:r>
          </w:p>
        </w:tc>
      </w:tr>
      <w:tr>
        <w:trPr>
          <w:trHeight w:val="425"/>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10,828,245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4.05</w:t>
            </w:r>
          </w:p>
        </w:tc>
        <w:tc>
          <w:tcPr>
            <w:tcW w:w="1580" w:type="dxa"/>
            <w:vAlign w:val="bottom"/>
          </w:tcPr>
          <w:p>
            <w:pPr>
              <w:jc w:val="right"/>
              <w:spacing w:after="0"/>
              <w:rPr>
                <w:sz w:val="20"/>
                <w:szCs w:val="20"/>
                <w:color w:val="auto"/>
              </w:rPr>
            </w:pPr>
            <w:r>
              <w:rPr>
                <w:rFonts w:ascii="Arial" w:cs="Arial" w:eastAsia="Arial" w:hAnsi="Arial"/>
                <w:sz w:val="18"/>
                <w:szCs w:val="18"/>
                <w:color w:val="auto"/>
              </w:rPr>
              <w:t>2,108,381</w:t>
            </w:r>
          </w:p>
        </w:tc>
      </w:tr>
      <w:tr>
        <w:trPr>
          <w:trHeight w:val="230"/>
        </w:trPr>
        <w:tc>
          <w:tcPr>
            <w:tcW w:w="12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453"/>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10,828,245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4.05</w:t>
            </w:r>
          </w:p>
        </w:tc>
        <w:tc>
          <w:tcPr>
            <w:tcW w:w="1580" w:type="dxa"/>
            <w:vAlign w:val="bottom"/>
          </w:tcPr>
          <w:p>
            <w:pPr>
              <w:jc w:val="right"/>
              <w:spacing w:after="0"/>
              <w:rPr>
                <w:sz w:val="20"/>
                <w:szCs w:val="20"/>
                <w:color w:val="auto"/>
              </w:rPr>
            </w:pPr>
            <w:r>
              <w:rPr>
                <w:rFonts w:ascii="Arial" w:cs="Arial" w:eastAsia="Arial" w:hAnsi="Arial"/>
                <w:sz w:val="18"/>
                <w:szCs w:val="18"/>
                <w:color w:val="auto"/>
              </w:rPr>
              <w:t>2,108,381</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-608330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-325120</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520"/>
          </w:cols>
          <w:pgMar w:left="240" w:top="877" w:right="29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760" w:type="dxa"/>
            <w:vAlign w:val="bottom"/>
            <w:gridSpan w:val="11"/>
          </w:tcPr>
          <w:p>
            <w:pPr>
              <w:ind w:left="620"/>
              <w:spacing w:after="0"/>
              <w:rPr>
                <w:sz w:val="20"/>
                <w:szCs w:val="20"/>
                <w:color w:val="auto"/>
              </w:rPr>
            </w:pPr>
            <w:r>
              <w:rPr>
                <w:rFonts w:ascii="Arial" w:cs="Arial" w:eastAsia="Arial" w:hAnsi="Arial"/>
                <w:sz w:val="18"/>
                <w:szCs w:val="18"/>
                <w:b w:val="1"/>
                <w:bCs w:val="1"/>
                <w:color w:val="auto"/>
              </w:rPr>
              <w:t>Issuer Purchases of Equity Securities in the Fourth Quarter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Total Number of</w:t>
            </w:r>
          </w:p>
        </w:tc>
        <w:tc>
          <w:tcPr>
            <w:tcW w:w="18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 Purchased as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Average</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Part of Publicly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Price Paid</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ind w:left="1460"/>
              <w:spacing w:after="0"/>
              <w:rPr>
                <w:sz w:val="20"/>
                <w:szCs w:val="20"/>
                <w:color w:val="auto"/>
              </w:rPr>
            </w:pPr>
            <w:r>
              <w:rPr>
                <w:rFonts w:ascii="Arial" w:cs="Arial" w:eastAsia="Arial" w:hAnsi="Arial"/>
                <w:sz w:val="18"/>
                <w:szCs w:val="18"/>
                <w:b w:val="1"/>
                <w:bCs w:val="1"/>
                <w:color w:val="auto"/>
              </w:rPr>
              <w:t>Period(1)</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per Share</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Programs(2)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October 2014</w:t>
            </w: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ind w:left="15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November 2014</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December 2014</w:t>
            </w:r>
          </w:p>
        </w:tc>
        <w:tc>
          <w:tcPr>
            <w:tcW w:w="8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360" w:type="dxa"/>
            <w:vAlign w:val="bottom"/>
            <w:shd w:val="clear" w:color="auto" w:fill="EEEEEE"/>
          </w:tcPr>
          <w:p>
            <w:pPr>
              <w:spacing w:after="0"/>
              <w:rPr>
                <w:sz w:val="19"/>
                <w:szCs w:val="19"/>
                <w:color w:val="auto"/>
              </w:rPr>
            </w:pPr>
          </w:p>
        </w:tc>
        <w:tc>
          <w:tcPr>
            <w:tcW w:w="42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ind w:left="1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1360" w:type="dxa"/>
            <w:vAlign w:val="bottom"/>
            <w:shd w:val="clear" w:color="auto" w:fill="EEEEEE"/>
          </w:tcPr>
          <w:p>
            <w:pPr>
              <w:spacing w:after="0"/>
              <w:rPr>
                <w:sz w:val="21"/>
                <w:szCs w:val="21"/>
                <w:color w:val="auto"/>
              </w:rPr>
            </w:pPr>
          </w:p>
        </w:tc>
        <w:tc>
          <w:tcPr>
            <w:tcW w:w="42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ind w:left="1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14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 w:lineRule="exact"/>
        <w:rPr>
          <w:rFonts w:ascii="Arial" w:cs="Arial" w:eastAsia="Arial" w:hAnsi="Arial"/>
          <w:sz w:val="18"/>
          <w:szCs w:val="18"/>
          <w:i w:val="1"/>
          <w:iCs w:val="1"/>
          <w:color w:val="auto"/>
        </w:rPr>
      </w:pPr>
    </w:p>
    <w:p>
      <w:pPr>
        <w:ind w:left="260" w:right="100" w:hanging="252"/>
        <w:spacing w:after="0" w:line="254" w:lineRule="auto"/>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Through December 31, 2014, our board of directors had authorized the purchase of up to $34.5 million of our outstanding securities, which program was first announced in our annual report for the year 2002, filed on March 26, 2003. All purchases described in the table above were under the plan announced in March 2003, which has no fixed expiration date. As of December 31, 2014, we have purchased $5.0 million in principal amount of debt securities and $28.4 million of our common stock representing 9,800,720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following table presents our selected consolidated financial data and operating data as of and for the dates indicated. The data under the captions "Statement of Operations Data" and "Balance Sheet Data" have been derived from our audited consolidated financial statements. The remainder is derived from other records of ours. You should read the selected consolidated financial data together with "Management’s Discussion and Analysis of Financial Condition and Results of Operations" and our audited and unaudited consolidated financial statements and notes thereto that are included in this report, and in our quarterly and periodic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0"/>
              </w:rPr>
              <w:t>As of and</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tcPr>
          <w:p>
            <w:pPr>
              <w:ind w:left="580"/>
              <w:spacing w:after="0"/>
              <w:rPr>
                <w:sz w:val="20"/>
                <w:szCs w:val="20"/>
                <w:color w:val="auto"/>
              </w:rPr>
            </w:pPr>
            <w:r>
              <w:rPr>
                <w:rFonts w:ascii="Arial" w:cs="Arial" w:eastAsia="Arial" w:hAnsi="Arial"/>
                <w:sz w:val="18"/>
                <w:szCs w:val="18"/>
                <w:b w:val="1"/>
                <w:bCs w:val="1"/>
                <w:color w:val="auto"/>
              </w:rPr>
              <w:t>(in thousands, except per share data)</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286,734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231,330</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175,314</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127,856</w:t>
            </w:r>
          </w:p>
        </w:tc>
        <w:tc>
          <w:tcPr>
            <w:tcW w:w="38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Servicing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2,305</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4,348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12,146</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10,405</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9,589</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10,927</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Gain on cancellation of debt</w:t>
            </w:r>
          </w:p>
        </w:tc>
        <w:tc>
          <w:tcPr>
            <w:tcW w:w="24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10,947</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EEEEE"/>
            </w:tcBorders>
            <w:gridSpan w:val="2"/>
            <w:shd w:val="clear" w:color="auto" w:fill="EEEEEE"/>
          </w:tcPr>
          <w:p>
            <w:pPr>
              <w:ind w:left="4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300,256</w:t>
            </w:r>
          </w:p>
        </w:tc>
        <w:tc>
          <w:tcPr>
            <w:tcW w:w="3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255,775</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187,208</w:t>
            </w:r>
          </w:p>
        </w:tc>
        <w:tc>
          <w:tcPr>
            <w:tcW w:w="3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143,131</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155,185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Employee costs</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50,129</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42,960</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35,573</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32,270</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39,262</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32,753</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29,531</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26,759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50,395</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58,179</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79,422</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83,054</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108,228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76,869</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33,495</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Provision for contingent liabilities</w:t>
            </w:r>
          </w:p>
        </w:tc>
        <w:tc>
          <w:tcPr>
            <w:tcW w:w="2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7,841</w:t>
            </w:r>
          </w:p>
        </w:tc>
        <w:tc>
          <w:tcPr>
            <w:tcW w:w="3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EEEEEE"/>
            </w:tcBorders>
            <w:gridSpan w:val="2"/>
          </w:tcPr>
          <w:p>
            <w:pPr>
              <w:ind w:left="44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248,014</w:t>
            </w:r>
          </w:p>
        </w:tc>
        <w:tc>
          <w:tcPr>
            <w:tcW w:w="340" w:type="dxa"/>
            <w:vAlign w:val="bottom"/>
            <w:tcBorders>
              <w:bottom w:val="single" w:sz="8" w:color="EEEEEE"/>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218,602</w:t>
            </w:r>
          </w:p>
        </w:tc>
        <w:tc>
          <w:tcPr>
            <w:tcW w:w="36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178,021</w:t>
            </w:r>
          </w:p>
        </w:tc>
        <w:tc>
          <w:tcPr>
            <w:tcW w:w="32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157,591</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171,380</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(loss) before income tax expense (benefit)</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52,242</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37,173</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9,187</w:t>
            </w: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(14,460)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(16,195)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22,726</w:t>
            </w:r>
          </w:p>
        </w:tc>
        <w:tc>
          <w:tcPr>
            <w:tcW w:w="26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16,168</w:t>
            </w:r>
          </w:p>
        </w:tc>
        <w:tc>
          <w:tcPr>
            <w:tcW w:w="1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(60,221)</w:t>
            </w:r>
          </w:p>
        </w:tc>
        <w:tc>
          <w:tcPr>
            <w:tcW w:w="3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16,982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29,516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21,005</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69,408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(14,460</w:t>
            </w:r>
          </w:p>
        </w:tc>
        <w:tc>
          <w:tcPr>
            <w:tcW w:w="180" w:type="dxa"/>
            <w:vAlign w:val="bottom"/>
            <w:tcBorders>
              <w:top w:val="single" w:sz="8" w:color="EEEEEE"/>
              <w:bottom w:val="single" w:sz="8" w:color="EEEEEE"/>
            </w:tcBorders>
            <w:shd w:val="clear" w:color="auto" w:fill="EEEEEE"/>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(33,177</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Earnings (loss) per share-basic</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0.98</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3.56</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(0.76)</w:t>
            </w:r>
          </w:p>
        </w:tc>
        <w:tc>
          <w:tcPr>
            <w:tcW w:w="38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Earnings (loss) per share-diluted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0.92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0.67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(0.76)</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Pre-tax income (loss) per share-basic (1)</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0.47</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(0.76)</w:t>
            </w:r>
          </w:p>
        </w:tc>
        <w:tc>
          <w:tcPr>
            <w:tcW w:w="38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Pre-tax income (loss) per share-diluted (2)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1.63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0.36</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(0.76)</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Weighted average shares outstanding-basic</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25,040</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21,538</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19,473</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19,013</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Weighted average shares outstanding-diluted</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32,032</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31,574</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25,478</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19,013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1,833,058</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1,396,366</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1,037,620</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890,050</w:t>
            </w:r>
          </w:p>
        </w:tc>
        <w:tc>
          <w:tcPr>
            <w:tcW w:w="38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742,390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17,859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22,112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12,966</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175,382</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132,284</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104,445</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159,228</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1,534,496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1,115,437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744,749</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506,279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14,476</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59,668</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160,253</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4,824</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56,839</w:t>
            </w: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9,452</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21,731</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25,393</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45,564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12,327</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19,096</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13,773</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21,884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1,250</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13,117</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57,107</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166,828</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1,598,496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1,177,559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792,497</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583,065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567,722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15,233</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57,701</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73,416</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79,094</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65,210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127,253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94,602</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61,311</w:t>
            </w:r>
          </w:p>
        </w:tc>
        <w:tc>
          <w:tcPr>
            <w:tcW w:w="3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(14,207)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320" w:hanging="332"/>
        <w:spacing w:after="0" w:line="274" w:lineRule="auto"/>
        <w:tabs>
          <w:tab w:leader="none" w:pos="3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Income (loss) before income tax benefit divided by weighted average shares outstanding-basic. Included for illustrative purposes because some of the periods presented include significant income tax benefits while other periods have neither income tax benefit nor expense.</w:t>
      </w:r>
    </w:p>
    <w:p>
      <w:pPr>
        <w:ind w:left="340" w:right="200" w:hanging="332"/>
        <w:spacing w:after="0" w:line="290" w:lineRule="auto"/>
        <w:tabs>
          <w:tab w:leader="none" w:pos="3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Income (loss) before income tax benefit divided by weighted average shares outstanding-diluted. Included for illustrative purposes because some of the periods presented include significant income tax benefits while other periods have neither income tax benefit nor expense.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As of and</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91"/>
              </w:rPr>
              <w:t>For the Year Ended December 31,</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b w:val="1"/>
                <w:bCs w:val="1"/>
                <w:color w:val="auto"/>
              </w:rPr>
              <w:t>(dollars in thousands, except per share data)</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Contract Purchases/Securitizations</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Automobile contract purchases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944,944</w:t>
            </w: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764,087</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551,742</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284,236</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8"/>
              </w:rPr>
              <w:t>Automobile contracts securitized - structured as sales</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103,772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Automobile contracts securitized - structured as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secured financings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924,000</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778,000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603,500</w:t>
            </w:r>
          </w:p>
        </w:tc>
        <w:tc>
          <w:tcPr>
            <w:tcW w:w="3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335,593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Managed Portfolio Data</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held by consolidated subsidiaries</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1,640,536</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1,207,694</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807,888</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546,018</w:t>
            </w:r>
          </w:p>
        </w:tc>
        <w:tc>
          <w:tcPr>
            <w:tcW w:w="4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Fireside portfolio</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14,786</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60,804</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172,167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held by non-consolidated subsidiaries</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4,074</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17,298</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42,971</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83,964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Third party portfolios (1)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11,585</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33,493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 managed portfolio</w:t>
            </w:r>
          </w:p>
        </w:tc>
        <w:tc>
          <w:tcPr>
            <w:tcW w:w="240" w:type="dxa"/>
            <w:vAlign w:val="bottom"/>
            <w:tcBorders>
              <w:top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1,643,920</w:t>
            </w:r>
          </w:p>
        </w:tc>
        <w:tc>
          <w:tcPr>
            <w:tcW w:w="3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1,231,422</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3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794,649</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756,203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Average managed portfolio</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1,422,870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1,081,936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822,571</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711,725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928,977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fixed effective interest rate (total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managed portfolio) (2)</w:t>
            </w: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Core operating expense (% of average managed</w:t>
            </w: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portfolio) (3)</w:t>
            </w:r>
          </w:p>
        </w:tc>
        <w:tc>
          <w:tcPr>
            <w:tcW w:w="24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w:t>
            </w:r>
          </w:p>
        </w:tc>
        <w:tc>
          <w:tcPr>
            <w:tcW w:w="38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Allowance for finance credit losses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61,460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39,626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19,594</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10,351</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Allowance for finance credit losses (% of total</w:t>
            </w: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contracts held by consolidated subsidiaries).</w:t>
            </w:r>
          </w:p>
        </w:tc>
        <w:tc>
          <w:tcPr>
            <w:tcW w:w="24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Aggregate allowance for finance credit losses and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repossessions in inventory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79,289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54,405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25,978</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15,116</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Aggregate allowance for finance credit losses (% of</w:t>
            </w: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w w:val="99"/>
              </w:rPr>
              <w:t>total repossessions in inventory and contracts held</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by consolidated subsidiaries).</w:t>
            </w:r>
          </w:p>
        </w:tc>
        <w:tc>
          <w:tcPr>
            <w:tcW w:w="24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w:t>
            </w:r>
          </w:p>
        </w:tc>
        <w:tc>
          <w:tcPr>
            <w:tcW w:w="38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Total delinquencies (2) (4)</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delinquencies and repossessions (2) (4)</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7.2%</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Net charge-offs (2) (5)</w:t>
            </w: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Receivables related to the third party portfolios, on which we earn only a servicing fee.</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receivables related to the third party portfolios.</w:t>
      </w:r>
    </w:p>
    <w:p>
      <w:pPr>
        <w:spacing w:after="0" w:line="9" w:lineRule="exact"/>
        <w:rPr>
          <w:rFonts w:ascii="Arial" w:cs="Arial" w:eastAsia="Arial" w:hAnsi="Arial"/>
          <w:sz w:val="18"/>
          <w:szCs w:val="18"/>
          <w:i w:val="1"/>
          <w:iCs w:val="1"/>
          <w:color w:val="auto"/>
        </w:rPr>
      </w:pPr>
    </w:p>
    <w:p>
      <w:pPr>
        <w:ind w:left="340" w:right="120" w:hanging="332"/>
        <w:spacing w:after="0" w:line="250"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Total expenses excluding provision for credit losses, provision for contingent liabilities, interest expense, loss on sale of receivables and impairment loss on residual assets.</w:t>
      </w:r>
    </w:p>
    <w:p>
      <w:pPr>
        <w:ind w:left="340" w:right="200" w:hanging="332"/>
        <w:spacing w:after="0" w:line="250"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 further information regarding delinquencies and the managed portfolio, see the table captioned </w:t>
      </w:r>
      <w:r>
        <w:rPr>
          <w:rFonts w:ascii="Arial" w:cs="Arial" w:eastAsia="Arial" w:hAnsi="Arial"/>
          <w:sz w:val="18"/>
          <w:szCs w:val="18"/>
          <w:color w:val="auto"/>
        </w:rPr>
        <w:t>"</w:t>
      </w:r>
      <w:r>
        <w:rPr>
          <w:rFonts w:ascii="Arial" w:cs="Arial" w:eastAsia="Arial" w:hAnsi="Arial"/>
          <w:sz w:val="18"/>
          <w:szCs w:val="18"/>
          <w:i w:val="1"/>
          <w:iCs w:val="1"/>
          <w:color w:val="auto"/>
        </w:rPr>
        <w:t>Delinquency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in Item 1, Part I of this report and the notes to that table.</w:t>
      </w:r>
    </w:p>
    <w:p>
      <w:pPr>
        <w:ind w:left="340" w:right="160" w:hanging="332"/>
        <w:spacing w:after="0" w:line="254"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charge-offs include the remaining principal balance, after the application of the net proceeds from the liquidation of the vehicle (excluding accrued and unpaid interest) and amounts collected subsequent to the date of the charge-off, including some recoveries which have been classified as other income in the accompanying consolidated financial statements. For further information regarding charge-offs, see the table captioned </w:t>
      </w:r>
      <w:r>
        <w:rPr>
          <w:rFonts w:ascii="Arial" w:cs="Arial" w:eastAsia="Arial" w:hAnsi="Arial"/>
          <w:sz w:val="18"/>
          <w:szCs w:val="18"/>
          <w:color w:val="auto"/>
        </w:rPr>
        <w:t>"</w:t>
      </w:r>
      <w:r>
        <w:rPr>
          <w:rFonts w:ascii="Arial" w:cs="Arial" w:eastAsia="Arial" w:hAnsi="Arial"/>
          <w:sz w:val="18"/>
          <w:szCs w:val="18"/>
          <w:i w:val="1"/>
          <w:iCs w:val="1"/>
          <w:color w:val="auto"/>
        </w:rPr>
        <w:t>Net Charge-Off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in Item I, Part I of this report and the notes to that table.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notes thereto and other information included or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directly originated an immaterial amount of vehicle purchase money loans by lending money directly to consumers. In this report, we refer to all of such contracts and loans as "automobile contracts."</w:t>
      </w:r>
    </w:p>
    <w:p>
      <w:pPr>
        <w:spacing w:after="0" w:line="18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were incorporated and began our operations in March 1991. From inception through December 31, 2014, we have purchased a total of approximately $11.3 billion of automobile contracts from dealers.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From 2008 through 2010, our managed portfolio decreased each year due to our strategy of limiting contract purchases to conserve our liquidity during the financial crisis and resulting recession, as discussed further below. However, since October 2009, we have gradually increased contract purchase which, in turn, has resulted in recent increases in our managed portfolio. Recent contract purchase volumes and managed portfolio levels are shown in the table below:</w:t>
      </w:r>
    </w:p>
    <w:p>
      <w:pPr>
        <w:spacing w:after="0" w:line="17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 in thousands</w:t>
      </w:r>
    </w:p>
    <w:p>
      <w:pPr>
        <w:spacing w:after="0" w:line="23" w:lineRule="exact"/>
        <w:rPr>
          <w:sz w:val="20"/>
          <w:szCs w:val="20"/>
          <w:color w:val="auto"/>
        </w:rPr>
      </w:pPr>
    </w:p>
    <w:tbl>
      <w:tblPr>
        <w:tblLayout w:type="fixed"/>
        <w:tblInd w:w="2300" w:type="dxa"/>
        <w:tblCellMar>
          <w:top w:w="0" w:type="dxa"/>
          <w:left w:w="0" w:type="dxa"/>
          <w:bottom w:w="0" w:type="dxa"/>
          <w:right w:w="0" w:type="dxa"/>
        </w:tblCellMar>
      </w:tblPr>
      <w:tr>
        <w:trPr>
          <w:trHeight w:val="191"/>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ind w:left="180"/>
              <w:spacing w:after="0" w:line="191" w:lineRule="exact"/>
              <w:rPr>
                <w:sz w:val="20"/>
                <w:szCs w:val="20"/>
                <w:color w:val="auto"/>
              </w:rPr>
            </w:pPr>
            <w:r>
              <w:rPr>
                <w:rFonts w:ascii="Arial" w:cs="Arial" w:eastAsia="Arial" w:hAnsi="Arial"/>
                <w:sz w:val="18"/>
                <w:szCs w:val="18"/>
                <w:b w:val="1"/>
                <w:bCs w:val="1"/>
                <w:color w:val="auto"/>
              </w:rPr>
              <w:t>Contracts</w:t>
            </w: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Managed Portfolio</w:t>
            </w:r>
          </w:p>
        </w:tc>
        <w:tc>
          <w:tcPr>
            <w:tcW w:w="120" w:type="dxa"/>
            <w:vAlign w:val="bottom"/>
          </w:tcPr>
          <w:p>
            <w:pPr>
              <w:spacing w:after="0"/>
              <w:rPr>
                <w:sz w:val="16"/>
                <w:szCs w:val="16"/>
                <w:color w:val="auto"/>
              </w:rPr>
            </w:pPr>
          </w:p>
        </w:tc>
      </w:tr>
      <w:tr>
        <w:trPr>
          <w:trHeight w:val="234"/>
        </w:trPr>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0"/>
                <w:szCs w:val="20"/>
                <w:color w:val="auto"/>
              </w:rPr>
            </w:pP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rPr>
              <w:t>Purchased in Period</w:t>
            </w:r>
          </w:p>
        </w:tc>
        <w:tc>
          <w:tcPr>
            <w:tcW w:w="10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at Period End</w:t>
            </w:r>
          </w:p>
        </w:tc>
      </w:tr>
      <w:tr>
        <w:trPr>
          <w:trHeight w:val="210"/>
        </w:trPr>
        <w:tc>
          <w:tcPr>
            <w:tcW w:w="2940" w:type="dxa"/>
            <w:vAlign w:val="bottom"/>
            <w:tcBorders>
              <w:top w:val="single" w:sz="8" w:color="auto"/>
            </w:tcBorders>
            <w:shd w:val="clear" w:color="auto" w:fill="EEEEEE"/>
          </w:tcPr>
          <w:p>
            <w:pPr>
              <w:jc w:val="right"/>
              <w:ind w:right="1150"/>
              <w:spacing w:after="0"/>
              <w:rPr>
                <w:sz w:val="20"/>
                <w:szCs w:val="20"/>
                <w:color w:val="auto"/>
              </w:rPr>
            </w:pPr>
            <w:r>
              <w:rPr>
                <w:rFonts w:ascii="Arial" w:cs="Arial" w:eastAsia="Arial" w:hAnsi="Arial"/>
                <w:sz w:val="18"/>
                <w:szCs w:val="18"/>
                <w:color w:val="333333"/>
              </w:rPr>
              <w:t>2008</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940" w:type="dxa"/>
            <w:vAlign w:val="bottom"/>
          </w:tcPr>
          <w:p>
            <w:pPr>
              <w:jc w:val="right"/>
              <w:ind w:right="1150"/>
              <w:spacing w:after="0"/>
              <w:rPr>
                <w:sz w:val="20"/>
                <w:szCs w:val="20"/>
                <w:color w:val="auto"/>
              </w:rPr>
            </w:pPr>
            <w:r>
              <w:rPr>
                <w:rFonts w:ascii="Arial" w:cs="Arial" w:eastAsia="Arial" w:hAnsi="Arial"/>
                <w:sz w:val="18"/>
                <w:szCs w:val="18"/>
                <w:color w:val="333333"/>
              </w:rPr>
              <w:t>2009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8,599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1,194,722</w:t>
            </w:r>
          </w:p>
        </w:tc>
        <w:tc>
          <w:tcPr>
            <w:tcW w:w="120" w:type="dxa"/>
            <w:vAlign w:val="bottom"/>
          </w:tcPr>
          <w:p>
            <w:pPr>
              <w:spacing w:after="0"/>
              <w:rPr>
                <w:sz w:val="18"/>
                <w:szCs w:val="18"/>
                <w:color w:val="auto"/>
              </w:rPr>
            </w:pPr>
          </w:p>
        </w:tc>
      </w:tr>
      <w:tr>
        <w:trPr>
          <w:trHeight w:val="216"/>
        </w:trPr>
        <w:tc>
          <w:tcPr>
            <w:tcW w:w="294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333333"/>
              </w:rPr>
              <w:t>2010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113,023</w:t>
            </w: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756,203</w:t>
            </w:r>
          </w:p>
        </w:tc>
        <w:tc>
          <w:tcPr>
            <w:tcW w:w="120" w:type="dxa"/>
            <w:vAlign w:val="bottom"/>
            <w:shd w:val="clear" w:color="auto" w:fill="EEEEEE"/>
          </w:tcPr>
          <w:p>
            <w:pPr>
              <w:spacing w:after="0"/>
              <w:rPr>
                <w:sz w:val="18"/>
                <w:szCs w:val="18"/>
                <w:color w:val="auto"/>
              </w:rPr>
            </w:pPr>
          </w:p>
        </w:tc>
      </w:tr>
      <w:tr>
        <w:trPr>
          <w:trHeight w:val="216"/>
        </w:trPr>
        <w:tc>
          <w:tcPr>
            <w:tcW w:w="2940" w:type="dxa"/>
            <w:vAlign w:val="bottom"/>
          </w:tcPr>
          <w:p>
            <w:pPr>
              <w:jc w:val="right"/>
              <w:ind w:right="1170"/>
              <w:spacing w:after="0"/>
              <w:rPr>
                <w:sz w:val="20"/>
                <w:szCs w:val="20"/>
                <w:color w:val="auto"/>
              </w:rPr>
            </w:pPr>
            <w:r>
              <w:rPr>
                <w:rFonts w:ascii="Arial" w:cs="Arial" w:eastAsia="Arial" w:hAnsi="Arial"/>
                <w:sz w:val="18"/>
                <w:szCs w:val="18"/>
                <w:color w:val="333333"/>
              </w:rPr>
              <w:t>2011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284,236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794,649</w:t>
            </w:r>
          </w:p>
        </w:tc>
        <w:tc>
          <w:tcPr>
            <w:tcW w:w="120" w:type="dxa"/>
            <w:vAlign w:val="bottom"/>
          </w:tcPr>
          <w:p>
            <w:pPr>
              <w:spacing w:after="0"/>
              <w:rPr>
                <w:sz w:val="18"/>
                <w:szCs w:val="18"/>
                <w:color w:val="auto"/>
              </w:rPr>
            </w:pPr>
          </w:p>
        </w:tc>
      </w:tr>
      <w:tr>
        <w:trPr>
          <w:trHeight w:val="216"/>
        </w:trPr>
        <w:tc>
          <w:tcPr>
            <w:tcW w:w="294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333333"/>
              </w:rPr>
              <w:t>2012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551,742</w:t>
            </w: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20" w:type="dxa"/>
            <w:vAlign w:val="bottom"/>
            <w:shd w:val="clear" w:color="auto" w:fill="EEEEEE"/>
          </w:tcPr>
          <w:p>
            <w:pPr>
              <w:spacing w:after="0"/>
              <w:rPr>
                <w:sz w:val="18"/>
                <w:szCs w:val="18"/>
                <w:color w:val="auto"/>
              </w:rPr>
            </w:pPr>
          </w:p>
        </w:tc>
      </w:tr>
      <w:tr>
        <w:trPr>
          <w:trHeight w:val="216"/>
        </w:trPr>
        <w:tc>
          <w:tcPr>
            <w:tcW w:w="2940" w:type="dxa"/>
            <w:vAlign w:val="bottom"/>
          </w:tcPr>
          <w:p>
            <w:pPr>
              <w:jc w:val="right"/>
              <w:ind w:right="1150"/>
              <w:spacing w:after="0"/>
              <w:rPr>
                <w:sz w:val="20"/>
                <w:szCs w:val="20"/>
                <w:color w:val="auto"/>
              </w:rPr>
            </w:pPr>
            <w:r>
              <w:rPr>
                <w:rFonts w:ascii="Arial" w:cs="Arial" w:eastAsia="Arial" w:hAnsi="Arial"/>
                <w:sz w:val="18"/>
                <w:szCs w:val="18"/>
                <w:color w:val="333333"/>
              </w:rPr>
              <w:t>2013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764,087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1,231,422</w:t>
            </w:r>
          </w:p>
        </w:tc>
        <w:tc>
          <w:tcPr>
            <w:tcW w:w="120" w:type="dxa"/>
            <w:vAlign w:val="bottom"/>
          </w:tcPr>
          <w:p>
            <w:pPr>
              <w:spacing w:after="0"/>
              <w:rPr>
                <w:sz w:val="18"/>
                <w:szCs w:val="18"/>
                <w:color w:val="auto"/>
              </w:rPr>
            </w:pPr>
          </w:p>
        </w:tc>
      </w:tr>
      <w:tr>
        <w:trPr>
          <w:trHeight w:val="216"/>
        </w:trPr>
        <w:tc>
          <w:tcPr>
            <w:tcW w:w="294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333333"/>
              </w:rPr>
              <w:t>2014</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944,944</w:t>
            </w: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1,643,920</w:t>
            </w:r>
          </w:p>
        </w:tc>
        <w:tc>
          <w:tcPr>
            <w:tcW w:w="12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purchase contracts in our own name (“CPS”) and, until July 2008, also in the name of our wholly-owned subsidiary, TFC. Programs marketed under the CPS name are intended to serve a wide range of sub-prime customers, primarily through franchised new car dealers. Our TFC program served vehicle purchasers enlisted in the U.S. Armed Forces, primarily through independent used car dealers. In July 2008, we suspended contract purchases under our TFC program. We purchase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unaudited condensed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Since 1994 we have conducted 65 term securitizations (generally quarterly) of automobile contracts that we purchased from dealers under our regular programs. As of December 31, 2014, 16 of those securitizations are active and all but one are structured as secured financings. Our September 2010 transaction is our only active securitization that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3380" w:type="dxa"/>
            <w:vAlign w:val="bottom"/>
            <w:gridSpan w:val="4"/>
          </w:tcPr>
          <w:p>
            <w:pPr>
              <w:spacing w:after="0"/>
              <w:rPr>
                <w:sz w:val="20"/>
                <w:szCs w:val="20"/>
                <w:color w:val="auto"/>
              </w:rPr>
            </w:pPr>
            <w:r>
              <w:rPr>
                <w:rFonts w:ascii="Arial" w:cs="Arial" w:eastAsia="Arial" w:hAnsi="Arial"/>
                <w:sz w:val="18"/>
                <w:szCs w:val="18"/>
                <w:b w:val="1"/>
                <w:bCs w:val="1"/>
                <w:color w:val="auto"/>
                <w:w w:val="91"/>
              </w:rPr>
              <w:t>Recent Asset-Backed Term Securitizations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1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Borders>
              <w:bottom w:val="single" w:sz="8" w:color="auto"/>
            </w:tcBorders>
            <w:gridSpan w:val="5"/>
          </w:tcPr>
          <w:p>
            <w:pPr>
              <w:ind w:left="126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2"/>
              </w:rPr>
              <w:t>Number of Term</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Amount of</w:t>
            </w:r>
          </w:p>
        </w:tc>
      </w:tr>
      <w:tr>
        <w:trPr>
          <w:trHeight w:val="234"/>
        </w:trPr>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Period</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Securitizations</w:t>
            </w:r>
          </w:p>
        </w:tc>
        <w:tc>
          <w:tcPr>
            <w:tcW w:w="22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Receivables</w:t>
            </w:r>
          </w:p>
        </w:tc>
      </w:tr>
      <w:tr>
        <w:trPr>
          <w:trHeight w:val="210"/>
        </w:trPr>
        <w:tc>
          <w:tcPr>
            <w:tcW w:w="1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2005</w:t>
            </w:r>
          </w:p>
        </w:tc>
        <w:tc>
          <w:tcPr>
            <w:tcW w:w="126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right"/>
              <w:ind w:right="650"/>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698,353</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780" w:type="dxa"/>
            <w:vAlign w:val="bottom"/>
          </w:tcPr>
          <w:p>
            <w:pPr>
              <w:jc w:val="right"/>
              <w:spacing w:after="0"/>
              <w:rPr>
                <w:sz w:val="20"/>
                <w:szCs w:val="20"/>
                <w:color w:val="auto"/>
              </w:rPr>
            </w:pPr>
            <w:r>
              <w:rPr>
                <w:rFonts w:ascii="Arial" w:cs="Arial" w:eastAsia="Arial" w:hAnsi="Arial"/>
                <w:sz w:val="18"/>
                <w:szCs w:val="18"/>
                <w:color w:val="auto"/>
              </w:rPr>
              <w:t>2006</w:t>
            </w:r>
          </w:p>
        </w:tc>
        <w:tc>
          <w:tcPr>
            <w:tcW w:w="3160" w:type="dxa"/>
            <w:vAlign w:val="bottom"/>
            <w:gridSpan w:val="3"/>
          </w:tcPr>
          <w:p>
            <w:pPr>
              <w:jc w:val="right"/>
              <w:ind w:right="65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957,681</w:t>
            </w:r>
          </w:p>
        </w:tc>
        <w:tc>
          <w:tcPr>
            <w:tcW w:w="120" w:type="dxa"/>
            <w:vAlign w:val="bottom"/>
          </w:tcPr>
          <w:p>
            <w:pPr>
              <w:spacing w:after="0"/>
              <w:rPr>
                <w:sz w:val="18"/>
                <w:szCs w:val="18"/>
                <w:color w:val="auto"/>
              </w:rPr>
            </w:pPr>
          </w:p>
        </w:tc>
      </w:tr>
      <w:tr>
        <w:trPr>
          <w:trHeight w:val="216"/>
        </w:trPr>
        <w:tc>
          <w:tcPr>
            <w:tcW w:w="1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2007</w:t>
            </w:r>
          </w:p>
        </w:tc>
        <w:tc>
          <w:tcPr>
            <w:tcW w:w="3160" w:type="dxa"/>
            <w:vAlign w:val="bottom"/>
            <w:gridSpan w:val="3"/>
            <w:shd w:val="clear" w:color="auto" w:fill="EEEEEE"/>
          </w:tcPr>
          <w:p>
            <w:pPr>
              <w:jc w:val="right"/>
              <w:ind w:right="650"/>
              <w:spacing w:after="0"/>
              <w:rPr>
                <w:sz w:val="20"/>
                <w:szCs w:val="20"/>
                <w:color w:val="auto"/>
              </w:rPr>
            </w:pPr>
            <w:r>
              <w:rPr>
                <w:rFonts w:ascii="Arial" w:cs="Arial" w:eastAsia="Arial" w:hAnsi="Arial"/>
                <w:sz w:val="18"/>
                <w:szCs w:val="18"/>
                <w:color w:val="auto"/>
              </w:rPr>
              <w:t>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1,118,097</w:t>
            </w:r>
          </w:p>
        </w:tc>
      </w:tr>
      <w:tr>
        <w:trPr>
          <w:trHeight w:val="216"/>
        </w:trPr>
        <w:tc>
          <w:tcPr>
            <w:tcW w:w="1780" w:type="dxa"/>
            <w:vAlign w:val="bottom"/>
          </w:tcPr>
          <w:p>
            <w:pPr>
              <w:jc w:val="right"/>
              <w:spacing w:after="0"/>
              <w:rPr>
                <w:sz w:val="20"/>
                <w:szCs w:val="20"/>
                <w:color w:val="auto"/>
              </w:rPr>
            </w:pPr>
            <w:r>
              <w:rPr>
                <w:rFonts w:ascii="Arial" w:cs="Arial" w:eastAsia="Arial" w:hAnsi="Arial"/>
                <w:sz w:val="18"/>
                <w:szCs w:val="18"/>
                <w:color w:val="333333"/>
              </w:rPr>
              <w:t>2008</w:t>
            </w:r>
          </w:p>
        </w:tc>
        <w:tc>
          <w:tcPr>
            <w:tcW w:w="3160" w:type="dxa"/>
            <w:vAlign w:val="bottom"/>
            <w:gridSpan w:val="3"/>
          </w:tcPr>
          <w:p>
            <w:pPr>
              <w:jc w:val="right"/>
              <w:ind w:right="65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509,022</w:t>
            </w:r>
          </w:p>
        </w:tc>
        <w:tc>
          <w:tcPr>
            <w:tcW w:w="120" w:type="dxa"/>
            <w:vAlign w:val="bottom"/>
          </w:tcPr>
          <w:p>
            <w:pPr>
              <w:spacing w:after="0"/>
              <w:rPr>
                <w:sz w:val="18"/>
                <w:szCs w:val="18"/>
                <w:color w:val="auto"/>
              </w:rPr>
            </w:pPr>
          </w:p>
        </w:tc>
      </w:tr>
      <w:tr>
        <w:trPr>
          <w:trHeight w:val="216"/>
        </w:trPr>
        <w:tc>
          <w:tcPr>
            <w:tcW w:w="1780" w:type="dxa"/>
            <w:vAlign w:val="bottom"/>
            <w:shd w:val="clear" w:color="auto" w:fill="EEEEEE"/>
          </w:tcPr>
          <w:p>
            <w:pPr>
              <w:jc w:val="right"/>
              <w:spacing w:after="0"/>
              <w:rPr>
                <w:sz w:val="20"/>
                <w:szCs w:val="20"/>
                <w:color w:val="auto"/>
              </w:rPr>
            </w:pPr>
            <w:r>
              <w:rPr>
                <w:rFonts w:ascii="Arial" w:cs="Arial" w:eastAsia="Arial" w:hAnsi="Arial"/>
                <w:sz w:val="18"/>
                <w:szCs w:val="18"/>
                <w:color w:val="333333"/>
              </w:rPr>
              <w:t>2009</w:t>
            </w:r>
          </w:p>
        </w:tc>
        <w:tc>
          <w:tcPr>
            <w:tcW w:w="3160" w:type="dxa"/>
            <w:vAlign w:val="bottom"/>
            <w:gridSpan w:val="3"/>
            <w:shd w:val="clear" w:color="auto" w:fill="EEEEEE"/>
          </w:tcPr>
          <w:p>
            <w:pPr>
              <w:jc w:val="right"/>
              <w:ind w:right="650"/>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jc w:val="right"/>
              <w:spacing w:after="0"/>
              <w:rPr>
                <w:sz w:val="20"/>
                <w:szCs w:val="20"/>
                <w:color w:val="auto"/>
              </w:rPr>
            </w:pPr>
            <w:r>
              <w:rPr>
                <w:rFonts w:ascii="Arial" w:cs="Arial" w:eastAsia="Arial" w:hAnsi="Arial"/>
                <w:sz w:val="18"/>
                <w:szCs w:val="18"/>
                <w:color w:val="333333"/>
              </w:rPr>
              <w:t>2010</w:t>
            </w:r>
          </w:p>
        </w:tc>
        <w:tc>
          <w:tcPr>
            <w:tcW w:w="3160" w:type="dxa"/>
            <w:vAlign w:val="bottom"/>
            <w:gridSpan w:val="3"/>
          </w:tcPr>
          <w:p>
            <w:pPr>
              <w:jc w:val="right"/>
              <w:ind w:right="6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103,772</w:t>
            </w:r>
          </w:p>
        </w:tc>
        <w:tc>
          <w:tcPr>
            <w:tcW w:w="120" w:type="dxa"/>
            <w:vAlign w:val="bottom"/>
          </w:tcPr>
          <w:p>
            <w:pPr>
              <w:spacing w:after="0"/>
              <w:rPr>
                <w:sz w:val="18"/>
                <w:szCs w:val="18"/>
                <w:color w:val="auto"/>
              </w:rPr>
            </w:pPr>
          </w:p>
        </w:tc>
      </w:tr>
      <w:tr>
        <w:trPr>
          <w:trHeight w:val="216"/>
        </w:trPr>
        <w:tc>
          <w:tcPr>
            <w:tcW w:w="1780" w:type="dxa"/>
            <w:vAlign w:val="bottom"/>
            <w:shd w:val="clear" w:color="auto" w:fill="EEEEEE"/>
          </w:tcPr>
          <w:p>
            <w:pPr>
              <w:jc w:val="right"/>
              <w:spacing w:after="0"/>
              <w:rPr>
                <w:sz w:val="20"/>
                <w:szCs w:val="20"/>
                <w:color w:val="auto"/>
              </w:rPr>
            </w:pPr>
            <w:r>
              <w:rPr>
                <w:rFonts w:ascii="Arial" w:cs="Arial" w:eastAsia="Arial" w:hAnsi="Arial"/>
                <w:sz w:val="18"/>
                <w:szCs w:val="18"/>
                <w:color w:val="333333"/>
              </w:rPr>
              <w:t>2011</w:t>
            </w:r>
          </w:p>
        </w:tc>
        <w:tc>
          <w:tcPr>
            <w:tcW w:w="3160" w:type="dxa"/>
            <w:vAlign w:val="bottom"/>
            <w:gridSpan w:val="3"/>
            <w:shd w:val="clear" w:color="auto" w:fill="EEEEEE"/>
          </w:tcPr>
          <w:p>
            <w:pPr>
              <w:jc w:val="right"/>
              <w:ind w:right="650"/>
              <w:spacing w:after="0"/>
              <w:rPr>
                <w:sz w:val="20"/>
                <w:szCs w:val="20"/>
                <w:color w:val="auto"/>
              </w:rPr>
            </w:pPr>
            <w:r>
              <w:rPr>
                <w:rFonts w:ascii="Arial" w:cs="Arial" w:eastAsia="Arial" w:hAnsi="Arial"/>
                <w:sz w:val="18"/>
                <w:szCs w:val="18"/>
                <w:color w:val="auto"/>
              </w:rPr>
              <w:t>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335,593</w:t>
            </w:r>
          </w:p>
        </w:tc>
        <w:tc>
          <w:tcPr>
            <w:tcW w:w="120" w:type="dxa"/>
            <w:vAlign w:val="bottom"/>
            <w:shd w:val="clear" w:color="auto" w:fill="EEEEEE"/>
          </w:tcPr>
          <w:p>
            <w:pPr>
              <w:spacing w:after="0"/>
              <w:rPr>
                <w:sz w:val="18"/>
                <w:szCs w:val="18"/>
                <w:color w:val="auto"/>
              </w:rPr>
            </w:pPr>
          </w:p>
        </w:tc>
      </w:tr>
      <w:tr>
        <w:trPr>
          <w:trHeight w:val="216"/>
        </w:trPr>
        <w:tc>
          <w:tcPr>
            <w:tcW w:w="1780" w:type="dxa"/>
            <w:vAlign w:val="bottom"/>
          </w:tcPr>
          <w:p>
            <w:pPr>
              <w:jc w:val="right"/>
              <w:spacing w:after="0"/>
              <w:rPr>
                <w:sz w:val="20"/>
                <w:szCs w:val="20"/>
                <w:color w:val="auto"/>
              </w:rPr>
            </w:pPr>
            <w:r>
              <w:rPr>
                <w:rFonts w:ascii="Arial" w:cs="Arial" w:eastAsia="Arial" w:hAnsi="Arial"/>
                <w:sz w:val="18"/>
                <w:szCs w:val="18"/>
                <w:color w:val="333333"/>
              </w:rPr>
              <w:t>2012</w:t>
            </w:r>
          </w:p>
        </w:tc>
        <w:tc>
          <w:tcPr>
            <w:tcW w:w="3160" w:type="dxa"/>
            <w:vAlign w:val="bottom"/>
            <w:gridSpan w:val="3"/>
          </w:tcPr>
          <w:p>
            <w:pPr>
              <w:jc w:val="right"/>
              <w:ind w:right="65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603,500</w:t>
            </w:r>
          </w:p>
        </w:tc>
        <w:tc>
          <w:tcPr>
            <w:tcW w:w="120" w:type="dxa"/>
            <w:vAlign w:val="bottom"/>
          </w:tcPr>
          <w:p>
            <w:pPr>
              <w:spacing w:after="0"/>
              <w:rPr>
                <w:sz w:val="18"/>
                <w:szCs w:val="18"/>
                <w:color w:val="auto"/>
              </w:rPr>
            </w:pPr>
          </w:p>
        </w:tc>
      </w:tr>
      <w:tr>
        <w:trPr>
          <w:trHeight w:val="216"/>
        </w:trPr>
        <w:tc>
          <w:tcPr>
            <w:tcW w:w="1780" w:type="dxa"/>
            <w:vAlign w:val="bottom"/>
            <w:shd w:val="clear" w:color="auto" w:fill="EEEEEE"/>
          </w:tcPr>
          <w:p>
            <w:pPr>
              <w:jc w:val="right"/>
              <w:spacing w:after="0"/>
              <w:rPr>
                <w:sz w:val="20"/>
                <w:szCs w:val="20"/>
                <w:color w:val="auto"/>
              </w:rPr>
            </w:pPr>
            <w:r>
              <w:rPr>
                <w:rFonts w:ascii="Arial" w:cs="Arial" w:eastAsia="Arial" w:hAnsi="Arial"/>
                <w:sz w:val="18"/>
                <w:szCs w:val="18"/>
                <w:color w:val="333333"/>
              </w:rPr>
              <w:t>2013</w:t>
            </w:r>
          </w:p>
        </w:tc>
        <w:tc>
          <w:tcPr>
            <w:tcW w:w="3160" w:type="dxa"/>
            <w:vAlign w:val="bottom"/>
            <w:gridSpan w:val="3"/>
            <w:shd w:val="clear" w:color="auto" w:fill="EEEEEE"/>
          </w:tcPr>
          <w:p>
            <w:pPr>
              <w:jc w:val="right"/>
              <w:ind w:right="650"/>
              <w:spacing w:after="0"/>
              <w:rPr>
                <w:sz w:val="20"/>
                <w:szCs w:val="20"/>
                <w:color w:val="auto"/>
              </w:rPr>
            </w:pPr>
            <w:r>
              <w:rPr>
                <w:rFonts w:ascii="Arial" w:cs="Arial" w:eastAsia="Arial" w:hAnsi="Arial"/>
                <w:sz w:val="18"/>
                <w:szCs w:val="18"/>
                <w:color w:val="auto"/>
              </w:rPr>
              <w:t>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778,000</w:t>
            </w:r>
          </w:p>
        </w:tc>
        <w:tc>
          <w:tcPr>
            <w:tcW w:w="120" w:type="dxa"/>
            <w:vAlign w:val="bottom"/>
            <w:shd w:val="clear" w:color="auto" w:fill="EEEEEE"/>
          </w:tcPr>
          <w:p>
            <w:pPr>
              <w:spacing w:after="0"/>
              <w:rPr>
                <w:sz w:val="18"/>
                <w:szCs w:val="18"/>
                <w:color w:val="auto"/>
              </w:rPr>
            </w:pPr>
          </w:p>
        </w:tc>
      </w:tr>
      <w:tr>
        <w:trPr>
          <w:trHeight w:val="230"/>
        </w:trPr>
        <w:tc>
          <w:tcPr>
            <w:tcW w:w="1780" w:type="dxa"/>
            <w:vAlign w:val="bottom"/>
          </w:tcPr>
          <w:p>
            <w:pPr>
              <w:jc w:val="right"/>
              <w:spacing w:after="0"/>
              <w:rPr>
                <w:sz w:val="20"/>
                <w:szCs w:val="20"/>
                <w:color w:val="auto"/>
              </w:rPr>
            </w:pPr>
            <w:r>
              <w:rPr>
                <w:rFonts w:ascii="Arial" w:cs="Arial" w:eastAsia="Arial" w:hAnsi="Arial"/>
                <w:sz w:val="18"/>
                <w:szCs w:val="18"/>
                <w:color w:val="auto"/>
              </w:rPr>
              <w:t>2014</w:t>
            </w:r>
          </w:p>
        </w:tc>
        <w:tc>
          <w:tcPr>
            <w:tcW w:w="3160" w:type="dxa"/>
            <w:vAlign w:val="bottom"/>
            <w:gridSpan w:val="3"/>
          </w:tcPr>
          <w:p>
            <w:pPr>
              <w:jc w:val="right"/>
              <w:ind w:right="65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923,000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Our 2012 securitizations included $58.2 million in contracts that were repurchased in 2012 from securitizations closed in 2006 and 2007. Our 2013 securitizations included $7.4 million in contracts that were repurchased from a securitization closed in 2008. Our 2010 securitization was, in substance, a re-securitization of the receivables from our second securitization of 2008 which allowed us to take advantage of a lower interest rate environment at that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From time to time we have also completed financings of our residual interests in other securitizations that we and our affiliates previously sponsored.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we have one such residual interest financing outstanding.</w:t>
      </w:r>
    </w:p>
    <w:p>
      <w:pPr>
        <w:spacing w:after="0" w:line="211"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Since December 2011, our securitizations have included a pre-funding feature in which a portion of the receivables to be sold to the trust were not delivered until after the initial closing. As a result, our restricted cash balance at December 31, 2014 included $85.3 million from the proceeds of the sale of the asset-backed notes that were held by the trustee pending delivery of the remaining receivables. In January 2015, the requisite additional receivables were delivered to the trust and we received the related restricted cash, most of which was used to repay amounts owed under our warehouse credit facilities.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5" w:name="page36"/>
    <w:bookmarkEnd w:id="35"/>
    <w:p>
      <w:pPr>
        <w:ind w:right="140" w:firstLine="648"/>
        <w:spacing w:after="0" w:line="257" w:lineRule="auto"/>
        <w:rPr>
          <w:sz w:val="20"/>
          <w:szCs w:val="20"/>
          <w:color w:val="auto"/>
        </w:rPr>
      </w:pPr>
      <w:r>
        <w:rPr>
          <w:rFonts w:ascii="Arial" w:cs="Arial" w:eastAsia="Arial" w:hAnsi="Arial"/>
          <w:sz w:val="18"/>
          <w:szCs w:val="18"/>
          <w:color w:val="auto"/>
        </w:rPr>
        <w:t>Generally, prior to a securitization transaction we fund our automobile contract purchases primarily with proceeds from warehouse credit facilities. Our current short-term funding capacity is $200 million, comprising two credit facilities. The first $100 million credit facility was established in December 2010. This facility was renewed in March 2013, extending the revolving period to March 2015, and adding an amortization period through March 2017. Our second $100 million credit facility was established in May 2012. This facility was renewed in August 2014, extending the revolving period to August 2016, and adding an amortization period through August 2017.</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Credit Risk Retained</w:t>
      </w:r>
    </w:p>
    <w:p>
      <w:pPr>
        <w:spacing w:after="0" w:line="22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Whether a sale of automobile contracts in connection with a securitization or warehouse credit facility is treated as a secured financing or as a sale for financial accounting purposes, the related special-purpose subsidiary may be unable to release excess cash to us if the credit performance of the related automobile contracts falls short of pre-determined standards. Such releases represent a material portion of the cash that we use to fund our operations. An unexpected deterioration in the performance of such automobile contracts could therefore have a material adverse effect on both our liquidity and our results of operations, regardless of whether such automobile contracts are treated for financial accounting purposes as having been sold or as having been financed. For estimation of the magnitude of such risk, it may be appropriate to look to the size of our "managed portfolio," which represents both financed and sold automobile contracts as to which such credit risk is retained. Our managed portfolio as of December 31, 2014 was approximately $1,643.9 million, which includes a third party servicing portfolio of $1.3 million on which we earn only servicing fees and have no credit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We believe that our accounting policies related to (a) Allowance for Finance Credit Losses, (b) Amortization of Deferred Originations Costs and Acquisition Fees, (c) Term Securitizations, (d) Finance Receivables and Related Debt Measured at Fair Value (e) Accrual for Contingent Liabilities and (f) Income Taxes are the most critical to understanding and evaluating our reported financial results. Such policies are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For each monthly pool of contracts that we purchase, we begin establishing the allowance in the month of acquisition and increase it over the subsequent 11 months, through a provision for credit losses charged to our consolidated statement of operations, with the goal of establishing an allowance that approximates the next 12 months of expected net losses.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ind w:firstLine="648"/>
        <w:spacing w:after="0" w:line="257" w:lineRule="auto"/>
        <w:rPr>
          <w:sz w:val="20"/>
          <w:szCs w:val="20"/>
          <w:color w:val="auto"/>
        </w:rPr>
      </w:pPr>
      <w:r>
        <w:rPr>
          <w:rFonts w:ascii="Arial" w:cs="Arial" w:eastAsia="Arial" w:hAnsi="Arial"/>
          <w:sz w:val="18"/>
          <w:szCs w:val="18"/>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The historical weighted average seasoning of our total owned portfolio excluding Fireside, is summarized in the table below:</w:t>
      </w:r>
    </w:p>
    <w:p>
      <w:pPr>
        <w:spacing w:after="0" w:line="184"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Age in Months of</w:t>
            </w:r>
          </w:p>
        </w:tc>
      </w:tr>
      <w:tr>
        <w:trPr>
          <w:trHeight w:val="234"/>
        </w:trPr>
        <w:tc>
          <w:tcPr>
            <w:tcW w:w="2960" w:type="dxa"/>
            <w:vAlign w:val="bottom"/>
            <w:gridSpan w:val="2"/>
          </w:tcPr>
          <w:p>
            <w:pPr>
              <w:ind w:left="840"/>
              <w:spacing w:after="0"/>
              <w:rPr>
                <w:sz w:val="20"/>
                <w:szCs w:val="20"/>
                <w:color w:val="auto"/>
              </w:rPr>
            </w:pPr>
            <w:r>
              <w:rPr>
                <w:rFonts w:ascii="Arial" w:cs="Arial" w:eastAsia="Arial" w:hAnsi="Arial"/>
                <w:sz w:val="18"/>
                <w:szCs w:val="18"/>
                <w:b w:val="1"/>
                <w:bCs w:val="1"/>
                <w:color w:val="auto"/>
              </w:rPr>
              <w:t>December 31,</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Owned Portfolio</w:t>
            </w:r>
          </w:p>
        </w:tc>
      </w:tr>
      <w:tr>
        <w:trPr>
          <w:trHeight w:val="210"/>
        </w:trPr>
        <w:tc>
          <w:tcPr>
            <w:tcW w:w="2760" w:type="dxa"/>
            <w:vAlign w:val="bottom"/>
            <w:tcBorders>
              <w:top w:val="single" w:sz="8" w:color="auto"/>
            </w:tcBorders>
            <w:shd w:val="clear" w:color="auto" w:fill="EEEEEE"/>
          </w:tcPr>
          <w:p>
            <w:pPr>
              <w:jc w:val="right"/>
              <w:ind w:right="1070"/>
              <w:spacing w:after="0"/>
              <w:rPr>
                <w:sz w:val="20"/>
                <w:szCs w:val="20"/>
                <w:color w:val="auto"/>
              </w:rPr>
            </w:pPr>
            <w:r>
              <w:rPr>
                <w:rFonts w:ascii="Arial" w:cs="Arial" w:eastAsia="Arial" w:hAnsi="Arial"/>
                <w:sz w:val="18"/>
                <w:szCs w:val="18"/>
                <w:color w:val="333333"/>
              </w:rPr>
              <w:t>2009</w:t>
            </w:r>
          </w:p>
        </w:tc>
        <w:tc>
          <w:tcPr>
            <w:tcW w:w="20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ind w:right="570"/>
              <w:spacing w:after="0"/>
              <w:rPr>
                <w:sz w:val="20"/>
                <w:szCs w:val="20"/>
                <w:color w:val="auto"/>
              </w:rPr>
            </w:pPr>
            <w:r>
              <w:rPr>
                <w:rFonts w:ascii="Arial" w:cs="Arial" w:eastAsia="Arial" w:hAnsi="Arial"/>
                <w:sz w:val="18"/>
                <w:szCs w:val="18"/>
                <w:color w:val="auto"/>
              </w:rPr>
              <w:t>33</w:t>
            </w:r>
          </w:p>
        </w:tc>
      </w:tr>
      <w:tr>
        <w:trPr>
          <w:trHeight w:val="216"/>
        </w:trPr>
        <w:tc>
          <w:tcPr>
            <w:tcW w:w="2760" w:type="dxa"/>
            <w:vAlign w:val="bottom"/>
          </w:tcPr>
          <w:p>
            <w:pPr>
              <w:jc w:val="right"/>
              <w:ind w:right="1070"/>
              <w:spacing w:after="0"/>
              <w:rPr>
                <w:sz w:val="20"/>
                <w:szCs w:val="20"/>
                <w:color w:val="auto"/>
              </w:rPr>
            </w:pPr>
            <w:r>
              <w:rPr>
                <w:rFonts w:ascii="Arial" w:cs="Arial" w:eastAsia="Arial" w:hAnsi="Arial"/>
                <w:sz w:val="18"/>
                <w:szCs w:val="18"/>
                <w:color w:val="333333"/>
              </w:rPr>
              <w:t>2010</w:t>
            </w:r>
          </w:p>
        </w:tc>
        <w:tc>
          <w:tcPr>
            <w:tcW w:w="200" w:type="dxa"/>
            <w:vAlign w:val="bottom"/>
          </w:tcPr>
          <w:p>
            <w:pPr>
              <w:spacing w:after="0"/>
              <w:rPr>
                <w:sz w:val="18"/>
                <w:szCs w:val="18"/>
                <w:color w:val="auto"/>
              </w:rPr>
            </w:pPr>
          </w:p>
        </w:tc>
        <w:tc>
          <w:tcPr>
            <w:tcW w:w="1600" w:type="dxa"/>
            <w:vAlign w:val="bottom"/>
          </w:tcPr>
          <w:p>
            <w:pPr>
              <w:jc w:val="right"/>
              <w:ind w:right="570"/>
              <w:spacing w:after="0"/>
              <w:rPr>
                <w:sz w:val="20"/>
                <w:szCs w:val="20"/>
                <w:color w:val="auto"/>
              </w:rPr>
            </w:pPr>
            <w:r>
              <w:rPr>
                <w:rFonts w:ascii="Arial" w:cs="Arial" w:eastAsia="Arial" w:hAnsi="Arial"/>
                <w:sz w:val="18"/>
                <w:szCs w:val="18"/>
                <w:color w:val="auto"/>
              </w:rPr>
              <w:t>37</w:t>
            </w:r>
          </w:p>
        </w:tc>
      </w:tr>
      <w:tr>
        <w:trPr>
          <w:trHeight w:val="216"/>
        </w:trPr>
        <w:tc>
          <w:tcPr>
            <w:tcW w:w="2760" w:type="dxa"/>
            <w:vAlign w:val="bottom"/>
            <w:shd w:val="clear" w:color="auto" w:fill="EEEEEE"/>
          </w:tcPr>
          <w:p>
            <w:pPr>
              <w:jc w:val="right"/>
              <w:ind w:right="1070"/>
              <w:spacing w:after="0"/>
              <w:rPr>
                <w:sz w:val="20"/>
                <w:szCs w:val="20"/>
                <w:color w:val="auto"/>
              </w:rPr>
            </w:pPr>
            <w:r>
              <w:rPr>
                <w:rFonts w:ascii="Arial" w:cs="Arial" w:eastAsia="Arial" w:hAnsi="Arial"/>
                <w:sz w:val="18"/>
                <w:szCs w:val="18"/>
                <w:color w:val="333333"/>
              </w:rPr>
              <w:t>2011</w:t>
            </w:r>
          </w:p>
        </w:tc>
        <w:tc>
          <w:tcPr>
            <w:tcW w:w="20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auto"/>
              </w:rPr>
              <w:t>27</w:t>
            </w:r>
          </w:p>
        </w:tc>
      </w:tr>
      <w:tr>
        <w:trPr>
          <w:trHeight w:val="216"/>
        </w:trPr>
        <w:tc>
          <w:tcPr>
            <w:tcW w:w="2760" w:type="dxa"/>
            <w:vAlign w:val="bottom"/>
          </w:tcPr>
          <w:p>
            <w:pPr>
              <w:jc w:val="right"/>
              <w:ind w:right="1070"/>
              <w:spacing w:after="0"/>
              <w:rPr>
                <w:sz w:val="20"/>
                <w:szCs w:val="20"/>
                <w:color w:val="auto"/>
              </w:rPr>
            </w:pPr>
            <w:r>
              <w:rPr>
                <w:rFonts w:ascii="Arial" w:cs="Arial" w:eastAsia="Arial" w:hAnsi="Arial"/>
                <w:sz w:val="18"/>
                <w:szCs w:val="18"/>
                <w:color w:val="333333"/>
              </w:rPr>
              <w:t>2012</w:t>
            </w:r>
          </w:p>
        </w:tc>
        <w:tc>
          <w:tcPr>
            <w:tcW w:w="200" w:type="dxa"/>
            <w:vAlign w:val="bottom"/>
          </w:tcPr>
          <w:p>
            <w:pPr>
              <w:spacing w:after="0"/>
              <w:rPr>
                <w:sz w:val="18"/>
                <w:szCs w:val="18"/>
                <w:color w:val="auto"/>
              </w:rPr>
            </w:pPr>
          </w:p>
        </w:tc>
        <w:tc>
          <w:tcPr>
            <w:tcW w:w="1600" w:type="dxa"/>
            <w:vAlign w:val="bottom"/>
          </w:tcPr>
          <w:p>
            <w:pPr>
              <w:jc w:val="right"/>
              <w:ind w:right="570"/>
              <w:spacing w:after="0"/>
              <w:rPr>
                <w:sz w:val="20"/>
                <w:szCs w:val="20"/>
                <w:color w:val="auto"/>
              </w:rPr>
            </w:pPr>
            <w:r>
              <w:rPr>
                <w:rFonts w:ascii="Arial" w:cs="Arial" w:eastAsia="Arial" w:hAnsi="Arial"/>
                <w:sz w:val="18"/>
                <w:szCs w:val="18"/>
                <w:color w:val="auto"/>
              </w:rPr>
              <w:t>18</w:t>
            </w:r>
          </w:p>
        </w:tc>
      </w:tr>
      <w:tr>
        <w:trPr>
          <w:trHeight w:val="216"/>
        </w:trPr>
        <w:tc>
          <w:tcPr>
            <w:tcW w:w="2760" w:type="dxa"/>
            <w:vAlign w:val="bottom"/>
            <w:shd w:val="clear" w:color="auto" w:fill="EEEEEE"/>
          </w:tcPr>
          <w:p>
            <w:pPr>
              <w:jc w:val="right"/>
              <w:ind w:right="1070"/>
              <w:spacing w:after="0"/>
              <w:rPr>
                <w:sz w:val="20"/>
                <w:szCs w:val="20"/>
                <w:color w:val="auto"/>
              </w:rPr>
            </w:pPr>
            <w:r>
              <w:rPr>
                <w:rFonts w:ascii="Arial" w:cs="Arial" w:eastAsia="Arial" w:hAnsi="Arial"/>
                <w:sz w:val="18"/>
                <w:szCs w:val="18"/>
                <w:color w:val="333333"/>
              </w:rPr>
              <w:t>2013</w:t>
            </w:r>
          </w:p>
        </w:tc>
        <w:tc>
          <w:tcPr>
            <w:tcW w:w="20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auto"/>
              </w:rPr>
              <w:t>14</w:t>
            </w:r>
          </w:p>
        </w:tc>
      </w:tr>
      <w:tr>
        <w:trPr>
          <w:trHeight w:val="230"/>
        </w:trPr>
        <w:tc>
          <w:tcPr>
            <w:tcW w:w="2760" w:type="dxa"/>
            <w:vAlign w:val="bottom"/>
          </w:tcPr>
          <w:p>
            <w:pPr>
              <w:jc w:val="right"/>
              <w:ind w:right="1070"/>
              <w:spacing w:after="0"/>
              <w:rPr>
                <w:sz w:val="20"/>
                <w:szCs w:val="20"/>
                <w:color w:val="auto"/>
              </w:rPr>
            </w:pPr>
            <w:r>
              <w:rPr>
                <w:rFonts w:ascii="Arial" w:cs="Arial" w:eastAsia="Arial" w:hAnsi="Arial"/>
                <w:sz w:val="18"/>
                <w:szCs w:val="18"/>
                <w:color w:val="333333"/>
              </w:rPr>
              <w:t>2014</w:t>
            </w:r>
          </w:p>
        </w:tc>
        <w:tc>
          <w:tcPr>
            <w:tcW w:w="200" w:type="dxa"/>
            <w:vAlign w:val="bottom"/>
          </w:tcPr>
          <w:p>
            <w:pPr>
              <w:spacing w:after="0"/>
              <w:rPr>
                <w:sz w:val="20"/>
                <w:szCs w:val="20"/>
                <w:color w:val="auto"/>
              </w:rPr>
            </w:pPr>
          </w:p>
        </w:tc>
        <w:tc>
          <w:tcPr>
            <w:tcW w:w="1600" w:type="dxa"/>
            <w:vAlign w:val="bottom"/>
          </w:tcPr>
          <w:p>
            <w:pPr>
              <w:jc w:val="right"/>
              <w:ind w:right="570"/>
              <w:spacing w:after="0"/>
              <w:rPr>
                <w:sz w:val="20"/>
                <w:szCs w:val="20"/>
                <w:color w:val="auto"/>
              </w:rPr>
            </w:pPr>
            <w:r>
              <w:rPr>
                <w:rFonts w:ascii="Arial" w:cs="Arial" w:eastAsia="Arial" w:hAnsi="Arial"/>
                <w:sz w:val="18"/>
                <w:szCs w:val="18"/>
                <w:color w:val="auto"/>
              </w:rPr>
              <w:t>14</w:t>
            </w:r>
          </w:p>
        </w:tc>
      </w:tr>
    </w:tbl>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credit performance of our portfolio is also significantly influenced by our underwriting guidelines and credit criteria we use when evaluating contracts for purchase from dealers. We regularly evaluate our portfolio credit performance and modify our purchase criteria to maximize the credit performance of our portfolio, while maintaining competitive programs and levels of service for our dealers.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Upon purchase of a contract from a dealer, we generally either charge or advance the dealer an acquisition fee. In addition, we incur certain direct costs associated with originations of our contracts. All such acquisition fees and direct costs are applied to the carrying value of finance receivables and are accreted into earnings as an adjustment to the yield over the estimated life of the contract using the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 Through 2008, we generally purchased external credit enhancement for most of our term securitizations in the form of a financial guaranty insurance policy, guaranteeing timely payment of interest and ultimate payment of principal on the senior asset-backed securities, from an insurance company. However, in our 16 most recent securitizations since 2010, we have not purchased financial guaranty insurance policies and do not expect to do so in the near future.</w:t>
      </w:r>
    </w:p>
    <w:p>
      <w:pPr>
        <w:spacing w:after="0" w:line="178"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w:t>
      </w:r>
    </w:p>
    <w:p>
      <w:pPr>
        <w:ind w:right="60" w:firstLine="8"/>
        <w:spacing w:after="0" w:line="251" w:lineRule="auto"/>
        <w:tabs>
          <w:tab w:leader="none" w:pos="3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ind w:right="120" w:firstLine="648"/>
        <w:spacing w:after="0" w:line="257" w:lineRule="auto"/>
        <w:rPr>
          <w:sz w:val="20"/>
          <w:szCs w:val="20"/>
          <w:color w:val="auto"/>
        </w:rPr>
      </w:pPr>
      <w:r>
        <w:rPr>
          <w:rFonts w:ascii="Arial" w:cs="Arial" w:eastAsia="Arial" w:hAnsi="Arial"/>
          <w:sz w:val="18"/>
          <w:szCs w:val="18"/>
          <w:color w:val="auto"/>
        </w:rPr>
        <w:t>Our September 2008 securitization and the subsequent re-securitization of the remaining receivables from such transaction in September 2010 were each in substance sales of the underlying receivables, and have been treated as sales for financial accounting purposes. They differ from those treated as secured financings in that the trust to which our special-purpose subsidiaries sold the automobile contracts met the definition of a "qualified special-purpose entity" under Statement of Financial Accounting Standards No. 140 (ASC 860 10 65-2). As a result, assets and liabilities of those trusts are not consolidated into our consolidated balance sheet.</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Historically, our warehouse credit facility structures were similar to the above, except that (i) our special-purpose subsidiaries that purchased the automobile contracts pledged the automobile contracts to secure promissory notes that they issued, (ii) no increase in the required amount of internal credit enhancement was contemplated, and (iii) we did not purchase financial guaranty insurance. Our current maximum revolving warehouse financing capacity is $200 million.</w:t>
      </w:r>
    </w:p>
    <w:p>
      <w:pPr>
        <w:spacing w:after="0" w:line="18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Upon each transfer of automobile contracts in a transaction structured as a secured financing for financial accounting purposes, whether a term securitization or a warehouse financing, we retain on our consolidated balance sheet the related automobile contracts as assets and record the asset-backed notes or loans issued in the transaction as indebtedness.</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Under the September 2008 and September 2010 securitizations, and other term securitizations completed prior to July 2003 that were structured as sales for financial accounting purposes, we removed from our consolidated balance sheet the automobile contracts sold and added to our consolidated balance sheet (i) the cash received, if any, and (ii) the estimated fair value of the ownership interest that we retained in the automobile contracts sold in the transaction. That retained or residual interest consisted of (a) the cash held in the spread account, if any, (b) overcollateralization, if any, (c) asset-backed securities retained, if any, and (d) receivables from the trust, which include the net interest receivables. Net interest receivables represent the estimated discounted cash flows to be received from the trust in the future, net of principal and interest payable with respect to the asset-backed notes, the premium paid to the insurance company, if any, and certain other expenses. The excess of the cash received and the assets we retained over the carrying value of the automobile contracts sold, less transaction costs, equaled the net gain on sale of automobile contracts we recorded.</w:t>
      </w:r>
    </w:p>
    <w:p>
      <w:pPr>
        <w:spacing w:after="0" w:line="166"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16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right="140" w:firstLine="648"/>
        <w:spacing w:after="0" w:line="297"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5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Since the third quarter of 2003, we have conducted 40 term securitizations. Of these 40, 34 were periodic (generally quarterly) securitizations of automobile contracts that we purchased from automobile dealers under our regular programs. In addition, in March 2004 and November 2005, we completed securitizations of our retained interests in other securitizations that we and our affiliates previously sponsored. The debt from the March 2004 transaction was repaid in August 2005, and the debt from the November 2005 transaction was repaid in May 2007. Also, in June 2004, we completed a securitization of automobile contracts purchased under our TFC program and acquired in a bulk purchase. Further, in December 2005 and May 2007 we completed securitizations that included automobile contracts purchased under the TFC programs, automobile contracts purchased under the CPS programs and automobile contracts we repurchased upon termination of prior securitizations. Since July 2003 all such securitizations have been structured as secured financings, except our September 2008 and September 2010 securitizations that were in substance sales of the underlying receivables, and were treated as sales for financial accounting purposes.</w:t>
      </w:r>
    </w:p>
    <w:p>
      <w:pPr>
        <w:spacing w:after="0" w:line="18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Since December 2011, our securitizations have included a pre-funding feature in which a portion of the receivables to be sold to the trust were not delivered until after the initial closing. As a result, our restricted cash balance at December 31, 2014 included $85.3 million from the proceeds of the sale of the asset-backed notes that were held by the trustee pending delivery of the remaining receivables. In January 2015, the requisite additional receivables were delivered to the trust and we received the related restricted cash, most of which was used to repay amounts owed under our warehouse credit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and Related Debt Measured at Fair Value</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September 2011 we purchased finance receivables from Fireside Bank. These receivables are pledged as collateral for debt that was structured specifically for the acquisition of this portfolio.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There are limited observable inputs available to us for measurement of such receivables, or for the related debt. We use our own assumptions about the factors that we believe market participants would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recorded a liability as of December 31, 2014, which represents our best estimate of probable incurred losses for legal contingencies.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2014, and in excess of the liability we have recorded, is from $0 to $1.5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ind w:right="100" w:firstLine="648"/>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As a result of the unprecedented adverse changes in the market for securitizations, the recession and the resulting high levels of unemployment that occurred in 2008 and 2009, we incurred substantial operating losses from 2009 through 2011 which led us to establish a valuation allowance against a substantial portion of our deferred tax assets. However, since the fourth quarter of 2011, we have reported 13 consecutive quarters of increasing profitability. Furthermore, we have demonstrated an ability to increase our volumes of contract purchases, grow our managed portfolio and obtain cost effective short- and long-term financing for our finance receivables.</w:t>
      </w:r>
    </w:p>
    <w:p>
      <w:pPr>
        <w:spacing w:after="0" w:line="16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a result of these and other factors, we determined at December 31, 2012 that, based on the weight of the available objective evidence, it was more likely than not that we would generate sufficient future taxable income to utilize our net deferred tax assets. Accordingly, we reversed the related valuation allowance of $62.8 million in the fourth quarter of 2012.</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net deferred tax asset of $42.8 million, as of December 31, 2014, consists of approximately $32.7 million of net U.S. federal deferred tax assets and $10.1 million of net state deferred tax assets. The major components of the deferred tax asset are $18.6 million in net operating loss carryforwards and built in losses and $24.2 million in net deductions which have not yet been taken on a tax return.</w:t>
      </w:r>
    </w:p>
    <w:p>
      <w:pPr>
        <w:spacing w:after="0" w:line="18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As of December 31, 2014, we had net operating loss carryforwards for federal and state income tax purposes of $3.5 million and $108.5 million, respectively. The federal net operating losses begin to expire in 2022. The state net operating losses begin to expire in 2015.</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 Factors discussed under "Risk Factors," and in particular under the subheading "Risk Factors -- Forward-Looking Statements" may affect whether such projections prove to be correct.</w:t>
      </w:r>
    </w:p>
    <w:p>
      <w:pPr>
        <w:spacing w:after="0" w:line="178"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We recognize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depend upon the availability of warehouse credit facilities and access to long-term financing through the issuance of asset-backed securities collateralized by our automobile contracts. Since 1994, we have completed 65 term securitizations of approximately $9.4 billion in contracts. From the fourth quarter of 2007 through the end of 2009, we observed unprecedented adverse changes in the market for securitized pools of automobile contracts. 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These adverse changes caused us to conserve liquidity by significantly reducing our purchases of automobile contracts. However, since September 2009 we have established new funding facilities and gradually increased our contract purchases and the frequency and amount of our term securitizations.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2014 we were in compliance with all such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2014 with the year ended December 31, 2013</w:t>
      </w:r>
    </w:p>
    <w:p>
      <w:pPr>
        <w:spacing w:after="0" w:line="22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In April 2013, we repurchased the outstanding Class D notes from our first 2008 securitization for a cash payment and a new note. We</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 or 4.3% of our total revenues of $255.8 million for year ended December 31, 2013. The discussion below excludes the gain of $10.9 million for 2013 for comparative purposes.</w:t>
      </w:r>
    </w:p>
    <w:p>
      <w:pPr>
        <w:spacing w:after="0" w:line="15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During the year ended December 31, 2014, our revenues were $300.3 million, an increase of $55.4 million, or 22.6%, from the prior year revenue of $244.8 million. The primary reason for the increase in revenues is an increase in interest income. Interest income for the year ended December 31, 2014 increased $55.4 million, or 24.0%, to $286.7 million from $231.3 million in the prior year. The primary reason for the increase in interest income is the increase in finance receivables held by consolidated subsidiaries, which increased from $1,222.5 million at December 31, 2013 to $1,642.2 million at December 31, 2014. The table below shows the average balances of our portfolio held by consolidated subsidiaries for the year ended December 31, 2014 and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gridSpan w:val="6"/>
          </w:tcPr>
          <w:p>
            <w:pPr>
              <w:ind w:left="140"/>
              <w:spacing w:after="0"/>
              <w:rPr>
                <w:sz w:val="20"/>
                <w:szCs w:val="20"/>
                <w:color w:val="auto"/>
              </w:rPr>
            </w:pPr>
            <w:r>
              <w:rPr>
                <w:rFonts w:ascii="Arial" w:cs="Arial" w:eastAsia="Arial" w:hAnsi="Arial"/>
                <w:sz w:val="18"/>
                <w:szCs w:val="18"/>
                <w:b w:val="1"/>
                <w:bCs w:val="1"/>
                <w:color w:val="auto"/>
              </w:rPr>
              <w:t>Average Balances for the Year Ended</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8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2"/>
              </w:rPr>
              <w:t>December 31, 2014</w:t>
            </w: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vMerge w:val="restart"/>
          </w:tcPr>
          <w:p>
            <w:pPr>
              <w:jc w:val="center"/>
              <w:ind w:left="2150"/>
              <w:spacing w:after="0"/>
              <w:rPr>
                <w:sz w:val="20"/>
                <w:szCs w:val="20"/>
                <w:color w:val="auto"/>
              </w:rPr>
            </w:pPr>
            <w:r>
              <w:rPr>
                <w:rFonts w:ascii="Arial" w:cs="Arial" w:eastAsia="Arial" w:hAnsi="Arial"/>
                <w:sz w:val="18"/>
                <w:szCs w:val="18"/>
                <w:b w:val="1"/>
                <w:bCs w:val="1"/>
                <w:color w:val="auto"/>
                <w:w w:val="88"/>
              </w:rPr>
              <w:t>Finance Receivables Owned by</w:t>
            </w:r>
          </w:p>
        </w:tc>
        <w:tc>
          <w:tcPr>
            <w:tcW w:w="24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0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4"/>
          </w:tcPr>
          <w:p>
            <w:pPr>
              <w:jc w:val="right"/>
              <w:spacing w:after="0" w:line="191" w:lineRule="exact"/>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Consolidated Subsidiaries</w:t>
            </w: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CPS Originated Receivables</w:t>
            </w:r>
          </w:p>
        </w:tc>
        <w:tc>
          <w:tcPr>
            <w:tcW w:w="2680" w:type="dxa"/>
            <w:vAlign w:val="bottom"/>
            <w:gridSpan w:val="2"/>
            <w:shd w:val="clear" w:color="auto" w:fill="EEEEEE"/>
          </w:tcPr>
          <w:p>
            <w:pPr>
              <w:jc w:val="right"/>
              <w:ind w:right="37"/>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1,414.3</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3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1,044.7</w:t>
            </w:r>
          </w:p>
        </w:tc>
        <w:tc>
          <w:tcPr>
            <w:tcW w:w="0" w:type="dxa"/>
            <w:vAlign w:val="bottom"/>
          </w:tcPr>
          <w:p>
            <w:pPr>
              <w:spacing w:after="0"/>
              <w:rPr>
                <w:sz w:val="1"/>
                <w:szCs w:val="1"/>
                <w:color w:val="auto"/>
              </w:rPr>
            </w:pPr>
          </w:p>
        </w:tc>
      </w:tr>
      <w:tr>
        <w:trPr>
          <w:trHeight w:val="230"/>
        </w:trPr>
        <w:tc>
          <w:tcPr>
            <w:tcW w:w="5300" w:type="dxa"/>
            <w:vAlign w:val="bottom"/>
          </w:tcPr>
          <w:p>
            <w:pPr>
              <w:ind w:left="200"/>
              <w:spacing w:after="0"/>
              <w:rPr>
                <w:sz w:val="20"/>
                <w:szCs w:val="20"/>
                <w:color w:val="auto"/>
              </w:rPr>
            </w:pPr>
            <w:r>
              <w:rPr>
                <w:rFonts w:ascii="Arial" w:cs="Arial" w:eastAsia="Arial" w:hAnsi="Arial"/>
                <w:sz w:val="18"/>
                <w:szCs w:val="18"/>
                <w:color w:val="auto"/>
              </w:rPr>
              <w:t>Fireside</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53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48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1,420.2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400" w:type="dxa"/>
            <w:vAlign w:val="bottom"/>
            <w:tcBorders>
              <w:top w:val="single" w:sz="8" w:color="auto"/>
              <w:bottom w:val="single" w:sz="8" w:color="auto"/>
            </w:tcBorders>
            <w:shd w:val="clear" w:color="auto" w:fill="EEEEEE"/>
          </w:tcPr>
          <w:p>
            <w:pPr>
              <w:jc w:val="right"/>
              <w:ind w:right="23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1890"/>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41" w:name="page42"/>
    <w:bookmarkEnd w:id="41"/>
    <w:p>
      <w:pPr>
        <w:jc w:val="both"/>
        <w:ind w:right="20" w:firstLine="648"/>
        <w:spacing w:after="0" w:line="312" w:lineRule="auto"/>
        <w:rPr>
          <w:sz w:val="20"/>
          <w:szCs w:val="20"/>
          <w:color w:val="auto"/>
        </w:rPr>
      </w:pPr>
      <w:r>
        <w:rPr>
          <w:rFonts w:ascii="Arial" w:cs="Arial" w:eastAsia="Arial" w:hAnsi="Arial"/>
          <w:sz w:val="16"/>
          <w:szCs w:val="16"/>
          <w:color w:val="auto"/>
        </w:rPr>
        <w:t>Servicing fees totaling $1.4 in the year ended December 31, 2014 decreased $1.7 million, or 55.5%, from $3.1 million in the prior year. We earn base servicing fees on three portfolios that are decreasing in size as we receive customer payments and, consequently, base servicing fees are decreasing also. As of December 31, 2014 and 2013, our managed portfolio owned by consolidated vs. non-consolidated subsidiaries and other third parties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0"/>
              </w:rPr>
              <w:t>December 31, 2014</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88"/>
              </w:rPr>
              <w:t>December 31, 2013</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90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Total Managed Portfolio</w:t>
            </w: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CPS Originated Receivables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1,640.5</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99.8%</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1,207.7</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Fireside</w:t>
            </w: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w:t>
            </w:r>
          </w:p>
        </w:tc>
        <w:tc>
          <w:tcPr>
            <w:tcW w:w="5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14.8</w:t>
            </w:r>
          </w:p>
        </w:tc>
        <w:tc>
          <w:tcPr>
            <w:tcW w:w="5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w:t>
            </w:r>
          </w:p>
        </w:tc>
        <w:tc>
          <w:tcPr>
            <w:tcW w:w="5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4.9</w:t>
            </w:r>
          </w:p>
        </w:tc>
        <w:tc>
          <w:tcPr>
            <w:tcW w:w="56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1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1,643.9</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1,231.4</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At December 31, 2014, we were generating income and fees on a managed portfolio with an outstanding principal balance of $1,643.9 million (this amount includes $390,000 of automobile contracts on which we earn servicing fees and own a residual interest and also includes another $1.3 million of automobile contracts on which we earn base and incentive servicing fees), compared to a managed portfolio with an outstanding principal balance of $1,231.4 million as of December 31, 2013. At December 31, 2014 and 2013,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0"/>
              </w:rPr>
              <w:t>December 31, 2014</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88"/>
              </w:rPr>
              <w:t>December 31, 2013</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900" w:type="dxa"/>
            <w:vAlign w:val="bottom"/>
            <w:tcBorders>
              <w:bottom w:val="single" w:sz="8" w:color="EEEEEE"/>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EEEEEE"/>
            </w:tcBorders>
          </w:tcPr>
          <w:p>
            <w:pPr>
              <w:spacing w:after="0"/>
              <w:rPr>
                <w:sz w:val="24"/>
                <w:szCs w:val="24"/>
                <w:color w:val="auto"/>
              </w:rPr>
            </w:pPr>
          </w:p>
        </w:tc>
      </w:tr>
      <w:tr>
        <w:trPr>
          <w:trHeight w:val="210"/>
        </w:trPr>
        <w:tc>
          <w:tcPr>
            <w:tcW w:w="3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Originating Entity</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720" w:type="dxa"/>
            <w:vAlign w:val="bottom"/>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CPS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1,640.9</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99.8%</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1,211.8</w:t>
            </w: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Fireside</w:t>
            </w: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w:t>
            </w:r>
          </w:p>
        </w:tc>
        <w:tc>
          <w:tcPr>
            <w:tcW w:w="5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14.8</w:t>
            </w: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Third Party Portfolio</w:t>
            </w:r>
          </w:p>
        </w:tc>
        <w:tc>
          <w:tcPr>
            <w:tcW w:w="220" w:type="dxa"/>
            <w:vAlign w:val="bottom"/>
          </w:tcPr>
          <w:p>
            <w:pPr>
              <w:spacing w:after="0"/>
              <w:rPr>
                <w:sz w:val="19"/>
                <w:szCs w:val="19"/>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1,643.9</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1,231.4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255"/>
        <w:spacing w:after="0"/>
        <w:tabs>
          <w:tab w:leader="none" w:pos="3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360" w:hanging="255"/>
        <w:spacing w:after="0"/>
        <w:tabs>
          <w:tab w:leader="none" w:pos="3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Other income increased by $1.7 million, or 16.7%, to $12.1 million in the year ended December 31, 2014 from $10.4 million during the prior year. The increase consists of a net increase of $150,000 in the fair value of the receivables and debt associated with the Fireside portfolio acquisition, an increase of $971,000 in fees associated with direct mail and other related products and services that we offer to our dealers, an increase of $303,000 in sales tax refunds and an increase of $335,000 in payments from third-party payment processors.</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provision for credit losses, interest expense, employee costs and general and administrative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ind w:right="140"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During the year ended December 31, 2013, we recognized $7.8 million in contingent liability expenses to either record or increase the amounts we believe we may incur related to various pending litigation. The amount was allocated in part to a long running case we refer to as the Stanwich litigation, and also to more recent matters including two California class action suits where we are the defendant, and a governmental inquiry, in which the United States Federal Trade Commission (“FTC”) has informally proposed that the we refrain from certain allegedly unfair trade practices, and make restitutionary payments into a consumer relief fund. The discussion below omits the $7.8 million contingent liability expense from the year ended December 31, 2013 for comparative purposes.</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Total operating expenses were $248.0 million for the year ended December 31, 2014, compared to $210.8 million for the prior year, an increase of $37.3 million, or 17.7%. The increase is primarily due to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Employee costs increased by $7.2 million or 16.7%, to $50.1 million during the year ended December 31, 2014, representing 20.2% of total operating expenses, from $43.0 million for the prior year, or 20.4% of total operating expenses. Since 2010, we have added employees in our Originations and Marketing departments to accommodate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years ended, December 31, 2014 and 2013:</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58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944.9</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764.1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59,276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58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1,643.9</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1,231.4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124,074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30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EEEEEE"/>
          </w:tcPr>
          <w:p>
            <w:pPr>
              <w:spacing w:after="0"/>
              <w:rPr>
                <w:sz w:val="19"/>
                <w:szCs w:val="19"/>
                <w:color w:val="auto"/>
              </w:rPr>
            </w:pPr>
          </w:p>
        </w:tc>
        <w:tc>
          <w:tcPr>
            <w:tcW w:w="80" w:type="dxa"/>
            <w:vAlign w:val="bottom"/>
            <w:tcBorders>
              <w:bottom w:val="single" w:sz="8" w:color="auto"/>
            </w:tcBorders>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$19.3 million, an increase of $2.9 million, or 17.8%, compared to the previous year and represented 7.8% of total operating expenses.</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Interest expense for the year ended December 31, 2014 decreased by $7.8 million to $50.4 million, or 13.4%, compared to $58.2 million in the previous year.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ind w:right="80" w:firstLine="648"/>
        <w:spacing w:after="0" w:line="277" w:lineRule="auto"/>
        <w:rPr>
          <w:sz w:val="20"/>
          <w:szCs w:val="20"/>
          <w:color w:val="auto"/>
        </w:rPr>
      </w:pPr>
      <w:r>
        <w:rPr>
          <w:rFonts w:ascii="Arial" w:cs="Arial" w:eastAsia="Arial" w:hAnsi="Arial"/>
          <w:sz w:val="18"/>
          <w:szCs w:val="18"/>
          <w:color w:val="auto"/>
        </w:rPr>
        <w:t>Interest expense on the Fireside portfolio credit facility decreased by $3.1 million compared to the prior year as the Fireside portfolio and the related debt have paid down to significantly lower levels over the last year.</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Interest on securitization trust debt increased by $3.8 million, or 10.9%, for the year ended December 31, 2014 compared to the prior year. Although the average balance of securitization trust debt increased 37.9% to $1,298.0 million for the year ended December 31, 2014 from $941.6 million for the year ended December 31, 2013, the blended interest rates on new term securitizations since 2013 have been significantly lower than in previous years. As a result, during 2014, portions of our securitization trust debt that were outstanding at December 31, 2013 at higher blended interest rates were repaid as we added new securitization trust debt at significantly lower blended interest rates.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Interest expense on senior secured debt and subordinated renewable notes decreased by $7.4 million, or 65.6%. This was due primarily to the repayment in full of $39.2 million in senior secured debt in the first quarter of 2014. In addition, we reduced the balance of our outstanding subordinated renewable notes by $3.9 million from $19.1 million at December 31, 2013 to $15.2 million at December 31, 2014. The reduction in interest expense was also a result of our decreasing the average interest rate on our subordinated renewable notes from 14.5% for the year ended December 31, 2013 to 12.9% for the year ended December 31, 2014.</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Interest expense on residual interest financing decreased $1.3 million in the year ended December 31, 2014 compared to the prior year. The decrease is due to the repayments on that facility of $6.8 million during the year.</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Interest expense on warehouse lines of credit increased by $214,000, or 4.3% for the year ended December 31, 2014 compared to the prior year. Although we increased our contract purchases by $180.9 million, or 23.7%, to $944.9 million for the year ended December 31, 2014 compared to the prior year, we attempt to minimize the use of our warehouse credit facilities and rely more on unrestricted cash balances to fund our contract purchases prior to securitization.</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2014 and 2013: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Interest</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2220" w:type="dxa"/>
            <w:vAlign w:val="bottom"/>
            <w:tcBorders>
              <w:top w:val="single" w:sz="8" w:color="EEEEEE"/>
            </w:tcBorders>
            <w:gridSpan w:val="3"/>
            <w:shd w:val="clear" w:color="auto" w:fill="EEEEEE"/>
          </w:tcPr>
          <w:p>
            <w:pPr>
              <w:jc w:val="center"/>
              <w:ind w:right="420"/>
              <w:spacing w:after="0" w:line="170" w:lineRule="exact"/>
              <w:rPr>
                <w:sz w:val="20"/>
                <w:szCs w:val="20"/>
                <w:color w:val="auto"/>
              </w:rPr>
            </w:pPr>
            <w:r>
              <w:rPr>
                <w:rFonts w:ascii="Arial" w:cs="Arial" w:eastAsia="Arial" w:hAnsi="Arial"/>
                <w:sz w:val="18"/>
                <w:szCs w:val="18"/>
                <w:b w:val="1"/>
                <w:bCs w:val="1"/>
                <w:color w:val="auto"/>
                <w:w w:val="89"/>
              </w:rPr>
              <w:t>Interest Earning Assets</w:t>
            </w:r>
          </w:p>
        </w:tc>
        <w:tc>
          <w:tcPr>
            <w:tcW w:w="16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6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80" w:type="dxa"/>
            <w:vAlign w:val="bottom"/>
            <w:tcBorders>
              <w:top w:val="single" w:sz="8" w:color="auto"/>
            </w:tcBorders>
            <w:shd w:val="clear" w:color="auto" w:fill="EEEEEE"/>
          </w:tcPr>
          <w:p>
            <w:pPr>
              <w:spacing w:after="0"/>
              <w:rPr>
                <w:sz w:val="14"/>
                <w:szCs w:val="14"/>
                <w:color w:val="auto"/>
              </w:rPr>
            </w:pPr>
          </w:p>
        </w:tc>
        <w:tc>
          <w:tcPr>
            <w:tcW w:w="360" w:type="dxa"/>
            <w:vAlign w:val="bottom"/>
            <w:tcBorders>
              <w:top w:val="single" w:sz="8" w:color="EEEEEE"/>
            </w:tcBorders>
            <w:shd w:val="clear" w:color="auto" w:fill="EEEEEE"/>
          </w:tcPr>
          <w:p>
            <w:pPr>
              <w:spacing w:after="0"/>
              <w:rPr>
                <w:sz w:val="14"/>
                <w:szCs w:val="14"/>
                <w:color w:val="auto"/>
              </w:rPr>
            </w:pPr>
          </w:p>
        </w:tc>
        <w:tc>
          <w:tcPr>
            <w:tcW w:w="11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1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1,383,193</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285,169</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1,015,404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225,268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5"/>
              </w:rPr>
              <w:t>Finance receivables measured at</w:t>
            </w: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5,919</w:t>
            </w:r>
          </w:p>
        </w:tc>
        <w:tc>
          <w:tcPr>
            <w:tcW w:w="34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1,565</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31,294</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6,062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8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28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1,389,112</w:t>
            </w:r>
          </w:p>
        </w:tc>
        <w:tc>
          <w:tcPr>
            <w:tcW w:w="340" w:type="dxa"/>
            <w:vAlign w:val="bottom"/>
            <w:tcBorders>
              <w:bottom w:val="single" w:sz="8" w:color="EEEEEE"/>
            </w:tcBorders>
            <w:vMerge w:val="continue"/>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340" w:type="dxa"/>
            <w:vAlign w:val="bottom"/>
            <w:tcBorders>
              <w:bottom w:val="single" w:sz="8" w:color="EEEEEE"/>
            </w:tcBorders>
            <w:gridSpan w:val="2"/>
          </w:tcPr>
          <w:p>
            <w:pPr>
              <w:jc w:val="right"/>
              <w:ind w:right="360"/>
              <w:spacing w:after="0"/>
              <w:rPr>
                <w:sz w:val="20"/>
                <w:szCs w:val="20"/>
                <w:color w:val="auto"/>
              </w:rPr>
            </w:pPr>
            <w:r>
              <w:rPr>
                <w:rFonts w:ascii="Arial" w:cs="Arial" w:eastAsia="Arial" w:hAnsi="Arial"/>
                <w:sz w:val="18"/>
                <w:szCs w:val="18"/>
                <w:color w:val="auto"/>
              </w:rPr>
              <w:t>286,734</w:t>
            </w:r>
          </w:p>
        </w:tc>
        <w:tc>
          <w:tcPr>
            <w:tcW w:w="14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1,046,698</w:t>
            </w:r>
          </w:p>
        </w:tc>
        <w:tc>
          <w:tcPr>
            <w:tcW w:w="320" w:type="dxa"/>
            <w:vAlign w:val="bottom"/>
            <w:tcBorders>
              <w:bottom w:val="single" w:sz="8" w:color="EEEEEE"/>
            </w:tcBorders>
            <w:vMerge w:val="continue"/>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2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231,330</w:t>
            </w:r>
          </w:p>
        </w:tc>
        <w:tc>
          <w:tcPr>
            <w:tcW w:w="12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gridSpan w:val="5"/>
          </w:tcPr>
          <w:p>
            <w:pPr>
              <w:jc w:val="center"/>
              <w:ind w:right="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52,596</w:t>
            </w: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5,217</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40,285</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5,003</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14,225</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1,989</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24,107</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3,330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rPr>
              <w:t>Debt secured by receivables</w:t>
            </w: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measured at fair value</w:t>
            </w:r>
          </w:p>
        </w:tc>
        <w:tc>
          <w:tcPr>
            <w:tcW w:w="1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5,561</w:t>
            </w:r>
          </w:p>
        </w:tc>
        <w:tc>
          <w:tcPr>
            <w:tcW w:w="18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772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27,506</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3,877</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1,298,033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38,558</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941,591</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34,744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w w:val="93"/>
              </w:rPr>
              <w:t>Senior secured debt, related party</w:t>
            </w:r>
          </w:p>
        </w:tc>
        <w:tc>
          <w:tcPr>
            <w:tcW w:w="1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9,471</w:t>
            </w: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1,651</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41,906</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8,064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17,074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2,208</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21,763</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3,161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60" w:type="dxa"/>
            <w:vAlign w:val="bottom"/>
            <w:vMerge w:val="restart"/>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8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vMerge w:val="continue"/>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1,396,960</w:t>
            </w:r>
          </w:p>
        </w:tc>
        <w:tc>
          <w:tcPr>
            <w:tcW w:w="3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1340" w:type="dxa"/>
            <w:vAlign w:val="bottom"/>
            <w:tcBorders>
              <w:bottom w:val="single" w:sz="8" w:color="EEEEEE"/>
            </w:tcBorders>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50,395</w:t>
            </w:r>
          </w:p>
        </w:tc>
        <w:tc>
          <w:tcPr>
            <w:tcW w:w="1480" w:type="dxa"/>
            <w:vAlign w:val="bottom"/>
            <w:tcBorders>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1,097,158</w:t>
            </w:r>
          </w:p>
        </w:tc>
        <w:tc>
          <w:tcPr>
            <w:tcW w:w="320" w:type="dxa"/>
            <w:vAlign w:val="bottom"/>
            <w:tcBorders>
              <w:bottom w:val="single" w:sz="8" w:color="EEEEEE"/>
            </w:tcBorders>
            <w:vMerge w:val="continue"/>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1280" w:type="dxa"/>
            <w:vAlign w:val="bottom"/>
            <w:tcBorders>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58,179</w:t>
            </w:r>
          </w:p>
        </w:tc>
        <w:tc>
          <w:tcPr>
            <w:tcW w:w="1240" w:type="dxa"/>
            <w:vAlign w:val="bottom"/>
            <w:tcBorders>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116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6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06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236,339</w:t>
            </w:r>
          </w:p>
        </w:tc>
        <w:tc>
          <w:tcPr>
            <w:tcW w:w="36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173,151</w:t>
            </w:r>
          </w:p>
        </w:tc>
        <w:tc>
          <w:tcPr>
            <w:tcW w:w="3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gridSpan w:val="5"/>
            <w:vMerge w:val="restart"/>
          </w:tcPr>
          <w:p>
            <w:pPr>
              <w:spacing w:after="0"/>
              <w:rPr>
                <w:sz w:val="20"/>
                <w:szCs w:val="20"/>
                <w:color w:val="auto"/>
              </w:rPr>
            </w:pPr>
            <w:r>
              <w:rPr>
                <w:rFonts w:ascii="Arial" w:cs="Arial" w:eastAsia="Arial" w:hAnsi="Arial"/>
                <w:sz w:val="18"/>
                <w:szCs w:val="18"/>
                <w:color w:val="auto"/>
              </w:rPr>
              <w:t>Net interest margin (3)</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5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Ratio of average interest earning</w:t>
            </w: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assets to average interest</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bearing liabilities</w:t>
            </w:r>
          </w:p>
        </w:tc>
        <w:tc>
          <w:tcPr>
            <w:tcW w:w="1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EEEEEE"/>
          </w:tcPr>
          <w:p>
            <w:pPr>
              <w:spacing w:after="0"/>
              <w:rPr>
                <w:sz w:val="21"/>
                <w:szCs w:val="21"/>
                <w:color w:val="auto"/>
              </w:rPr>
            </w:pPr>
          </w:p>
        </w:tc>
        <w:tc>
          <w:tcPr>
            <w:tcW w:w="9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160" w:type="dxa"/>
            <w:vAlign w:val="bottom"/>
            <w:shd w:val="clear" w:color="auto" w:fill="EEEEEE"/>
          </w:tcPr>
          <w:p>
            <w:pPr>
              <w:spacing w:after="0"/>
              <w:rPr>
                <w:sz w:val="21"/>
                <w:szCs w:val="21"/>
                <w:color w:val="auto"/>
              </w:rPr>
            </w:pPr>
          </w:p>
        </w:tc>
        <w:tc>
          <w:tcPr>
            <w:tcW w:w="32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EEEEEE"/>
          </w:tcPr>
          <w:p>
            <w:pPr>
              <w:spacing w:after="0"/>
              <w:rPr>
                <w:sz w:val="21"/>
                <w:szCs w:val="21"/>
                <w:color w:val="auto"/>
              </w:rPr>
            </w:pPr>
          </w:p>
        </w:tc>
        <w:tc>
          <w:tcPr>
            <w:tcW w:w="960" w:type="dxa"/>
            <w:vAlign w:val="bottom"/>
            <w:shd w:val="clear" w:color="auto" w:fill="EEEEEE"/>
          </w:tcPr>
          <w:p>
            <w:pPr>
              <w:spacing w:after="0"/>
              <w:rPr>
                <w:sz w:val="21"/>
                <w:szCs w:val="21"/>
                <w:color w:val="auto"/>
              </w:rPr>
            </w:pPr>
          </w:p>
        </w:tc>
        <w:tc>
          <w:tcPr>
            <w:tcW w:w="320" w:type="dxa"/>
            <w:vAlign w:val="bottom"/>
            <w:shd w:val="clear" w:color="auto" w:fill="EEEEEE"/>
          </w:tcPr>
          <w:p>
            <w:pPr>
              <w:spacing w:after="0"/>
              <w:rPr>
                <w:sz w:val="21"/>
                <w:szCs w:val="21"/>
                <w:color w:val="auto"/>
              </w:rPr>
            </w:pPr>
          </w:p>
        </w:tc>
        <w:tc>
          <w:tcPr>
            <w:tcW w:w="114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hanging="290"/>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460" w:hanging="310"/>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440" w:hanging="290"/>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80" w:type="dxa"/>
            <w:vAlign w:val="bottom"/>
            <w:gridSpan w:val="7"/>
          </w:tcPr>
          <w:p>
            <w:pPr>
              <w:jc w:val="center"/>
              <w:ind w:left="1010"/>
              <w:spacing w:after="0"/>
              <w:rPr>
                <w:sz w:val="20"/>
                <w:szCs w:val="20"/>
                <w:color w:val="auto"/>
              </w:rPr>
            </w:pPr>
            <w:r>
              <w:rPr>
                <w:rFonts w:ascii="Arial" w:cs="Arial" w:eastAsia="Arial" w:hAnsi="Arial"/>
                <w:sz w:val="18"/>
                <w:szCs w:val="18"/>
                <w:b w:val="1"/>
                <w:bCs w:val="1"/>
                <w:color w:val="auto"/>
                <w:w w:val="90"/>
              </w:rPr>
              <w:t>Year Ended December 31, 2014</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7"/>
          </w:tcPr>
          <w:p>
            <w:pPr>
              <w:jc w:val="center"/>
              <w:ind w:left="1010"/>
              <w:spacing w:after="0"/>
              <w:rPr>
                <w:sz w:val="20"/>
                <w:szCs w:val="20"/>
                <w:color w:val="auto"/>
              </w:rPr>
            </w:pPr>
            <w:r>
              <w:rPr>
                <w:rFonts w:ascii="Arial" w:cs="Arial" w:eastAsia="Arial" w:hAnsi="Arial"/>
                <w:sz w:val="18"/>
                <w:szCs w:val="18"/>
                <w:b w:val="1"/>
                <w:bCs w:val="1"/>
                <w:color w:val="auto"/>
                <w:w w:val="90"/>
              </w:rPr>
              <w:t>Compared to December 31, 2013</w:t>
            </w: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900"/>
              <w:spacing w:after="0" w:line="205" w:lineRule="exact"/>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7"/>
                <w:szCs w:val="17"/>
                <w:color w:val="auto"/>
              </w:rPr>
            </w:pPr>
          </w:p>
        </w:tc>
        <w:tc>
          <w:tcPr>
            <w:tcW w:w="1620" w:type="dxa"/>
            <w:vAlign w:val="bottom"/>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rPr>
              <w:t>Change Due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250"/>
              <w:spacing w:after="0" w:line="205" w:lineRule="exact"/>
              <w:rPr>
                <w:sz w:val="20"/>
                <w:szCs w:val="20"/>
                <w:color w:val="auto"/>
              </w:rPr>
            </w:pPr>
            <w:r>
              <w:rPr>
                <w:rFonts w:ascii="Arial" w:cs="Arial" w:eastAsia="Arial" w:hAnsi="Arial"/>
                <w:sz w:val="18"/>
                <w:szCs w:val="18"/>
                <w:b w:val="1"/>
                <w:bCs w:val="1"/>
                <w:color w:val="auto"/>
                <w:w w:val="97"/>
              </w:rPr>
              <w:t>Change Due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300" w:type="dxa"/>
            <w:vAlign w:val="bottom"/>
          </w:tcPr>
          <w:p>
            <w:pPr>
              <w:spacing w:after="0"/>
              <w:rPr>
                <w:sz w:val="20"/>
                <w:szCs w:val="20"/>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 Volume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3"/>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center"/>
              <w:ind w:right="30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59,901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81,594</w:t>
            </w:r>
          </w:p>
        </w:tc>
        <w:tc>
          <w:tcPr>
            <w:tcW w:w="38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3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(4,497)</w:t>
            </w:r>
          </w:p>
        </w:tc>
        <w:tc>
          <w:tcPr>
            <w:tcW w:w="18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8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55,404</w:t>
            </w:r>
          </w:p>
        </w:tc>
        <w:tc>
          <w:tcPr>
            <w:tcW w:w="3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76,679</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(21,275)</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Interest Bearing Liabilities</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1,529</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3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(1,341)</w:t>
            </w: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Debt secured by receivables measured at fair</w:t>
            </w:r>
          </w:p>
        </w:tc>
        <w:tc>
          <w:tcPr>
            <w:tcW w:w="3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5"/>
            <w:shd w:val="clear" w:color="auto" w:fill="EEEEEE"/>
          </w:tcPr>
          <w:p>
            <w:pPr>
              <w:ind w:left="140"/>
              <w:spacing w:after="0"/>
              <w:rPr>
                <w:sz w:val="20"/>
                <w:szCs w:val="20"/>
                <w:color w:val="auto"/>
              </w:rPr>
            </w:pPr>
            <w:r>
              <w:rPr>
                <w:rFonts w:ascii="Arial" w:cs="Arial" w:eastAsia="Arial" w:hAnsi="Arial"/>
                <w:sz w:val="18"/>
                <w:szCs w:val="18"/>
                <w:color w:val="auto"/>
              </w:rPr>
              <w:t>value</w:t>
            </w:r>
          </w:p>
        </w:tc>
        <w:tc>
          <w:tcPr>
            <w:tcW w:w="30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(3,105)</w:t>
            </w:r>
          </w:p>
        </w:tc>
        <w:tc>
          <w:tcPr>
            <w:tcW w:w="18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(3,093)</w:t>
            </w:r>
          </w:p>
        </w:tc>
        <w:tc>
          <w:tcPr>
            <w:tcW w:w="1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30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3,814</w:t>
            </w:r>
          </w:p>
        </w:tc>
        <w:tc>
          <w:tcPr>
            <w:tcW w:w="1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13,152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(6,413)</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(6,241)</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3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(953)</w:t>
            </w:r>
          </w:p>
        </w:tc>
        <w:tc>
          <w:tcPr>
            <w:tcW w:w="18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8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(7,784)</w:t>
            </w:r>
          </w:p>
        </w:tc>
        <w:tc>
          <w:tcPr>
            <w:tcW w:w="3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3,301</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(11,085)</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86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0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63,188</w:t>
            </w:r>
          </w:p>
        </w:tc>
        <w:tc>
          <w:tcPr>
            <w:tcW w:w="30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73,378</w:t>
            </w:r>
          </w:p>
        </w:tc>
        <w:tc>
          <w:tcPr>
            <w:tcW w:w="1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(10,190</w:t>
            </w:r>
          </w:p>
        </w:tc>
        <w:tc>
          <w:tcPr>
            <w:tcW w:w="1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Provision for credit losses was $108.2 million for the year ended December 31, 2014, an increase of $31.4 million, or 40.8% compared to the prior year and represented 43.6%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7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$2.8 million, or 20.6%, to $16.1 million during the year ended December 31, 2014, compared to $13.4 million in the prior year, and represented 6.5% of total operating expenses. For the year ended December 31, 2014, we purchased 59,276 contracts representing $944.9 million in receivables compared to 48,995 contracts representing $764.1 million in receivables in the prior year.</w:t>
      </w:r>
    </w:p>
    <w:p>
      <w:pPr>
        <w:spacing w:after="0" w:line="19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Occupancy expenses increased by $856,000 or 32.8%, to $3.5 million compared to $2.6 million in the previous year and represented 1.4% of total operating expenses. In April 2014, we established our fifth servicing center located in Las Vegas, Nevada.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5" w:name="page46"/>
    <w:bookmarkEnd w:id="45"/>
    <w:p>
      <w:pPr>
        <w:ind w:firstLine="648"/>
        <w:spacing w:after="0" w:line="277" w:lineRule="auto"/>
        <w:rPr>
          <w:sz w:val="20"/>
          <w:szCs w:val="20"/>
          <w:color w:val="auto"/>
        </w:rPr>
      </w:pPr>
      <w:r>
        <w:rPr>
          <w:rFonts w:ascii="Arial" w:cs="Arial" w:eastAsia="Arial" w:hAnsi="Arial"/>
          <w:sz w:val="18"/>
          <w:szCs w:val="18"/>
          <w:color w:val="auto"/>
        </w:rPr>
        <w:t>Depreciation and amortization expenses decreased by $9,000 or 2.1%, to $428,000 compared to $437,000 in the previous year and represented 0.2% of total operating expenses.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the year ended December 31, 2014, we recorded income tax expense of $22.7 million, representing a 43.5% effective income tax rate. In the prior year, we recorded $16.2 million of income tax expense, also representing a 43.5% effective income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2013 with the year ended December 31, 2012</w:t>
      </w:r>
    </w:p>
    <w:p>
      <w:pPr>
        <w:spacing w:after="0" w:line="2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In April 2013, we repurchased the outstanding Class D notes from our first 2008 securitization for a cash payment and a new note. We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 or 4.3% of our total revenues of $255.8 million for year ended December 31, 2013.</w:t>
      </w:r>
    </w:p>
    <w:p>
      <w:pPr>
        <w:spacing w:after="0" w:line="19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year ended December 31, 2013, excluding the gain on cancellation of debt of $10.9 million, our revenues were $244.8 million, an increase of $57.6 million, or 30.8%, from the prior year revenue of $187.2 million. The primary reason for the increase in revenues is an increase in interest income. Interest income for the year ended December 31, 2013 increased $56.0 million, or 32.0%, to $231.3 million from $175.3 million in the prior year. The primary reason for the increase in interest income is the increase in finance receivables held by consolidated subsidiaries, which increased from $868.7 million at December 31, 2012 to $1,222.5 million at December 31, 2013. The table below shows the average balances of our portfolio held by consolidated subsidiaries for the year ended December 31, 2013 and 2012:</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9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2"/>
              </w:rPr>
              <w:t>December 31, 2013</w:t>
            </w:r>
          </w:p>
        </w:tc>
        <w:tc>
          <w:tcPr>
            <w:tcW w:w="8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210"/>
        </w:trPr>
        <w:tc>
          <w:tcPr>
            <w:tcW w:w="550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9"/>
              </w:rPr>
              <w:t>Finance Receivables Owned by</w:t>
            </w: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4"/>
          </w:tcPr>
          <w:p>
            <w:pPr>
              <w:jc w:val="right"/>
              <w:ind w:right="1130"/>
              <w:spacing w:after="0" w:line="191" w:lineRule="exact"/>
              <w:rPr>
                <w:sz w:val="20"/>
                <w:szCs w:val="20"/>
                <w:color w:val="auto"/>
              </w:rPr>
            </w:pPr>
            <w:r>
              <w:rPr>
                <w:rFonts w:ascii="Arial" w:cs="Arial" w:eastAsia="Arial" w:hAnsi="Arial"/>
                <w:sz w:val="18"/>
                <w:szCs w:val="18"/>
                <w:b w:val="1"/>
                <w:bCs w:val="1"/>
                <w:color w:val="auto"/>
              </w:rPr>
              <w:t>($ in millions)</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Consolidated Subsidiaries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CPS Originated Receivables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1,044.7</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699.0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Fireside</w:t>
            </w:r>
          </w:p>
        </w:tc>
        <w:tc>
          <w:tcPr>
            <w:tcW w:w="2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Servicing fees totaling $3.1 million in the year ended December 31, 2013 increased $788,000, or 34.2%, from $2.3 million in the prior year. We earn base servicing fees on three portfolios that are decreasing in size as we receive customer payments and, consequently, base servicing fees are decreasing also. On one of those portfolios, however, we recently began earning an incentive servicing fee. Such incentive servicing fee was $1.6 million for the year ended December 31, 2013 and more than offset the decrease of $600,000 in base servicing fees. We did not earn any incentive servicing fee in the prior year. As of December 31, 2013 and 2012, our managed portfolio owned by consolidated vs. non-consolidated subsidiaries and other third parties was as follows: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gridSpan w:val="4"/>
          </w:tcPr>
          <w:p>
            <w:pPr>
              <w:jc w:val="right"/>
              <w:ind w:right="1240"/>
              <w:spacing w:after="0"/>
              <w:rPr>
                <w:sz w:val="20"/>
                <w:szCs w:val="20"/>
                <w:color w:val="auto"/>
              </w:rPr>
            </w:pPr>
            <w:r>
              <w:rPr>
                <w:rFonts w:ascii="Arial" w:cs="Arial" w:eastAsia="Arial" w:hAnsi="Arial"/>
                <w:sz w:val="18"/>
                <w:szCs w:val="18"/>
                <w:b w:val="1"/>
                <w:bCs w:val="1"/>
                <w:color w:val="auto"/>
              </w:rPr>
              <w:t>December 31, 2013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3"/>
          </w:tcPr>
          <w:p>
            <w:pPr>
              <w:ind w:left="800"/>
              <w:spacing w:after="0"/>
              <w:rPr>
                <w:sz w:val="20"/>
                <w:szCs w:val="20"/>
                <w:color w:val="auto"/>
              </w:rPr>
            </w:pPr>
            <w:r>
              <w:rPr>
                <w:rFonts w:ascii="Arial" w:cs="Arial" w:eastAsia="Arial" w:hAnsi="Arial"/>
                <w:sz w:val="18"/>
                <w:szCs w:val="18"/>
                <w:b w:val="1"/>
                <w:bCs w:val="1"/>
                <w:color w:val="auto"/>
                <w:w w:val="88"/>
              </w:rPr>
              <w:t>December 31, 2012</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9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gridSpan w:val="2"/>
          </w:tcPr>
          <w:p>
            <w:pPr>
              <w:jc w:val="right"/>
              <w:ind w:right="720"/>
              <w:spacing w:after="0"/>
              <w:rPr>
                <w:sz w:val="20"/>
                <w:szCs w:val="20"/>
                <w:color w:val="auto"/>
              </w:rPr>
            </w:pPr>
            <w:r>
              <w:rPr>
                <w:rFonts w:ascii="Arial" w:cs="Arial" w:eastAsia="Arial" w:hAnsi="Arial"/>
                <w:sz w:val="18"/>
                <w:szCs w:val="18"/>
                <w:b w:val="1"/>
                <w:bCs w:val="1"/>
                <w:color w:val="auto"/>
              </w:rPr>
              <w:t>Amount (1)</w:t>
            </w:r>
          </w:p>
        </w:tc>
        <w:tc>
          <w:tcPr>
            <w:tcW w:w="16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 (1)</w:t>
            </w:r>
          </w:p>
        </w:tc>
        <w:tc>
          <w:tcPr>
            <w:tcW w:w="10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4"/>
                <w:szCs w:val="24"/>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Total Managed Portfolio</w:t>
            </w:r>
          </w:p>
        </w:tc>
        <w:tc>
          <w:tcPr>
            <w:tcW w:w="22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 in millions)</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Owned by Consolidated Subsidiaries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CPS Originated Receivables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1,207.7</w:t>
            </w:r>
          </w:p>
        </w:tc>
        <w:tc>
          <w:tcPr>
            <w:tcW w:w="3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98.1%</w:t>
            </w:r>
          </w:p>
        </w:tc>
        <w:tc>
          <w:tcPr>
            <w:tcW w:w="40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807.9</w:t>
            </w: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EEEEEE"/>
          </w:tcPr>
          <w:p>
            <w:pPr>
              <w:spacing w:after="0"/>
              <w:rPr>
                <w:sz w:val="18"/>
                <w:szCs w:val="18"/>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Fireside</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14.8</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60.8</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Owned by Non-Consolidated Subsidiaries</w:t>
            </w: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w:t>
            </w:r>
          </w:p>
        </w:tc>
        <w:tc>
          <w:tcPr>
            <w:tcW w:w="1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17.3</w:t>
            </w: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EEEEEE"/>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Third-Party Servicing Portfolios</w:t>
            </w:r>
          </w:p>
        </w:tc>
        <w:tc>
          <w:tcPr>
            <w:tcW w:w="220" w:type="dxa"/>
            <w:vAlign w:val="bottom"/>
          </w:tcPr>
          <w:p>
            <w:pPr>
              <w:spacing w:after="0"/>
              <w:rPr>
                <w:sz w:val="19"/>
                <w:szCs w:val="19"/>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1,231.4</w:t>
            </w:r>
          </w:p>
        </w:tc>
        <w:tc>
          <w:tcPr>
            <w:tcW w:w="3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897.6</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255"/>
        <w:spacing w:after="0"/>
        <w:tabs>
          <w:tab w:leader="none" w:pos="3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360" w:hanging="255"/>
        <w:spacing w:after="0"/>
        <w:tabs>
          <w:tab w:leader="none" w:pos="3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At December 31, 2013, we were generating income and fees on a managed portfolio with an outstanding principal balance of $1,231.4 million (this amount includes $4.0 million of automobile contracts on which we earn servicing fees and own a residual interest and also includes another $4.9 million of automobile contracts on which we earn base and incentive servicing fees), compared to a managed portfolio with an outstanding principal balance of $897.6 million as of December 31, 2012. At December 31, 2013 and 2012,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88"/>
              </w:rPr>
              <w:t>December 31, 2013</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88"/>
              </w:rPr>
              <w:t>December 31, 2012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2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7"/>
              </w:rPr>
              <w:t>%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1,211.8</w:t>
            </w:r>
          </w:p>
        </w:tc>
        <w:tc>
          <w:tcPr>
            <w:tcW w:w="5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98.4%</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825.0</w:t>
            </w: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Fireside</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14.8</w:t>
            </w: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60.8</w:t>
            </w: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TFC</w:t>
            </w:r>
          </w:p>
        </w:tc>
        <w:tc>
          <w:tcPr>
            <w:tcW w:w="220" w:type="dxa"/>
            <w:vAlign w:val="bottom"/>
            <w:shd w:val="clear" w:color="auto" w:fill="EEEEEE"/>
          </w:tcPr>
          <w:p>
            <w:pPr>
              <w:spacing w:after="0"/>
              <w:rPr>
                <w:sz w:val="18"/>
                <w:szCs w:val="18"/>
                <w:color w:val="auto"/>
              </w:rPr>
            </w:pPr>
          </w:p>
        </w:tc>
        <w:tc>
          <w:tcPr>
            <w:tcW w:w="2300" w:type="dxa"/>
            <w:vAlign w:val="bottom"/>
            <w:gridSpan w:val="3"/>
            <w:shd w:val="clear" w:color="auto" w:fill="EEEEEE"/>
          </w:tcPr>
          <w:p>
            <w:pPr>
              <w:jc w:val="right"/>
              <w:ind w:righ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0.2</w:t>
            </w: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Third Party Portfolio</w:t>
            </w:r>
          </w:p>
        </w:tc>
        <w:tc>
          <w:tcPr>
            <w:tcW w:w="220" w:type="dxa"/>
            <w:vAlign w:val="bottom"/>
          </w:tcPr>
          <w:p>
            <w:pPr>
              <w:spacing w:after="0"/>
              <w:rPr>
                <w:sz w:val="19"/>
                <w:szCs w:val="19"/>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1,231.4</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Other income increased by $816,000, or 8.5%, to $10.4 million in the year ended December 31, 2013 from $9.6 million during the prior year. The increase is comprised of a net increase of $415,000 in the fair value of the receivables and debt associated with the Fireside portfolio acquisition, an increase of $588,000 in fees associated with direct mail and other related products and services that we offer to our dealers, and an increase of $58,000 in payments from third-party providers of convenience fees paid by our customers for web based and other electronic payments. These increases were partially offset by a decrease of $215,000 in recoveries on receivables from the 2002 acquisition of MFN Financial Corporation and a decrease in sales tax refunds of $30,000.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47" w:name="page48"/>
    <w:bookmarkEnd w:id="47"/>
    <w:p>
      <w:pPr>
        <w:ind w:right="180"/>
        <w:spacing w:after="0" w:line="297"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provision for credit losses, interest expense, employee costs and general and administrative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5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year ended December 31, 2013, we recognized $7.8 million in contingent liability expenses to either record or increase the amounts we believe we may incur related to various pending litigation. The amount was allocated in part to a long running case we refer to as the Stanwich litigation, and also to more recent matters including two California class action suits where we are the defendant, and a governmental inquiry, in which the United States Federal Trade Commission (“FTC”) has informally proposed that the we refrain from certain allegedly unfair trade practices, and make restitutionary payments into a consumer relief fund.</w:t>
      </w:r>
    </w:p>
    <w:p>
      <w:pPr>
        <w:spacing w:after="0" w:line="18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comparison of our expenses for the year ended December 31, 2013 and 2012 excludes the impact of the $7.8 million contingent liability expense incurred in the year ended December 31, 2013.</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Total operating expenses were $210.8 million for the year ended December 31, 2013, compared to $178.0 million for the prior year, an increase of $32.7 million, or 18.4%. The increase is primarily due to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Employee costs increased by $7.4 million or 20.8%, to $43.0 million during the year ended December 31, 2013, representing 20.4% of total operating expenses, from $35.6 million for the prior year, or 20.0% of total operating expenses. Since 2010, we have added employees in our Originations and Marketing departments to accommodate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years ended, December 31, 2013 and 2012: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9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2"/>
              </w:rPr>
              <w:t>December 31, 2013</w:t>
            </w:r>
          </w:p>
        </w:tc>
        <w:tc>
          <w:tcPr>
            <w:tcW w:w="8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 2012</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 in millions)</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764.1</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551.7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48,995</w:t>
            </w:r>
          </w:p>
        </w:tc>
        <w:tc>
          <w:tcPr>
            <w:tcW w:w="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36,030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1,231.4</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897.6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99,842</w:t>
            </w:r>
          </w:p>
        </w:tc>
        <w:tc>
          <w:tcPr>
            <w:tcW w:w="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91,549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0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w:t>
            </w:r>
          </w:p>
        </w:tc>
        <w:tc>
          <w:tcPr>
            <w:tcW w:w="8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w w:val="89"/>
              </w:rPr>
              <w:t>46</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1440" w:gutter="0" w:footer="0" w:header="0"/>
        </w:sectPr>
      </w:pPr>
    </w:p>
    <w:bookmarkStart w:id="48" w:name="page49"/>
    <w:bookmarkEnd w:id="48"/>
    <w:p>
      <w:pPr>
        <w:jc w:val="both"/>
        <w:ind w:right="40"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$16.3 million, an increase of $916,000, or 5.9%, compared to the previous year and represented 7.8% of total operating expenses.</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Interest expense for the year ended December 31, 2013 decreased by $21.2 million to $58.2 million, or 26.7%, compared to $79.4 million in the previous year.</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Interest expense on the Fireside portfolio credit facility decreased by $12.0 million compared to the prior year as the Fireside portfolio and the related debt have paid down to significantly lower levels over the last year.</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Interest on securitization trust debt decreased by $3.4 million for the year ended December 31, 2013 compared to the prior year. Although the average balance of securitization trust debt increased to $941.6 million for the year ended December 31, 2013 compared to $630.0 million for the year ended December 31, 2012, the blended interest rates on new term securitizations since 2012 have been significantly lower than in previous years. As a result, during 2013, portions of our securitization trust debt that were outstanding at December 31, 2012 at higher blended interest rates were repaid as we added new securitization trust debt at significantly lower blended interest rates.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Interest expense on senior secured debt and subordinated renewable notes decreased by $4.7 million. This was due primarily to the April 2013 repayment of $15.0 million in senior secured debt and to the reduction in the interest rate on the remaining senior secured debt from 16.0% to 13.0%. In addition, we reduced the balance of our outstanding subordinated renewable notes by $4.2 million from $23.3 million at December 31, 2012 to $19.1 million at December 31, 2013. The reduction in interest expense was also a result of our decreasing the average interest rate on our subordinated renewable notes from 14.4% at December 31, 2012 to 12.5% at December 31, 2013.</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Interest expense on residual interest financing increased $701,000 in the year ended December 31, 2013 compared to the prior year. The increase is due to the establishment in April 2013 of a new $20 million residual interest financing. This was partially offset by the September 2013 repayment of the $13.8 million of indebtedness outstanding under the residual facility originally established in 2007.</w:t>
      </w:r>
    </w:p>
    <w:p>
      <w:pPr>
        <w:spacing w:after="0" w:line="18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Interest expense on warehouse debt decreased by $1.9 million for the year ended December 31, 2013 compared to the prior year. Although we increased our contract purchases to $764.1 million for the year ended December 31, 2013 compared to $551.7 million in the prior period, recently we have relied less on warehouse credit facilities and more on unrestricted cash balances to fund receivables prior to securitization.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49" w:name="page50"/>
    <w:bookmarkEnd w:id="49"/>
    <w:p>
      <w:pPr>
        <w:ind w:right="18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2013 and 2012: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Interest Earning Assets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Interest</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EEEEEE"/>
            </w:tcBorders>
          </w:tcPr>
          <w:p>
            <w:pPr>
              <w:spacing w:after="0"/>
              <w:rPr>
                <w:sz w:val="18"/>
                <w:szCs w:val="18"/>
                <w:color w:val="auto"/>
              </w:rPr>
            </w:pPr>
          </w:p>
        </w:tc>
        <w:tc>
          <w:tcPr>
            <w:tcW w:w="1060" w:type="dxa"/>
            <w:vAlign w:val="bottom"/>
            <w:tcBorders>
              <w:top w:val="single" w:sz="8" w:color="auto"/>
              <w:bottom w:val="single" w:sz="8" w:color="EEEEEE"/>
            </w:tcBorders>
          </w:tcPr>
          <w:p>
            <w:pPr>
              <w:spacing w:after="0"/>
              <w:rPr>
                <w:sz w:val="18"/>
                <w:szCs w:val="18"/>
                <w:color w:val="auto"/>
              </w:rPr>
            </w:pPr>
          </w:p>
        </w:tc>
        <w:tc>
          <w:tcPr>
            <w:tcW w:w="34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EEEEEE"/>
            </w:tcBorders>
          </w:tcPr>
          <w:p>
            <w:pPr>
              <w:spacing w:after="0"/>
              <w:rPr>
                <w:sz w:val="18"/>
                <w:szCs w:val="18"/>
                <w:color w:val="auto"/>
              </w:rPr>
            </w:pPr>
          </w:p>
        </w:tc>
        <w:tc>
          <w:tcPr>
            <w:tcW w:w="980" w:type="dxa"/>
            <w:vAlign w:val="bottom"/>
            <w:tcBorders>
              <w:top w:val="single" w:sz="8" w:color="auto"/>
              <w:bottom w:val="single" w:sz="8" w:color="EEEEEE"/>
            </w:tcBorders>
          </w:tcPr>
          <w:p>
            <w:pPr>
              <w:spacing w:after="0"/>
              <w:rPr>
                <w:sz w:val="18"/>
                <w:szCs w:val="18"/>
                <w:color w:val="auto"/>
              </w:rPr>
            </w:pPr>
          </w:p>
        </w:tc>
        <w:tc>
          <w:tcPr>
            <w:tcW w:w="360" w:type="dxa"/>
            <w:vAlign w:val="bottom"/>
            <w:tcBorders>
              <w:bottom w:val="single" w:sz="8" w:color="EEEEEE"/>
            </w:tcBorders>
          </w:tcPr>
          <w:p>
            <w:pPr>
              <w:spacing w:after="0"/>
              <w:rPr>
                <w:sz w:val="18"/>
                <w:szCs w:val="18"/>
                <w:color w:val="auto"/>
              </w:rPr>
            </w:pPr>
          </w:p>
        </w:tc>
        <w:tc>
          <w:tcPr>
            <w:tcW w:w="1160" w:type="dxa"/>
            <w:vAlign w:val="bottom"/>
            <w:tcBorders>
              <w:top w:val="single" w:sz="8" w:color="auto"/>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EEEEEE"/>
            </w:tcBorders>
          </w:tcPr>
          <w:p>
            <w:pPr>
              <w:spacing w:after="0"/>
              <w:rPr>
                <w:sz w:val="18"/>
                <w:szCs w:val="18"/>
                <w:color w:val="auto"/>
              </w:rPr>
            </w:pPr>
          </w:p>
        </w:tc>
        <w:tc>
          <w:tcPr>
            <w:tcW w:w="1020" w:type="dxa"/>
            <w:vAlign w:val="bottom"/>
            <w:tcBorders>
              <w:top w:val="single" w:sz="8" w:color="auto"/>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EEEEEE"/>
            </w:tcBorders>
          </w:tcPr>
          <w:p>
            <w:pPr>
              <w:spacing w:after="0"/>
              <w:rPr>
                <w:sz w:val="18"/>
                <w:szCs w:val="18"/>
                <w:color w:val="auto"/>
              </w:rPr>
            </w:pPr>
          </w:p>
        </w:tc>
        <w:tc>
          <w:tcPr>
            <w:tcW w:w="960" w:type="dxa"/>
            <w:vAlign w:val="bottom"/>
            <w:tcBorders>
              <w:top w:val="single" w:sz="8" w:color="auto"/>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1140" w:type="dxa"/>
            <w:vAlign w:val="bottom"/>
            <w:tcBorders>
              <w:top w:val="single" w:sz="8" w:color="auto"/>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1,015,404</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225,268</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662,173</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152,977</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spacing w:after="0" w:line="201" w:lineRule="exact"/>
              <w:rPr>
                <w:sz w:val="20"/>
                <w:szCs w:val="20"/>
                <w:color w:val="auto"/>
              </w:rPr>
            </w:pPr>
            <w:r>
              <w:rPr>
                <w:rFonts w:ascii="Arial" w:cs="Arial" w:eastAsia="Arial" w:hAnsi="Arial"/>
                <w:sz w:val="18"/>
                <w:szCs w:val="18"/>
                <w:color w:val="auto"/>
                <w:w w:val="93"/>
              </w:rPr>
              <w:t>Finance receivables measured at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tcPr>
          <w:p>
            <w:pPr>
              <w:ind w:left="160"/>
              <w:spacing w:after="0"/>
              <w:rPr>
                <w:sz w:val="20"/>
                <w:szCs w:val="20"/>
                <w:color w:val="auto"/>
              </w:rPr>
            </w:pPr>
            <w:r>
              <w:rPr>
                <w:rFonts w:ascii="Arial" w:cs="Arial" w:eastAsia="Arial" w:hAnsi="Arial"/>
                <w:sz w:val="18"/>
                <w:szCs w:val="18"/>
                <w:color w:val="auto"/>
              </w:rPr>
              <w:t>fair value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31,294</w:t>
            </w:r>
          </w:p>
        </w:tc>
        <w:tc>
          <w:tcPr>
            <w:tcW w:w="18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6,062</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103,571</w:t>
            </w:r>
          </w:p>
        </w:tc>
        <w:tc>
          <w:tcPr>
            <w:tcW w:w="18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22,337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1,046,698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231,330</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765,744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spacing w:after="0"/>
              <w:rPr>
                <w:sz w:val="19"/>
                <w:szCs w:val="19"/>
                <w:color w:val="auto"/>
              </w:rPr>
            </w:pP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175,314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3"/>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2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6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8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11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1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60" w:type="dxa"/>
            <w:vAlign w:val="bottom"/>
            <w:tcBorders>
              <w:top w:val="single" w:sz="8" w:color="auto"/>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Warehouse lines of credit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40,285</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5,003</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36,558</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6,928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24,107</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3,330</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15,716</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2,629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spacing w:after="0" w:line="201" w:lineRule="exact"/>
              <w:rPr>
                <w:sz w:val="20"/>
                <w:szCs w:val="20"/>
                <w:color w:val="auto"/>
              </w:rPr>
            </w:pPr>
            <w:r>
              <w:rPr>
                <w:rFonts w:ascii="Arial" w:cs="Arial" w:eastAsia="Arial" w:hAnsi="Arial"/>
                <w:sz w:val="18"/>
                <w:szCs w:val="18"/>
                <w:color w:val="auto"/>
              </w:rPr>
              <w:t>Debt secured by receivables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gridSpan w:val="3"/>
          </w:tcPr>
          <w:p>
            <w:pPr>
              <w:ind w:left="160"/>
              <w:spacing w:after="0"/>
              <w:rPr>
                <w:sz w:val="20"/>
                <w:szCs w:val="20"/>
                <w:color w:val="auto"/>
              </w:rPr>
            </w:pPr>
            <w:r>
              <w:rPr>
                <w:rFonts w:ascii="Arial" w:cs="Arial" w:eastAsia="Arial" w:hAnsi="Arial"/>
                <w:sz w:val="18"/>
                <w:szCs w:val="18"/>
                <w:color w:val="auto"/>
              </w:rPr>
              <w:t>measured at fair 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27,506</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3,877</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101,381</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15,877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941,591</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34,744</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629,987</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38,095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w w:val="91"/>
              </w:rPr>
              <w:t>Senior secured debt, related party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41,906</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8,064</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53,654</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12,454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21,763</w:t>
            </w:r>
          </w:p>
        </w:tc>
        <w:tc>
          <w:tcPr>
            <w:tcW w:w="3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3,161</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21,564</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3,439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06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1,097,158</w:t>
            </w:r>
          </w:p>
        </w:tc>
        <w:tc>
          <w:tcPr>
            <w:tcW w:w="34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340" w:type="dxa"/>
            <w:vAlign w:val="bottom"/>
            <w:tcBorders>
              <w:bottom w:val="single" w:sz="8" w:color="EEEEEE"/>
            </w:tcBorders>
            <w:gridSpan w:val="2"/>
          </w:tcPr>
          <w:p>
            <w:pPr>
              <w:jc w:val="right"/>
              <w:ind w:right="360"/>
              <w:spacing w:after="0"/>
              <w:rPr>
                <w:sz w:val="20"/>
                <w:szCs w:val="20"/>
                <w:color w:val="auto"/>
              </w:rPr>
            </w:pPr>
            <w:r>
              <w:rPr>
                <w:rFonts w:ascii="Arial" w:cs="Arial" w:eastAsia="Arial" w:hAnsi="Arial"/>
                <w:sz w:val="18"/>
                <w:szCs w:val="18"/>
                <w:color w:val="auto"/>
              </w:rPr>
              <w:t>58,179</w:t>
            </w:r>
          </w:p>
        </w:tc>
        <w:tc>
          <w:tcPr>
            <w:tcW w:w="14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EEEEEE"/>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858,860</w:t>
            </w:r>
          </w:p>
        </w:tc>
        <w:tc>
          <w:tcPr>
            <w:tcW w:w="180" w:type="dxa"/>
            <w:vAlign w:val="bottom"/>
            <w:tcBorders>
              <w:bottom w:val="single" w:sz="8" w:color="EEEEEE"/>
            </w:tcBorders>
          </w:tcPr>
          <w:p>
            <w:pPr>
              <w:spacing w:after="0"/>
              <w:rPr>
                <w:sz w:val="22"/>
                <w:szCs w:val="22"/>
                <w:color w:val="auto"/>
              </w:rPr>
            </w:pPr>
          </w:p>
        </w:tc>
        <w:tc>
          <w:tcPr>
            <w:tcW w:w="12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79,422</w:t>
            </w:r>
          </w:p>
        </w:tc>
        <w:tc>
          <w:tcPr>
            <w:tcW w:w="12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spacing w:after="0"/>
              <w:rPr>
                <w:sz w:val="17"/>
                <w:szCs w:val="17"/>
                <w:color w:val="auto"/>
              </w:rPr>
            </w:pPr>
          </w:p>
        </w:tc>
        <w:tc>
          <w:tcPr>
            <w:tcW w:w="980" w:type="dxa"/>
            <w:vAlign w:val="bottom"/>
            <w:tcBorders>
              <w:bottom w:val="single" w:sz="8" w:color="auto"/>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spacing w:after="0"/>
              <w:rPr>
                <w:sz w:val="17"/>
                <w:szCs w:val="17"/>
                <w:color w:val="auto"/>
              </w:rPr>
            </w:pPr>
          </w:p>
        </w:tc>
        <w:tc>
          <w:tcPr>
            <w:tcW w:w="960" w:type="dxa"/>
            <w:vAlign w:val="bottom"/>
            <w:tcBorders>
              <w:bottom w:val="single" w:sz="8" w:color="auto"/>
            </w:tcBorders>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tcBorders>
              <w:bottom w:val="single" w:sz="8" w:color="EEEEEE"/>
            </w:tcBorders>
            <w:gridSpan w:val="3"/>
          </w:tcPr>
          <w:p>
            <w:pPr>
              <w:spacing w:after="0"/>
              <w:rPr>
                <w:sz w:val="20"/>
                <w:szCs w:val="20"/>
                <w:color w:val="auto"/>
              </w:rPr>
            </w:pPr>
            <w:r>
              <w:rPr>
                <w:rFonts w:ascii="Arial" w:cs="Arial" w:eastAsia="Arial" w:hAnsi="Arial"/>
                <w:sz w:val="18"/>
                <w:szCs w:val="18"/>
                <w:color w:val="auto"/>
              </w:rPr>
              <w:t>Net interest income/spread</w:t>
            </w:r>
          </w:p>
        </w:tc>
        <w:tc>
          <w:tcPr>
            <w:tcW w:w="2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60" w:type="dxa"/>
            <w:vAlign w:val="bottom"/>
            <w:tcBorders>
              <w:bottom w:val="single" w:sz="8" w:color="EEEEEE"/>
            </w:tcBorders>
          </w:tcPr>
          <w:p>
            <w:pPr>
              <w:spacing w:after="0"/>
              <w:rPr>
                <w:sz w:val="22"/>
                <w:szCs w:val="22"/>
                <w:color w:val="auto"/>
              </w:rPr>
            </w:pPr>
          </w:p>
        </w:tc>
        <w:tc>
          <w:tcPr>
            <w:tcW w:w="34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173,151</w:t>
            </w:r>
          </w:p>
        </w:tc>
        <w:tc>
          <w:tcPr>
            <w:tcW w:w="360" w:type="dxa"/>
            <w:vAlign w:val="bottom"/>
            <w:tcBorders>
              <w:bottom w:val="single" w:sz="8" w:color="EEEEEE"/>
            </w:tcBorders>
          </w:tcPr>
          <w:p>
            <w:pPr>
              <w:spacing w:after="0"/>
              <w:rPr>
                <w:sz w:val="22"/>
                <w:szCs w:val="22"/>
                <w:color w:val="auto"/>
              </w:rPr>
            </w:pPr>
          </w:p>
        </w:tc>
        <w:tc>
          <w:tcPr>
            <w:tcW w:w="116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95,892</w:t>
            </w:r>
          </w:p>
        </w:tc>
        <w:tc>
          <w:tcPr>
            <w:tcW w:w="320" w:type="dxa"/>
            <w:vAlign w:val="bottom"/>
            <w:tcBorders>
              <w:bottom w:val="single" w:sz="8" w:color="EEEEEE"/>
            </w:tcBorders>
          </w:tcPr>
          <w:p>
            <w:pPr>
              <w:spacing w:after="0"/>
              <w:rPr>
                <w:sz w:val="22"/>
                <w:szCs w:val="22"/>
                <w:color w:val="auto"/>
              </w:rPr>
            </w:pPr>
          </w:p>
        </w:tc>
        <w:tc>
          <w:tcPr>
            <w:tcW w:w="11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00" w:type="dxa"/>
            <w:vAlign w:val="bottom"/>
            <w:gridSpan w:val="3"/>
            <w:shd w:val="clear" w:color="auto" w:fill="EEEEEE"/>
          </w:tcPr>
          <w:p>
            <w:pPr>
              <w:spacing w:after="0" w:line="196" w:lineRule="exact"/>
              <w:rPr>
                <w:sz w:val="20"/>
                <w:szCs w:val="20"/>
                <w:color w:val="auto"/>
              </w:rPr>
            </w:pPr>
            <w:r>
              <w:rPr>
                <w:rFonts w:ascii="Arial" w:cs="Arial" w:eastAsia="Arial" w:hAnsi="Arial"/>
                <w:sz w:val="18"/>
                <w:szCs w:val="18"/>
                <w:color w:val="auto"/>
              </w:rPr>
              <w:t>Net interest margin (3)</w:t>
            </w: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right"/>
              <w:ind w:right="320"/>
              <w:spacing w:after="0" w:line="196" w:lineRule="exact"/>
              <w:rPr>
                <w:sz w:val="20"/>
                <w:szCs w:val="20"/>
                <w:color w:val="auto"/>
              </w:rPr>
            </w:pPr>
            <w:r>
              <w:rPr>
                <w:rFonts w:ascii="Arial" w:cs="Arial" w:eastAsia="Arial" w:hAnsi="Arial"/>
                <w:sz w:val="18"/>
                <w:szCs w:val="18"/>
                <w:color w:val="auto"/>
              </w:rPr>
              <w:t>16.5%</w:t>
            </w: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spacing w:after="0" w:line="201" w:lineRule="exact"/>
              <w:rPr>
                <w:sz w:val="20"/>
                <w:szCs w:val="20"/>
                <w:color w:val="auto"/>
              </w:rPr>
            </w:pPr>
            <w:r>
              <w:rPr>
                <w:rFonts w:ascii="Arial" w:cs="Arial" w:eastAsia="Arial" w:hAnsi="Arial"/>
                <w:sz w:val="18"/>
                <w:szCs w:val="18"/>
                <w:color w:val="auto"/>
                <w:w w:val="94"/>
              </w:rPr>
              <w:t>Ratio of average interest earning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3"/>
          </w:tcPr>
          <w:p>
            <w:pPr>
              <w:ind w:left="160"/>
              <w:spacing w:after="0"/>
              <w:rPr>
                <w:sz w:val="20"/>
                <w:szCs w:val="20"/>
                <w:color w:val="auto"/>
              </w:rPr>
            </w:pPr>
            <w:r>
              <w:rPr>
                <w:rFonts w:ascii="Arial" w:cs="Arial" w:eastAsia="Arial" w:hAnsi="Arial"/>
                <w:sz w:val="18"/>
                <w:szCs w:val="18"/>
                <w:color w:val="auto"/>
              </w:rPr>
              <w:t>assets to average interest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gridSpan w:val="3"/>
          </w:tcPr>
          <w:p>
            <w:pPr>
              <w:ind w:left="160"/>
              <w:spacing w:after="0"/>
              <w:rPr>
                <w:sz w:val="20"/>
                <w:szCs w:val="20"/>
                <w:color w:val="auto"/>
              </w:rPr>
            </w:pPr>
            <w:r>
              <w:rPr>
                <w:rFonts w:ascii="Arial" w:cs="Arial" w:eastAsia="Arial" w:hAnsi="Arial"/>
                <w:sz w:val="18"/>
                <w:szCs w:val="18"/>
                <w:color w:val="auto"/>
              </w:rPr>
              <w:t>bearing liabilities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80" w:type="dxa"/>
            <w:vAlign w:val="bottom"/>
            <w:gridSpan w:val="7"/>
          </w:tcPr>
          <w:p>
            <w:pPr>
              <w:jc w:val="center"/>
              <w:ind w:left="1010"/>
              <w:spacing w:after="0"/>
              <w:rPr>
                <w:sz w:val="20"/>
                <w:szCs w:val="20"/>
                <w:color w:val="auto"/>
              </w:rPr>
            </w:pPr>
            <w:r>
              <w:rPr>
                <w:rFonts w:ascii="Arial" w:cs="Arial" w:eastAsia="Arial" w:hAnsi="Arial"/>
                <w:sz w:val="18"/>
                <w:szCs w:val="18"/>
                <w:b w:val="1"/>
                <w:bCs w:val="1"/>
                <w:color w:val="auto"/>
                <w:w w:val="90"/>
              </w:rPr>
              <w:t>Year Ended December 31, 2013</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7"/>
          </w:tcPr>
          <w:p>
            <w:pPr>
              <w:jc w:val="center"/>
              <w:ind w:left="1010"/>
              <w:spacing w:after="0"/>
              <w:rPr>
                <w:sz w:val="20"/>
                <w:szCs w:val="20"/>
                <w:color w:val="auto"/>
              </w:rPr>
            </w:pPr>
            <w:r>
              <w:rPr>
                <w:rFonts w:ascii="Arial" w:cs="Arial" w:eastAsia="Arial" w:hAnsi="Arial"/>
                <w:sz w:val="18"/>
                <w:szCs w:val="18"/>
                <w:b w:val="1"/>
                <w:bCs w:val="1"/>
                <w:color w:val="auto"/>
                <w:w w:val="90"/>
              </w:rPr>
              <w:t>Compared to December 31, 2012</w:t>
            </w: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900"/>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680" w:type="dxa"/>
            <w:vAlign w:val="bottom"/>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rPr>
              <w:t>Change Due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250"/>
              <w:spacing w:after="0" w:line="205" w:lineRule="exact"/>
              <w:rPr>
                <w:sz w:val="20"/>
                <w:szCs w:val="20"/>
                <w:color w:val="auto"/>
              </w:rPr>
            </w:pPr>
            <w:r>
              <w:rPr>
                <w:rFonts w:ascii="Arial" w:cs="Arial" w:eastAsia="Arial" w:hAnsi="Arial"/>
                <w:sz w:val="18"/>
                <w:szCs w:val="18"/>
                <w:b w:val="1"/>
                <w:bCs w:val="1"/>
                <w:color w:val="auto"/>
                <w:w w:val="97"/>
              </w:rPr>
              <w:t>Change Due</w:t>
            </w: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20" w:type="dxa"/>
            <w:vAlign w:val="bottom"/>
            <w:gridSpan w:val="4"/>
            <w:vMerge w:val="restart"/>
          </w:tcPr>
          <w:p>
            <w:pPr>
              <w:jc w:val="center"/>
              <w:ind w:right="840"/>
              <w:spacing w:after="0"/>
              <w:rPr>
                <w:sz w:val="20"/>
                <w:szCs w:val="20"/>
                <w:color w:val="auto"/>
              </w:rPr>
            </w:pPr>
            <w:r>
              <w:rPr>
                <w:rFonts w:ascii="Arial" w:cs="Arial" w:eastAsia="Arial" w:hAnsi="Arial"/>
                <w:sz w:val="18"/>
                <w:szCs w:val="18"/>
                <w:b w:val="1"/>
                <w:bCs w:val="1"/>
                <w:color w:val="auto"/>
                <w:w w:val="89"/>
              </w:rPr>
              <w:t>Interest Earning Assets</w:t>
            </w:r>
          </w:p>
        </w:tc>
        <w:tc>
          <w:tcPr>
            <w:tcW w:w="300" w:type="dxa"/>
            <w:vAlign w:val="bottom"/>
          </w:tcPr>
          <w:p>
            <w:pPr>
              <w:spacing w:after="0"/>
              <w:rPr>
                <w:sz w:val="20"/>
                <w:szCs w:val="20"/>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 Volume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 Rate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gridSpan w:val="4"/>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center"/>
              <w:ind w:right="24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72,291</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81,604</w:t>
            </w:r>
          </w:p>
        </w:tc>
        <w:tc>
          <w:tcPr>
            <w:tcW w:w="38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(9,313)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3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(16,275)</w:t>
            </w:r>
          </w:p>
        </w:tc>
        <w:tc>
          <w:tcPr>
            <w:tcW w:w="12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(15,588)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(687)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8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56,016</w:t>
            </w:r>
          </w:p>
        </w:tc>
        <w:tc>
          <w:tcPr>
            <w:tcW w:w="3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66,016</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EEEEEE"/>
            </w:tcBorders>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20" w:type="dxa"/>
            <w:vAlign w:val="bottom"/>
            <w:gridSpan w:val="4"/>
          </w:tcPr>
          <w:p>
            <w:pPr>
              <w:jc w:val="center"/>
              <w:ind w:right="8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(1,925)</w:t>
            </w:r>
          </w:p>
        </w:tc>
        <w:tc>
          <w:tcPr>
            <w:tcW w:w="1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(2,631)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30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Debt secured by receivables measured at fair</w:t>
            </w:r>
          </w:p>
        </w:tc>
        <w:tc>
          <w:tcPr>
            <w:tcW w:w="3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5"/>
            <w:shd w:val="clear" w:color="auto" w:fill="EEEEEE"/>
          </w:tcPr>
          <w:p>
            <w:pPr>
              <w:ind w:left="160"/>
              <w:spacing w:after="0"/>
              <w:rPr>
                <w:sz w:val="20"/>
                <w:szCs w:val="20"/>
                <w:color w:val="auto"/>
              </w:rPr>
            </w:pPr>
            <w:r>
              <w:rPr>
                <w:rFonts w:ascii="Arial" w:cs="Arial" w:eastAsia="Arial" w:hAnsi="Arial"/>
                <w:sz w:val="18"/>
                <w:szCs w:val="18"/>
                <w:color w:val="auto"/>
              </w:rPr>
              <w:t>value</w:t>
            </w:r>
          </w:p>
        </w:tc>
        <w:tc>
          <w:tcPr>
            <w:tcW w:w="30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EEEEEE"/>
          </w:tcPr>
          <w:p>
            <w:pPr>
              <w:spacing w:after="0"/>
              <w:rPr>
                <w:sz w:val="20"/>
                <w:szCs w:val="20"/>
                <w:color w:val="auto"/>
              </w:rPr>
            </w:pPr>
          </w:p>
        </w:tc>
        <w:tc>
          <w:tcPr>
            <w:tcW w:w="1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(11,569)</w:t>
            </w:r>
          </w:p>
        </w:tc>
        <w:tc>
          <w:tcPr>
            <w:tcW w:w="1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(431)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3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(3,351)</w:t>
            </w:r>
          </w:p>
        </w:tc>
        <w:tc>
          <w:tcPr>
            <w:tcW w:w="12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18,843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(22,194)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(4,390)</w:t>
            </w:r>
          </w:p>
        </w:tc>
        <w:tc>
          <w:tcPr>
            <w:tcW w:w="1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(2,727)</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(1,663)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3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8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(21,243)</w:t>
            </w:r>
          </w:p>
        </w:tc>
        <w:tc>
          <w:tcPr>
            <w:tcW w:w="3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6,689</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(27,932)</w:t>
            </w:r>
          </w:p>
        </w:tc>
        <w:tc>
          <w:tcPr>
            <w:tcW w:w="120" w:type="dxa"/>
            <w:vAlign w:val="bottom"/>
            <w:tcBorders>
              <w:top w:val="single" w:sz="8" w:color="EEEEEE"/>
            </w:tcBorders>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86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0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77,259</w:t>
            </w:r>
          </w:p>
        </w:tc>
        <w:tc>
          <w:tcPr>
            <w:tcW w:w="3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59,327</w:t>
            </w:r>
          </w:p>
        </w:tc>
        <w:tc>
          <w:tcPr>
            <w:tcW w:w="1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17,932</w:t>
            </w:r>
          </w:p>
        </w:tc>
        <w:tc>
          <w:tcPr>
            <w:tcW w:w="120" w:type="dxa"/>
            <w:vAlign w:val="bottom"/>
            <w:tcBorders>
              <w:bottom w:val="single" w:sz="8" w:color="EEEEEE"/>
            </w:tcBorders>
            <w:shd w:val="clear" w:color="auto" w:fill="EEEEE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w w:val="99"/>
              </w:rPr>
              <w:t>48</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98" w:right="239" w:bottom="1440" w:gutter="0" w:footer="0" w:header="0"/>
        </w:sectPr>
      </w:pPr>
    </w:p>
    <w:bookmarkStart w:id="50" w:name="page51"/>
    <w:bookmarkEnd w:id="50"/>
    <w:p>
      <w:pPr>
        <w:ind w:right="20" w:firstLine="648"/>
        <w:spacing w:after="0" w:line="276" w:lineRule="auto"/>
        <w:rPr>
          <w:sz w:val="20"/>
          <w:szCs w:val="20"/>
          <w:color w:val="auto"/>
        </w:rPr>
      </w:pPr>
      <w:r>
        <w:rPr>
          <w:rFonts w:ascii="Arial" w:cs="Arial" w:eastAsia="Arial" w:hAnsi="Arial"/>
          <w:sz w:val="17"/>
          <w:szCs w:val="17"/>
          <w:color w:val="auto"/>
        </w:rPr>
        <w:t>Provision for credit losses was $76.9 million for the year ended December 31, 2013, an increase of $43.4 million, or 129.5% compared to the prior year and represented 36.5%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7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$2.7 million, or 25.3%, to $13.4 million during the year ended December 31, 2013, compared to $10.7 million in the prior year, and represented 6.3% of total operating expenses. For the year ended December 31, 2013, we purchased 48,995 contracts representing $764.1 million in receivables compared to 36,030 contracts representing $551.7 million in receivables in the prior year.</w:t>
      </w:r>
    </w:p>
    <w:p>
      <w:pPr>
        <w:spacing w:after="0" w:line="19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Occupancy expenses decreased by $286,000 or 9.9%, to $2.6 million compared to $2.9 million in the previous year and represented 1.2% of total operating expenses.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Depreciation and amortization expenses decreased by $106,000 or 19.5%, to $437,000 compared to $543,000 in the previous year and represented 0.2% of total operating expenses.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year ended December 31, 2013, we recorded income tax expense of $16.2 million, representing a 43.5% effective income tax rate. In the prior year, we recorded $2.6 million of net tax expense and reduced our valuation allowance for our deferred tax assets by $62.8 million, which resulted in a net tax benefit of $60.2 million. At December 31, 2012, we had reported five consecutive quarters of increasing profitability, observed improvement in credit metrics, and produced reliable internal financial projections. Furthermore, we had demonstrated an ability to increase our new contract purchases, grow our managed portfolio and obtain cost effective short- and long-term financing for our finance receivables. As a result of these and other factors, we determined at December 31, 2012 that, based on the weight of the available objective evidence, it was more likely than not that we would generate sufficient future taxable income to utilize our deferred tax assets. Accordingly, we reversed the related valuation allowance. However, if future events change our expected realization of our deferred tax assets, we may be required to reestablish the related valuation allowance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business requires substantial cash to support purchases of automobile contracts and other operating activities. Our primary sources of cash have been cash flow from operating activities, including proceeds from term securitization transactions and other sales of automobile contracts, amounts borrowed under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securitized portfolios of automobile contracts in which we have retained a residual ownership interest and the related spread accounts. Our primary uses of cash have been the purchases of automobile contracts, repayment of securitization trust debt, repayment of amounts borrowed under warehouse credit facilities, operating expenses such as employee, interest, occupancy expenses and other general and administrative expenses, the establishment of spread accounts and initial overcollateralization, if any, and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portfolios and their related spread accounts), the rate of expansion or contraction in our managed portfolio, and the terms upon which we are able to purchase, sell, and borrow against automobile contracts.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provided by operating activities for the years ended December 31, 2014, 2013 and 2012 was$135.8 million, $99.4 million and $35.0 million, respectively. Net cash from operating activities is generally provided by net income from operations adjusted for significant non-cash items such as our provision for credit losses, provision for contingent liabilities, accretion of deferred acquisition fees, the $10.9 million gain on cancellation of debt in 2013 and, in 2012, the net change in our deferred tax assets of $62.8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51" w:name="page52"/>
    <w:bookmarkEnd w:id="51"/>
    <w:p>
      <w:pPr>
        <w:ind w:right="140" w:firstLine="648"/>
        <w:spacing w:after="0" w:line="259" w:lineRule="auto"/>
        <w:rPr>
          <w:sz w:val="20"/>
          <w:szCs w:val="20"/>
          <w:color w:val="auto"/>
        </w:rPr>
      </w:pPr>
      <w:r>
        <w:rPr>
          <w:rFonts w:ascii="Arial" w:cs="Arial" w:eastAsia="Arial" w:hAnsi="Arial"/>
          <w:sz w:val="18"/>
          <w:szCs w:val="18"/>
          <w:color w:val="auto"/>
        </w:rPr>
        <w:t>Net cash used in investing activities for the years ended December 31, 2014, 2013 and 2012 was $541.2 million, $409.6 million and $91.5 million, respectively. Cash provided by investing activities primarily results from principal payments and other proceeds received on finance receivables held for investment. Cash used in investing activities generally relates to purchases of finance receivables. Purchases of finance receivables held for investment were $944.9 million, $764.1 million and $551.7 million in 2014, 2013 and 2012, respectively.</w:t>
      </w:r>
    </w:p>
    <w:p>
      <w:pPr>
        <w:spacing w:after="0" w:line="1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Net cash provided by financing activities for the years ended December 31, 2014, 2013 and 2012 was $401.1 million, $319.3 million and $59.4 million, respectively. Cash used or provided by financing activities is primarily attributable to the repayment or issuance of debt, and in particular, securitization trust debt and portfolio acquisition financing. We issued $923.0 million in new securitization trust debt in 2014 compared to$778.0 million in 2013 and $558.5 million in 2012. Repayments of securitization debt were $502.2 million, $382.6 million and $351.0 million in 2014, 2013 and 2012, respectively.</w:t>
      </w:r>
    </w:p>
    <w:p>
      <w:pPr>
        <w:spacing w:after="0" w:line="18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approximating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and may in the future be limited in our ability to purchase automobile contracts due to limits on our capital. As of December 31, 2014, we had unrestricted cash of $17.9 million. We had $76.4 million available under one warehouse credit facility and $66.7 million available under our second warehouse credit facility (advances from both facilities are subject to available eligible collateral). During 2014 we completed four securitizations aggregating $923.0 million of receivables, and we intend to continue completing securitizations regularly during 2015, although there can be no assurance that we will be able to do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defaults or net losses related to the automobile contracts in the pool are below certain predetermined levels. In the event delinquencies, defaults or net losses on the automobile contracts exceed such levels, the terms of the securitization:</w:t>
      </w:r>
    </w:p>
    <w:p>
      <w:pPr>
        <w:spacing w:after="0" w:line="2" w:lineRule="exact"/>
        <w:rPr>
          <w:sz w:val="20"/>
          <w:szCs w:val="20"/>
          <w:color w:val="auto"/>
        </w:rPr>
      </w:pPr>
    </w:p>
    <w:p>
      <w:pPr>
        <w:ind w:right="220" w:firstLine="8"/>
        <w:spacing w:after="0" w:line="273" w:lineRule="auto"/>
        <w:tabs>
          <w:tab w:leader="none" w:pos="2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may require increased credit enhancement to be accumulated for the particular pool; or (ii) in certain circumstances, may permit the transfer of servicing on some or all of the automobile contracts to another servicer. There can be no assurance that collections from the related trusts will continue to generate sufficient cash. Moreover, some of our spread account balances are pledged as collateral to our residual interest financing and, under certain circumstances, releases from our spread account balances could be diverted to repay such residual interest financing.</w:t>
      </w:r>
    </w:p>
    <w:p>
      <w:pPr>
        <w:spacing w:after="0" w:line="17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One of our securitization transactions, our warehouse credit facilities, our residual interest financing and our financing for the Fireside portfolio contain various financial covenants requiring certain minimum financial ratios and results. Such covenants include maintaining minimum levels of liquidity and net worth and not exceeding maximum leverage levels. In addition, some agreements contain cross-default provisions that would allow certain creditors to declare a default if a default occurred under a different facility. As of December 31, 2014, we were in compliance with all such covenants.</w:t>
      </w:r>
    </w:p>
    <w:p>
      <w:pPr>
        <w:spacing w:after="0" w:line="15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have and will continue to have a substantial amount of indebtedness. At December 31, 2014, we had approximately $1,684.1million of debt outstanding. Such debt consisted primarily of $1,598.5 million of securitization trust debt, and also included $1.3 million in debt for the acquisition of the Fireside portfolio, $56.8 million of warehouse lines of credit, $12.3 million of residual interest financing and $15.2 million in subordinated renewable notes. We are also currently offering the subordinated notes to the public on a continuous basis, and such notes have maturities that range from three months to 10 years.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ind w:right="40" w:firstLine="648"/>
        <w:spacing w:after="0" w:line="259" w:lineRule="auto"/>
        <w:rPr>
          <w:sz w:val="20"/>
          <w:szCs w:val="20"/>
          <w:color w:val="auto"/>
        </w:rPr>
      </w:pPr>
      <w:r>
        <w:rPr>
          <w:rFonts w:ascii="Arial" w:cs="Arial" w:eastAsia="Arial" w:hAnsi="Arial"/>
          <w:sz w:val="18"/>
          <w:szCs w:val="18"/>
          <w:color w:val="auto"/>
        </w:rPr>
        <w:t>Our recent operating results include pre-tax earnings of $52.2 million, $37.2 million and $9.2 million in 2014, 2013 and 2012, respectively,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187"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Failure to pay our indebtedness when due could have a material adverse effect and may require us to issue additional debt or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summarizes our material contractual obligations as of December 31, 2014 (dollars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w w:val="93"/>
              </w:rPr>
              <w:t>Payment Due by Period (1)</w:t>
            </w: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w w:val="88"/>
              </w:rPr>
              <w:t>Less than</w:t>
            </w:r>
          </w:p>
        </w:tc>
        <w:tc>
          <w:tcPr>
            <w:tcW w:w="1740" w:type="dxa"/>
            <w:vAlign w:val="bottom"/>
            <w:gridSpan w:val="3"/>
          </w:tcPr>
          <w:p>
            <w:pPr>
              <w:ind w:left="340"/>
              <w:spacing w:after="0" w:line="191" w:lineRule="exact"/>
              <w:rPr>
                <w:sz w:val="20"/>
                <w:szCs w:val="20"/>
                <w:color w:val="auto"/>
              </w:rPr>
            </w:pPr>
            <w:r>
              <w:rPr>
                <w:rFonts w:ascii="Arial" w:cs="Arial" w:eastAsia="Arial" w:hAnsi="Arial"/>
                <w:sz w:val="18"/>
                <w:szCs w:val="18"/>
                <w:b w:val="1"/>
                <w:bCs w:val="1"/>
                <w:color w:val="auto"/>
              </w:rPr>
              <w:t>2 to 3</w:t>
            </w:r>
          </w:p>
        </w:tc>
        <w:tc>
          <w:tcPr>
            <w:tcW w:w="126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4 to 5</w:t>
            </w:r>
          </w:p>
        </w:tc>
        <w:tc>
          <w:tcPr>
            <w:tcW w:w="1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1 Year</w:t>
            </w:r>
          </w:p>
        </w:tc>
        <w:tc>
          <w:tcPr>
            <w:tcW w:w="1740" w:type="dxa"/>
            <w:vAlign w:val="bottom"/>
            <w:gridSpan w:val="3"/>
          </w:tcPr>
          <w:p>
            <w:pPr>
              <w:ind w:left="360"/>
              <w:spacing w:after="0"/>
              <w:rPr>
                <w:sz w:val="20"/>
                <w:szCs w:val="20"/>
                <w:color w:val="auto"/>
              </w:rPr>
            </w:pPr>
            <w:r>
              <w:rPr>
                <w:rFonts w:ascii="Arial" w:cs="Arial" w:eastAsia="Arial" w:hAnsi="Arial"/>
                <w:sz w:val="18"/>
                <w:szCs w:val="18"/>
                <w:b w:val="1"/>
                <w:bCs w:val="1"/>
                <w:color w:val="auto"/>
              </w:rPr>
              <w:t>Years</w:t>
            </w: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5 Years</w:t>
            </w:r>
          </w:p>
        </w:tc>
      </w:tr>
      <w:tr>
        <w:trPr>
          <w:trHeight w:val="210"/>
        </w:trPr>
        <w:tc>
          <w:tcPr>
            <w:tcW w:w="20" w:type="dxa"/>
            <w:vAlign w:val="bottom"/>
          </w:tcPr>
          <w:p>
            <w:pPr>
              <w:spacing w:after="0"/>
              <w:rPr>
                <w:sz w:val="18"/>
                <w:szCs w:val="18"/>
                <w:color w:val="auto"/>
              </w:rPr>
            </w:pPr>
          </w:p>
        </w:tc>
        <w:tc>
          <w:tcPr>
            <w:tcW w:w="16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Long Term Debt (2)</w:t>
            </w:r>
          </w:p>
        </w:tc>
        <w:tc>
          <w:tcPr>
            <w:tcW w:w="2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27,560</w:t>
            </w:r>
          </w:p>
        </w:tc>
        <w:tc>
          <w:tcPr>
            <w:tcW w:w="3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10,359</w:t>
            </w:r>
          </w:p>
        </w:tc>
        <w:tc>
          <w:tcPr>
            <w:tcW w:w="32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9,607</w:t>
            </w:r>
          </w:p>
        </w:tc>
        <w:tc>
          <w:tcPr>
            <w:tcW w:w="3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6,166</w:t>
            </w:r>
          </w:p>
        </w:tc>
        <w:tc>
          <w:tcPr>
            <w:tcW w:w="34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Operating Leases</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11,383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3,695</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2,625</w:t>
            </w:r>
          </w:p>
        </w:tc>
        <w:tc>
          <w:tcPr>
            <w:tcW w:w="3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340" w:right="100" w:hanging="332"/>
        <w:spacing w:after="0" w:line="253" w:lineRule="auto"/>
        <w:tabs>
          <w:tab w:leader="none" w:pos="3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Securitization trust debt, in the aggregate amount of $1,598.5 million as of December 31, 2014, is omitted from this table because it becomes due as and when the related receivables balance is reduced by payments and charge-offs. Expected payments, which will depend on the performance of such receivables, as to which there can be no assurance, are $636.5 million in 2015, $468.3 million in 2016, $285.8 million in 2017, $143.2 million in 2018, $56.8 million in 2019, and $7.9 million in 2020. The $1.3 million in debt associated with the Fireside receivables acquisition was repaid in full in January 2015.</w:t>
      </w:r>
    </w:p>
    <w:p>
      <w:pPr>
        <w:spacing w:after="0" w:line="3" w:lineRule="exact"/>
        <w:rPr>
          <w:rFonts w:ascii="Arial" w:cs="Arial" w:eastAsia="Arial" w:hAnsi="Arial"/>
          <w:sz w:val="18"/>
          <w:szCs w:val="18"/>
          <w:i w:val="1"/>
          <w:iCs w:val="1"/>
          <w:color w:val="auto"/>
        </w:rPr>
      </w:pPr>
    </w:p>
    <w:p>
      <w:pPr>
        <w:ind w:left="340" w:hanging="332"/>
        <w:spacing w:after="0"/>
        <w:tabs>
          <w:tab w:leader="none" w:pos="3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includes residual interest debt, senior secured debt and subordinated renewable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debt that is due in 2015, we anticipate repaying it with a combination of cash flows from operations and the potential issuance of new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Facilities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terms on which credit has been available to us for purchase of automobile contracts have varied in recent years, as shown in the following summary of our warehouse credit facilities: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Facility Established in December 2010. </w:t>
      </w:r>
      <w:r>
        <w:rPr>
          <w:rFonts w:ascii="Arial" w:cs="Arial" w:eastAsia="Arial" w:hAnsi="Arial"/>
          <w:sz w:val="16"/>
          <w:szCs w:val="16"/>
          <w:color w:val="auto"/>
        </w:rPr>
        <w:t>In December 2010 we entered into a $100 million two-year warehouse credit line with affiliates of Goldman,</w:t>
      </w:r>
      <w:r>
        <w:rPr>
          <w:rFonts w:ascii="Arial" w:cs="Arial" w:eastAsia="Arial" w:hAnsi="Arial"/>
          <w:sz w:val="16"/>
          <w:szCs w:val="16"/>
          <w:i w:val="1"/>
          <w:iCs w:val="1"/>
          <w:color w:val="auto"/>
        </w:rPr>
        <w:t xml:space="preserve"> </w:t>
      </w:r>
      <w:r>
        <w:rPr>
          <w:rFonts w:ascii="Arial" w:cs="Arial" w:eastAsia="Arial" w:hAnsi="Arial"/>
          <w:sz w:val="16"/>
          <w:szCs w:val="16"/>
          <w:color w:val="auto"/>
        </w:rPr>
        <w:t>Sachs &amp; Co. and Fortress Investment Group. The facility is structured to allow us to fund a portion of the purchase price of automobile contracts by borrowing from a credit facility to our consolidated subsidiary Page Six Funding LLC. The facility provides for advances up to 88% of eligible finance receivables and the loans under it accrue interest at a rate of one-month LIBOR plus 5.73% per annum, with a minimum rate of 6.73% per annum. In March 2013, this facility was amended to extend the revolving period to March 2015 and to include an amortization period through March 2017 for any receivables pledged to the facility at the end of the revolving period. There was $23.6 million outstanding under this facility at December 31, 2014.</w:t>
      </w:r>
    </w:p>
    <w:p>
      <w:pPr>
        <w:spacing w:after="0" w:line="16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i w:val="1"/>
          <w:iCs w:val="1"/>
          <w:color w:val="auto"/>
        </w:rPr>
        <w:t xml:space="preserve">Facility Established in May 2012. </w:t>
      </w:r>
      <w:r>
        <w:rPr>
          <w:rFonts w:ascii="Arial" w:cs="Arial" w:eastAsia="Arial" w:hAnsi="Arial"/>
          <w:sz w:val="17"/>
          <w:szCs w:val="17"/>
          <w:color w:val="auto"/>
        </w:rPr>
        <w:t>On May 11, 2012, we entered into an additional $100 million one-year warehouse credit line with Citibank, N.A.</w:t>
      </w:r>
      <w:r>
        <w:rPr>
          <w:rFonts w:ascii="Arial" w:cs="Arial" w:eastAsia="Arial" w:hAnsi="Arial"/>
          <w:sz w:val="17"/>
          <w:szCs w:val="17"/>
          <w:i w:val="1"/>
          <w:iCs w:val="1"/>
          <w:color w:val="auto"/>
        </w:rPr>
        <w:t xml:space="preserve"> </w:t>
      </w:r>
      <w:r>
        <w:rPr>
          <w:rFonts w:ascii="Arial" w:cs="Arial" w:eastAsia="Arial" w:hAnsi="Arial"/>
          <w:sz w:val="17"/>
          <w:szCs w:val="17"/>
          <w:color w:val="auto"/>
        </w:rPr>
        <w:t>The facility is structured to allow us to fund a portion of the purchase price of automobile contracts by borrowing from a credit facility to our consolidated subsidiary Page Eight Funding, LLC. The facility provides for effective advances up to 88.0% of eligible finance receivables. The loans under the facility accrue interest at one-month LIBOR plus 5.50% per annum, with a minimum rate of 6.25% per annum. In August 2014, this facility was amended to extend the revolving period to August 2016 and to include an amortization period through August 2017 for any receivables pledged to the facility at the end of the revolving period. At December 31, 2014 there was $33.3 million outstanding under this facility.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Securitization trust debt is repaid from collections on the related receivables, and becomes due in accordance with its terms as the principal amount of the related receivables is reduced. Although the securitization trust debt also has alternative final maturity dates, those dates are significantly later than the dates at which repayment of the related receivables is anticipated, and at no time in our history have any of our sponsored asset-backed securities reached those alternative final maturities.</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transfer in securitization transactions, and the need to fund spread accounts and initial overcollateralization, if any, when those transactions take place, results in a continuing need for capital. The amount of capital required is most heavily dependent on the rate of our automobile contract purchases, the required level of initial credit enhancement in securitizations, and the extent to which the trusts and related spread accounts either release cash to us or capture cash from collections on securitized automobile contracts. We plan to adjust our levels of automobile contract purchases and the related capital requirements to match anticipated releases of cash from the trusts and related spread accounts.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w:t>
      </w:r>
    </w:p>
    <w:p>
      <w:pPr>
        <w:spacing w:after="0" w:line="22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Over the period from January 1, 2012 through December 31, 2014 we have managed our capitalization by issuing and refinancing debt as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1"/>
              </w:rPr>
              <w:t>Year Ended December 31,</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4"/>
          </w:tcPr>
          <w:p>
            <w:pPr>
              <w:ind w:left="24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FINANCING:</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Beginning balance</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19,096</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13,773</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Issuances</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(6,769)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(14,677)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19,096</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13,773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SECURITIZATION TRUST DEBT: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Beginning balance</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1,177,559</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792,497</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Issuances</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923,000</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778,000</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(502,193)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(382,591)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(350,981)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Amortization of discount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Cancellation of debt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(10,947)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1,598,496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1,177,559</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792,497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SENIOR SECURED DEBT, RELATED PARTY:</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Beginning balance</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38,559</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50,135</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Issuances</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5,284</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(39,182)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(18,852)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Debt discount net of amortization</w:t>
            </w: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623</w:t>
            </w: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1,992</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38,559</w:t>
            </w:r>
          </w:p>
        </w:tc>
        <w:tc>
          <w:tcPr>
            <w:tcW w:w="26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SUBORDINATED RENEWABLE NOTES: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w:t>
            </w:r>
          </w:p>
        </w:tc>
        <w:tc>
          <w:tcPr>
            <w:tcW w:w="62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19,142</w:t>
            </w:r>
          </w:p>
        </w:tc>
        <w:tc>
          <w:tcPr>
            <w:tcW w:w="6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23,281</w:t>
            </w:r>
          </w:p>
        </w:tc>
        <w:tc>
          <w:tcPr>
            <w:tcW w:w="4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Issuances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1,276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w:t>
            </w: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(4,488)</w:t>
            </w: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(5,415)</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15,233</w:t>
            </w:r>
          </w:p>
        </w:tc>
        <w:tc>
          <w:tcPr>
            <w:tcW w:w="10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26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23,281</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w w:val="98"/>
              </w:rPr>
              <w:t>DEBT SECURED BY RECEIVABLES MEASURED AT FAIR VALUE: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w:t>
            </w:r>
          </w:p>
        </w:tc>
        <w:tc>
          <w:tcPr>
            <w:tcW w:w="62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13,117</w:t>
            </w:r>
          </w:p>
        </w:tc>
        <w:tc>
          <w:tcPr>
            <w:tcW w:w="1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57,107</w:t>
            </w:r>
          </w:p>
        </w:tc>
        <w:tc>
          <w:tcPr>
            <w:tcW w:w="4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(12,456)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(45,969)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Accretion of premium</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712</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2,726</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Mark to fair value</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13,117</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57,107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99"/>
              </w:rPr>
              <w:t>52</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Residual Interest Financing.</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July 2007, we established a combination term and revolving residual credit facility and have used eligible residual interests in securitizations as collateral for floating rate borrowings. The amount that we were able to borrow was computed using an agreed valuation methodology of the residuals, subject to an overall maximum principal amount of $120 million, represented by (i) a $60 million Class A-1 variable funding note (the “revolving note”), and</w:t>
      </w:r>
    </w:p>
    <w:p>
      <w:pPr>
        <w:ind w:right="20" w:firstLine="8"/>
        <w:spacing w:after="0" w:line="267" w:lineRule="auto"/>
        <w:tabs>
          <w:tab w:leader="none" w:pos="26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$60 million Class A-2 term note (the “term note”). The term note was fully drawn in July 2007 and was originally due in July 2009. As of July 2008, we had drawn $26.8 million on the revolving note. The facility’s revolving feature expired in July 2008. On July 10, 2008 we amended the terms of the combination term and revolving residual credit facility, (i) eliminating the revolving feature and increasing the interest rate, (ii) consolidating the amounts then owing on the Class A-1 note with the Class A-2 note, (iii) establishing an amortization schedule for principal reductions on the Class A-2 note, and (iv) providing for an extension, at our option if certain conditions were met, of the Class A-2 note maturity from June 2009 to June 2010. In June 2009 we met all such conditions and extended the maturity. In conjunction with the amendment, we reduced the principal amount outstanding to $70 million by delivering to the lender (i) warrants valued as being equivalent to 2,500,000 common shares, or $4,071,429, and (ii) cash of $12,765,244. The warrants represent the right to purchase 2,500,000 CPS common shares at a nominal exercise price, at any time prior to July 10, 2018. In May 2010, we extended the maturity date from June 2010 to May 2011. In May 2011, we extended the maturity date of the facility from May 2011 to May 2012. In February 2012, we exchanged certain previously pledged residual interests with new, previously unpledged, residual interests and extended the maturity date to February 2013. In September 2012, the maturity date was again extended to September 2013 and the requirement for monthly principal repayments was eliminated if certain pool performance measures are met. This facility was repaid in full in September 2013.</w:t>
      </w:r>
    </w:p>
    <w:p>
      <w:pPr>
        <w:spacing w:after="0" w:line="185"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In April 2013, we established a five-year $20 million term residual facility. The facility is secured by eligible residual interests in two previously securitized pools of automobile receivables. The facility provides for effective advances up to 70.0% of the related borrowing base. Notes issued under the facility accrue interest at one-month LIBOR plus 11.75% per annum. At December 31, 2014, there was $12.3 million outstanding under this facility.</w:t>
      </w:r>
    </w:p>
    <w:p>
      <w:pPr>
        <w:spacing w:after="0" w:line="14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Securitization Trust Debt. </w:t>
      </w:r>
      <w:r>
        <w:rPr>
          <w:rFonts w:ascii="Arial" w:cs="Arial" w:eastAsia="Arial" w:hAnsi="Arial"/>
          <w:sz w:val="16"/>
          <w:szCs w:val="16"/>
          <w:color w:val="auto"/>
        </w:rPr>
        <w:t>From July 2003 through April 2008, we treated all securitizations of automobile contracts as secured financings for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accounting purposes, and the asset-backed securities issued in such securitizations remain on our consolidated balance sheet as securitization trust debt. Our September 2008 and the re-securitization of the remaining receivables from such transaction in September 2010 were each structured as a sale for financial accounting purposes and the asset-backed securities issued in those transactions have not been and are not on our consolidated balance sheet. Since 2011 all 15 of our securitizations have been treated as secured financings and make up $1,598.5 million of our securitization trust debt at December 31, 2014.</w:t>
      </w:r>
    </w:p>
    <w:p>
      <w:pPr>
        <w:spacing w:after="0" w:line="15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 xml:space="preserve">Senior Secured Debt. </w:t>
      </w:r>
      <w:r>
        <w:rPr>
          <w:rFonts w:ascii="Arial" w:cs="Arial" w:eastAsia="Arial" w:hAnsi="Arial"/>
          <w:sz w:val="16"/>
          <w:szCs w:val="16"/>
          <w:color w:val="auto"/>
        </w:rPr>
        <w:t>From 1998 to 2005, we entered into a series of financing transactions with Levine Leichtman Capital Partners II, L.P. In July</w:t>
      </w:r>
      <w:r>
        <w:rPr>
          <w:rFonts w:ascii="Arial" w:cs="Arial" w:eastAsia="Arial" w:hAnsi="Arial"/>
          <w:sz w:val="16"/>
          <w:szCs w:val="16"/>
          <w:i w:val="1"/>
          <w:iCs w:val="1"/>
          <w:color w:val="auto"/>
        </w:rPr>
        <w:t xml:space="preserve"> </w:t>
      </w:r>
      <w:r>
        <w:rPr>
          <w:rFonts w:ascii="Arial" w:cs="Arial" w:eastAsia="Arial" w:hAnsi="Arial"/>
          <w:sz w:val="16"/>
          <w:szCs w:val="16"/>
          <w:color w:val="auto"/>
        </w:rPr>
        <w:t>2007 we repaid the final amounts due under these financing transactions. On June 30, 2008, we entered into a series of agreements pursuant to which an affiliate of Levine Leichtman Capital Partners purchased a $10 million five-year, fixed rate, senior secured note from us. The indebtedness is secured by substantially all of our assets, though not by the assets of our special-purpose financing subsidiaries. In July 2008, in conjunction with the amendment of the residual interest financing as discussed above, the lender purchased an additional $15 million note with substantially the same terms as the $10 million note. Pursuant to the June 30, 2008 securities purchase agreement, we issued to the lender 1,225,000 shares of common stock. In addition, we issued the lender two warrants: (i) warrants that we refer to as the FMV Warrants, which are exercisable for 1,611,114 shares of our common stock, at an exercise price of $1.39818 per share, and (ii) warrants that we refer to as the N Warrants, which are exercisable for 285,781 shares of our common stock, at a nominal exercise price. Both the FMV Warrants and the N Warrants are exercisable in whole or in part and at any time up to and including June 30, 2018. We valued the warrants using the Black-Scholes valuation model and recorded their value as a liability on our consolidated balance sheet because the terms of the warrants also included a provision whereby the lender could require us to purchase the warrants for cash. That provision was eliminated by mutual agreement in September 2008. The FMV Warrants were initially exercisable to purchase 1,500,000 shares for $2.573 per share, were adjusted in connection with the July 2008 issuance of other warrants to become exercisable to purchase 1,564,324 shares at $2.4672 per share, and were further adjusted in connection with a July 2009 amendment of our option plan to become exercisable at $1.44 per share. Upon issuance in September 2009 of the Fortress Warrant, the FMV Warrant was further adjusted to become exercisable to purchase 1,600,991 shares at an exercise price of $1.407 per share. Upon issuance in March 2010 of the Page Five Warrant, the FMV Warrant was further adjusted to become exercisable to purchase 1,611,114 shares at an exercise price of $1.39818 per share. All of the FMV Warrants and N Warrants were exercised in November 2013 and are no longer outstanding.</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98" w:right="259" w:bottom="1440" w:gutter="0" w:footer="0" w:header="0"/>
        </w:sectPr>
      </w:pPr>
    </w:p>
    <w:bookmarkStart w:id="55" w:name="page56"/>
    <w:bookmarkEnd w:id="55"/>
    <w:p>
      <w:pPr>
        <w:ind w:left="660"/>
        <w:spacing w:after="0"/>
        <w:rPr>
          <w:sz w:val="20"/>
          <w:szCs w:val="20"/>
          <w:color w:val="auto"/>
        </w:rPr>
      </w:pPr>
      <w:r>
        <w:rPr>
          <w:rFonts w:ascii="Arial" w:cs="Arial" w:eastAsia="Arial" w:hAnsi="Arial"/>
          <w:sz w:val="16"/>
          <w:szCs w:val="16"/>
          <w:color w:val="auto"/>
        </w:rPr>
        <w:t>In November 2009 we entered into an additional agreement with this lender whereby they purchased an additional $5 million note. The note accrued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interest at 15.0% and was repaid in December 2010 at which time the lender purchased a new $27.8 million note under substantially the same terms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and $15 million notes already outstanding. The $27.8 million note accrued interest at 16.0% and matured in December 2013. Concurrent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of the $27.8 million note, the term $10 million and $15 million notes were amended to change their maturity dates to December 2013. In conjunction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issuance of the $27.8 million note, we issued to the lender 880,000 shares of common stock and 1,870 shares of Series B convertible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share of the Series B convertible preferred stock was exchanged for 1,000 shares of our common stock on June 15, 2011, upon shareholder approval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exchange. At the time of issuance, the value of the common stock and Series B preferred stock was $753,000 and $1.6 million, respectively. On March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31, 2011, we sold an additional $5 million note due February 29, 2012 to LLCP. In April 2011 we purchased from LLCP a portion of an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subordinated note issued by our CPS Cayman Residual Trust 2008-A, and financed that purchase by issuing to LLCP a new $3 million note which was fully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repaid in June 2012. In November 2011, we sold an additional $5 million note which was fully repaid in October 2012. In February 2012, we extended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maturity of the $5 million note that was originally due in February 2012 to March 2012 when it was repaid in full. In April 2013 we repaid the $15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note, reduced the interest rates on the remaining notes from 14.0% to 13.0% per annum and extended the maturity of the remaining notes to June 30, 2014.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2014 we repaid the $10 million note and in March 2014 we repaid the remaining notes aggregating $28.9 million.</w:t>
      </w:r>
    </w:p>
    <w:p>
      <w:pPr>
        <w:spacing w:after="0" w:line="2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Subordinated Renewable Notes Debt. </w:t>
      </w:r>
      <w:r>
        <w:rPr>
          <w:rFonts w:ascii="Arial" w:cs="Arial" w:eastAsia="Arial" w:hAnsi="Arial"/>
          <w:sz w:val="18"/>
          <w:szCs w:val="18"/>
          <w:color w:val="auto"/>
        </w:rPr>
        <w:t>In June 2005, we began issuing registered subordinated renewable notes in an ongoing offering to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Upon maturity, the notes are automatically renewed for the same term as the maturing notes, unless we repay the notes or the investor notifies us within 15 days after the maturity date of his note that he wants it repaid. Renewed notes bear interest at the rate we are offering at that time to other investors with similar note maturities. Based on the terms of the individual notes, interest payments may be required monthly, quarterly, annually or upon maturity. At December 31, 2014 there were $15.2 million of such notes outstanding.</w:t>
      </w:r>
    </w:p>
    <w:p>
      <w:pPr>
        <w:spacing w:after="0" w:line="18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must comply with certain affirmative and negative covenants related to debt facilities, which require, among other things, that we maintain certain financial ratios related to liquidity, net worth, capitalization, investments, acquisitions, restricted payments and certain dividend restrictions. In addition, certain securitization and non-securitization related debt contain cross-default provisions that would allow certain creditors to declare default if a default occurred under a different facility. As of December 31, 2014,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report on Form 10-K includes certain "forward-looking statements". Forward-looking statements may be identified by the use of words such as "anticipates," "expects," "plans," "estimates," or words of like meaning. As to the specifically identified forward-looking statements, factors that could affect charge-offs and recovery rates include changes in the general economic climate, which could affect the willingness or ability of obligors to pay pursuant to the terms of contracts, changes in laws respecting consumer finance, which could affect our ability to enforce rights under contracts, and changes in the market for used vehicles, which could affect the levels of recoveries upon sale of repossessed vehicles. Factors that could affect our revenues in the current year include the levels of cash releases from existing pools of contracts, which would affect our ability to purchase contracts, the terms on which we are able to finance such purchases, the willingness of dealers to sell contracts to us on the terms that it offers, and the terms on which we are able to complete term securitizations once contracts are acquired. Factors that could affect our expenses in the current year include competitive conditions in the market for qualified personnel, investor demand for asset-backed securities and interest rates (which affect the rates that we pay on asset-backed securities issued in our securitizations). The statements concerning structuring securitization transactions as secured financings and the effects of such structures on financial items and on future profitability also are forward-looking statements. Any change to the structure of our securitization transaction could cause such forward-looking statements not to be accurate. Both the amount of the effect of the change in structure on our profitability and the duration of the period in which our profitability would be affected by the change in securitization structure are estimates. The accuracy of such estimates will be affected by the rate at which we purchase and sell contracts, any changes in that rate, the credit performance of such contracts, the financial terms of future securitizations, any changes in such terms over time, and other factors that generally affect our profitability.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From July 2003 through April 2008 all of our securitizations were structured as secured financings for financial accounting purposes. In September 2008, we securitized $198.7 million of our automobile contracts in a structure that is treated as a sale of the receivables for financial accounting purposes. The terms of the September 2008 securitization provided for us (1) to continue servicing the sold portfolio, (2) to retain a 5.0% interest in the bonds issued by the trust to which we sold the automobile contracts and (3) to earn additional compensation contingent upon (a) the return to the holders of the senior bonds issued by the trust reaching certain targets or (b) “lifetime” cumulative net charge-offs on the automobile contracts being below a pre-determined level. In September 2010 we re-securitized the remaining receivables from the September 2008 transaction in a similar "off balance sheet" structure. The September 2010 transaction is treated as a sale of the receivables for financial accounting purposes. See "Critical Accounting Policies" for a detailed discussion of our securitization structure.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are subject to interest rate risk during the period between when contracts are purchased from dealers and when such contracts become part of a term securitization. Specifically, the interest rate due on our warehouse credit facilities are adjustable while the interest rates on the contracts are fixed. Therefore, if interest rates increase, the interest we must pay to our lenders under warehouse credit facilities is likely to increase while the interest we receive from warehoused automobile contracts remains the same. As a result, excess spread cash flow would likely decrease during the warehousing period. Additionally, automobile contracts warehoused and then securitized during a rising interest rate environment may result in less excess spread cash flow to us. Historically, our securitization facilities have paid fixed rate interest to security holders set at prevailing interest rates at the time of the closing of the securitization, which may not take place until several months after we purchased those contracts. Our customers, on the other hand, pay fixed rates of interest on the automobile contracts, set at the time they purchase the underlying vehicles. A decrease in excess spread cash flow could adversely affect our earnings and cash flow.</w:t>
      </w:r>
    </w:p>
    <w:p>
      <w:pPr>
        <w:spacing w:after="0" w:line="19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To mitigate, but not eliminate, the short-term risk relating to interest rates payable under the warehouse facilities, we have historically held automobile contracts in the warehouse credit facilities for less than four months. To mitigate, but not eliminate, the long-term risk relating to interest rates payable by us in securitizations, we have structured our term securitization transactions to include pre-funding structures, whereby the amount of notes issued exceeds the amount of contracts initially sold to the trusts. We expect to continue to use pre-funding structures in our securitizations. In pre-funding, the proceeds from the pre-funded portion are held in an escrow account until we sell the additional contracts to the trust. In pre-funded securitizations, we lock in the borrowing costs with respect to the contracts we subsequently deliver to the securitization trust. However, we incur an expense in pre-funded securitizations equal to the difference between the money market yields earned on the proceeds held in escrow prior to subsequent delivery of contracts and the interest rate paid on the notes outstanding. The amount of such expense may vary. Despite these mitigation strategies, an increase in prevailing interest rates would cause us to receive less excess spread cash flows on automobile contracts, and thus could adversely affect our earnings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This report includes Consolidated Financial Statements, notes thereto and an Independent Auditors’ Report, at the pages indicated below, in the "Index to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Under the supervision and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management of the Company has evaluated the effectiveness of the design and operation of the Company’s disclosure controls and procedures, as defined in Rules 13a-15(e) and 15d-15(e) under the Securities Exchange Act of 1934 (the "Exchange Act") as of December 31, 2014 (the "Evaluation Date"). Based upon that evaluation, the Chief Executive Officer and Chief Financial Officer concluded that, as of the Evaluation Date, the Company’s disclosure controls and procedures are effective (i) to ensure that information required to be disclosed by us in reports that the Company files or submits under the Exchange Act is recorded, processed, summarized and reported within the time periods specified in the rules and forms of the Securities and Exchange Commission; and (ii) to ensure that information required to be disclosed in the reports that the Company files or submits under the Exchange Act is accumulated and communicated to our management, including the Company’s Chief Executive Officer and Chief Financial Officer, to allow timely decisions regarding required disclosures. The certifications of our chief executive officer and chief financial officer required under Section 302 of the Sarbanes-Oxley Act have been filed as Exhibits 31.1 and 31.2 to this report.</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Internal Control. </w:t>
      </w:r>
      <w:r>
        <w:rPr>
          <w:rFonts w:ascii="Arial" w:cs="Arial" w:eastAsia="Arial" w:hAnsi="Arial"/>
          <w:sz w:val="18"/>
          <w:szCs w:val="18"/>
          <w:color w:val="auto"/>
        </w:rPr>
        <w:t>Management’s Report on Internal Control over Financial Reporting is included in this Annual Report, immediately below.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quarter ended December 31, 2014, there were no changes in our internal control over financial reporting that have materially affected, or are reasonably likely to materially affect, our internal control over financial reporting.</w:t>
      </w:r>
    </w:p>
    <w:p>
      <w:pPr>
        <w:spacing w:after="0" w:line="181"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We are responsible for establishing and maintaining adequate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over financial reporting as defined in Rule 13a-15(f) under the Securities Exchange Act of 1934. Our internal control over financial reporting is designed to provide reasonable assurance to our management and Board of Directors regarding the preparation and fair presentation of published financial statements.</w:t>
      </w:r>
    </w:p>
    <w:p>
      <w:pPr>
        <w:spacing w:after="0" w:line="147" w:lineRule="exact"/>
        <w:rPr>
          <w:sz w:val="20"/>
          <w:szCs w:val="20"/>
          <w:color w:val="auto"/>
        </w:rPr>
      </w:pPr>
    </w:p>
    <w:p>
      <w:pPr>
        <w:jc w:val="both"/>
        <w:ind w:right="140" w:firstLine="648"/>
        <w:spacing w:after="0" w:line="30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only provide reasonable assurance with respect to financial statement preparation and presentation.</w:t>
      </w:r>
    </w:p>
    <w:p>
      <w:pPr>
        <w:spacing w:after="0" w:line="14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with the participation of the chief executive and chief financial officers, assessed the effectiveness of our internal control over financial reporting as of December 31, 2014. In making this assessment, we used the criteria set forth by the Committee of Sponsoring Organizations of the Treadway Commission (COSO) in the 2013 Internal Control — Integrated Framework. Based on this assessment, management, with the participation of the chief executive and chief financial officers, believes that, as of December 31, 2014, our internal control over financial reporting is effective based on those criteria.</w:t>
      </w:r>
    </w:p>
    <w:p>
      <w:pPr>
        <w:spacing w:after="0" w:line="15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internal control over financial reporting as of December 31, 2014, has been audited by Crowe Horwath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center"/>
        <w:ind w:right="-2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regarding directors of the registrant is incorporated by reference to the registrant’s definitive proxy statement for its annual meeting of shareholders to be held in 2015 (the "2015 Proxy Statement"). The 2015 Proxy Statement will be filed not later than April 30, 2015. Information regarding executive officers of the registrant appears in Part I of this report,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2015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2015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2015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2015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877" w:right="4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financial statements listed below under the caption "Index to Financial Statements" are filed as a part of this report. No financial statement schedules are filed as the required information is inapplicable or the information is presented in the Consolidated Financial Statements or the related notes. Separate financial statements of the Company have been omitted as the Company is primarily an operating company and its subsidiaries are wholly owned and do not have minority equity interests held by any person other than the Company in amounts that together exceed 5% of the total consolidated assets as shown by the most recent year-end Consolidated Balance Sheet.</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exhibits listed below are filed as part of this report, whether filed herewith or incorporated by reference to an exhibit filed with the report identified in the parentheses following the description of such exhibit. Unless otherwise indicated, each such identified report was filed by or with respect to the registrant.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3"/>
          </w:tcPr>
          <w:p>
            <w:pPr>
              <w:spacing w:after="0"/>
              <w:rPr>
                <w:sz w:val="20"/>
                <w:szCs w:val="20"/>
                <w:color w:val="auto"/>
              </w:rPr>
            </w:pPr>
            <w:r>
              <w:rPr>
                <w:rFonts w:ascii="Arial" w:cs="Arial" w:eastAsia="Arial" w:hAnsi="Arial"/>
                <w:sz w:val="18"/>
                <w:szCs w:val="18"/>
                <w:i w:val="1"/>
                <w:iCs w:val="1"/>
                <w:color w:val="auto"/>
              </w:rPr>
              <w:t>Exhibit</w:t>
            </w:r>
          </w:p>
        </w:tc>
        <w:tc>
          <w:tcPr>
            <w:tcW w:w="10500" w:type="dxa"/>
            <w:vAlign w:val="bottom"/>
          </w:tcPr>
          <w:p>
            <w:pPr>
              <w:spacing w:after="0"/>
              <w:rPr>
                <w:sz w:val="18"/>
                <w:szCs w:val="18"/>
                <w:color w:val="auto"/>
              </w:rPr>
            </w:pPr>
          </w:p>
        </w:tc>
      </w:tr>
      <w:tr>
        <w:trPr>
          <w:trHeight w:val="230"/>
        </w:trPr>
        <w:tc>
          <w:tcPr>
            <w:tcW w:w="920" w:type="dxa"/>
            <w:vAlign w:val="bottom"/>
            <w:gridSpan w:val="3"/>
          </w:tcPr>
          <w:p>
            <w:pPr>
              <w:spacing w:after="0"/>
              <w:rPr>
                <w:sz w:val="20"/>
                <w:szCs w:val="20"/>
                <w:color w:val="auto"/>
              </w:rPr>
            </w:pPr>
            <w:r>
              <w:rPr>
                <w:rFonts w:ascii="Arial" w:cs="Arial" w:eastAsia="Arial" w:hAnsi="Arial"/>
                <w:sz w:val="18"/>
                <w:szCs w:val="18"/>
                <w:i w:val="1"/>
                <w:iCs w:val="1"/>
                <w:color w:val="auto"/>
              </w:rPr>
              <w:t>Number</w:t>
            </w:r>
          </w:p>
        </w:tc>
        <w:tc>
          <w:tcPr>
            <w:tcW w:w="10500" w:type="dxa"/>
            <w:vAlign w:val="bottom"/>
          </w:tcPr>
          <w:p>
            <w:pPr>
              <w:spacing w:after="0"/>
              <w:rPr>
                <w:sz w:val="20"/>
                <w:szCs w:val="20"/>
                <w:color w:val="auto"/>
              </w:rPr>
            </w:pPr>
            <w:r>
              <w:rPr>
                <w:rFonts w:ascii="Arial" w:cs="Arial" w:eastAsia="Arial" w:hAnsi="Arial"/>
                <w:sz w:val="18"/>
                <w:szCs w:val="18"/>
                <w:i w:val="1"/>
                <w:iCs w:val="1"/>
                <w:color w:val="auto"/>
              </w:rPr>
              <w:t>Description  (“**” indicates compensatory plan or agreement.)</w:t>
            </w:r>
          </w:p>
        </w:tc>
      </w:tr>
      <w:tr>
        <w:trPr>
          <w:trHeight w:val="195"/>
        </w:trPr>
        <w:tc>
          <w:tcPr>
            <w:tcW w:w="20" w:type="dxa"/>
            <w:vAlign w:val="bottom"/>
          </w:tcPr>
          <w:p>
            <w:pPr>
              <w:spacing w:after="0"/>
              <w:rPr>
                <w:sz w:val="16"/>
                <w:szCs w:val="16"/>
                <w:color w:val="auto"/>
              </w:rPr>
            </w:pPr>
          </w:p>
        </w:tc>
        <w:tc>
          <w:tcPr>
            <w:tcW w:w="800" w:type="dxa"/>
            <w:vAlign w:val="bottom"/>
            <w:tcBorders>
              <w:top w:val="single" w:sz="8" w:color="auto"/>
            </w:tcBorders>
            <w:shd w:val="clear" w:color="auto" w:fill="EEEEEE"/>
          </w:tcPr>
          <w:p>
            <w:pPr>
              <w:spacing w:after="0" w:line="195" w:lineRule="exact"/>
              <w:rPr>
                <w:sz w:val="20"/>
                <w:szCs w:val="20"/>
                <w:color w:val="auto"/>
              </w:rPr>
            </w:pPr>
            <w:r>
              <w:rPr>
                <w:rFonts w:ascii="Arial" w:cs="Arial" w:eastAsia="Arial" w:hAnsi="Arial"/>
                <w:sz w:val="18"/>
                <w:szCs w:val="18"/>
                <w:color w:val="auto"/>
              </w:rPr>
              <w:t>2.1</w:t>
            </w:r>
          </w:p>
        </w:tc>
        <w:tc>
          <w:tcPr>
            <w:tcW w:w="100" w:type="dxa"/>
            <w:vAlign w:val="bottom"/>
            <w:tcBorders>
              <w:top w:val="single" w:sz="8" w:color="EEEEEE"/>
            </w:tcBorders>
            <w:shd w:val="clear" w:color="auto" w:fill="EEEEEE"/>
          </w:tcPr>
          <w:p>
            <w:pPr>
              <w:spacing w:after="0"/>
              <w:rPr>
                <w:sz w:val="16"/>
                <w:szCs w:val="16"/>
                <w:color w:val="auto"/>
              </w:rPr>
            </w:pPr>
          </w:p>
        </w:tc>
        <w:tc>
          <w:tcPr>
            <w:tcW w:w="10500" w:type="dxa"/>
            <w:vAlign w:val="bottom"/>
            <w:tcBorders>
              <w:top w:val="single" w:sz="8" w:color="auto"/>
            </w:tcBorders>
            <w:shd w:val="clear" w:color="auto" w:fill="EEEEEE"/>
          </w:tcPr>
          <w:p>
            <w:pPr>
              <w:spacing w:after="0" w:line="195" w:lineRule="exact"/>
              <w:rPr>
                <w:sz w:val="20"/>
                <w:szCs w:val="20"/>
                <w:color w:val="auto"/>
              </w:rPr>
            </w:pPr>
            <w:r>
              <w:rPr>
                <w:rFonts w:ascii="Arial" w:cs="Arial" w:eastAsia="Arial" w:hAnsi="Arial"/>
                <w:sz w:val="18"/>
                <w:szCs w:val="18"/>
                <w:color w:val="auto"/>
                <w:w w:val="96"/>
              </w:rPr>
              <w:t>Agreement and Plan of Merger, dated as of November 18, 2001, by and among the Registrant, CPS Mergersub, Inc. and MFN Financial</w:t>
            </w:r>
          </w:p>
        </w:tc>
      </w:tr>
      <w:tr>
        <w:trPr>
          <w:trHeight w:val="237"/>
        </w:trPr>
        <w:tc>
          <w:tcPr>
            <w:tcW w:w="20" w:type="dxa"/>
            <w:vAlign w:val="bottom"/>
          </w:tcPr>
          <w:p>
            <w:pPr>
              <w:spacing w:after="0"/>
              <w:rPr>
                <w:sz w:val="20"/>
                <w:szCs w:val="20"/>
                <w:color w:val="auto"/>
              </w:rPr>
            </w:pPr>
          </w:p>
        </w:tc>
        <w:tc>
          <w:tcPr>
            <w:tcW w:w="800" w:type="dxa"/>
            <w:vAlign w:val="bottom"/>
            <w:tcBorders>
              <w:bottom w:val="single" w:sz="8" w:color="EEEEEE"/>
            </w:tcBorders>
            <w:shd w:val="clear" w:color="auto" w:fill="EEEEEE"/>
          </w:tcPr>
          <w:p>
            <w:pPr>
              <w:spacing w:after="0"/>
              <w:rPr>
                <w:sz w:val="20"/>
                <w:szCs w:val="20"/>
                <w:color w:val="auto"/>
              </w:rPr>
            </w:pPr>
          </w:p>
        </w:tc>
        <w:tc>
          <w:tcPr>
            <w:tcW w:w="100" w:type="dxa"/>
            <w:vAlign w:val="bottom"/>
            <w:tcBorders>
              <w:bottom w:val="single" w:sz="8" w:color="EEEEEE"/>
            </w:tcBorders>
            <w:shd w:val="clear" w:color="auto" w:fill="EEEEEE"/>
          </w:tcPr>
          <w:p>
            <w:pPr>
              <w:spacing w:after="0"/>
              <w:rPr>
                <w:sz w:val="20"/>
                <w:szCs w:val="20"/>
                <w:color w:val="auto"/>
              </w:rPr>
            </w:pPr>
          </w:p>
        </w:tc>
        <w:tc>
          <w:tcPr>
            <w:tcW w:w="105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Corporation. (Exhibit 2.1 to Form 8-K filed on November 19, 2001 by MFN Financial Corporation)</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Restated Articles of Incorporation (Exhibit 3.1 to Form 10-K filed March 31, 2009)</w:t>
            </w:r>
          </w:p>
        </w:tc>
      </w:tr>
      <w:tr>
        <w:trPr>
          <w:trHeight w:val="256"/>
        </w:trPr>
        <w:tc>
          <w:tcPr>
            <w:tcW w:w="20" w:type="dxa"/>
            <w:vAlign w:val="bottom"/>
          </w:tcPr>
          <w:p>
            <w:pPr>
              <w:spacing w:after="0"/>
              <w:rPr>
                <w:sz w:val="22"/>
                <w:szCs w:val="22"/>
                <w:color w:val="auto"/>
              </w:rPr>
            </w:pPr>
          </w:p>
        </w:tc>
        <w:tc>
          <w:tcPr>
            <w:tcW w:w="800" w:type="dxa"/>
            <w:vAlign w:val="bottom"/>
            <w:shd w:val="clear" w:color="auto" w:fill="EEEEEE"/>
          </w:tcPr>
          <w:p>
            <w:pPr>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EEEEEE"/>
          </w:tcPr>
          <w:p>
            <w:pPr>
              <w:spacing w:after="0"/>
              <w:rPr>
                <w:sz w:val="22"/>
                <w:szCs w:val="22"/>
                <w:color w:val="auto"/>
              </w:rPr>
            </w:pPr>
          </w:p>
        </w:tc>
        <w:tc>
          <w:tcPr>
            <w:tcW w:w="10500" w:type="dxa"/>
            <w:vAlign w:val="bottom"/>
            <w:shd w:val="clear" w:color="auto" w:fill="EEEEEE"/>
          </w:tcPr>
          <w:p>
            <w:pPr>
              <w:spacing w:after="0"/>
              <w:rPr>
                <w:sz w:val="20"/>
                <w:szCs w:val="20"/>
                <w:color w:val="auto"/>
              </w:rPr>
            </w:pPr>
            <w:r>
              <w:rPr>
                <w:rFonts w:ascii="Arial" w:cs="Arial" w:eastAsia="Arial" w:hAnsi="Arial"/>
                <w:sz w:val="18"/>
                <w:szCs w:val="18"/>
                <w:color w:val="auto"/>
              </w:rPr>
              <w:t>Certificate of Designation re Series B Preferred (Exhibit 3.1.1 to Form 8-K filed by the registrant on December 30, 2010)</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Amended and Restated Bylaws (Exhibit 3.3 to Form 8-K filed July 20, 2009)</w:t>
            </w:r>
          </w:p>
        </w:tc>
      </w:tr>
    </w:tbl>
    <w:p>
      <w:pPr>
        <w:ind w:left="920" w:right="240" w:hanging="912"/>
        <w:spacing w:after="0" w:line="260"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Instruments defining the rights of holders of long-term debt of certain consolidated subsidiaries of the registrant are omitted pursuant to the exclusion set forth in subdivisions (b)(iv)(iii)(A) and (b)(v) of Item 601 of Regulation S-K (17 CFR 229.601). The registrant agrees to provide copies of such instruments to the United States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428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40" w:type="dxa"/>
            <w:vAlign w:val="bottom"/>
            <w:gridSpan w:val="2"/>
          </w:tcPr>
          <w:p>
            <w:pPr>
              <w:spacing w:after="0"/>
              <w:rPr>
                <w:sz w:val="20"/>
                <w:szCs w:val="20"/>
                <w:color w:val="auto"/>
              </w:rPr>
            </w:pPr>
            <w:r>
              <w:rPr>
                <w:rFonts w:ascii="Arial" w:cs="Arial" w:eastAsia="Arial" w:hAnsi="Arial"/>
                <w:sz w:val="18"/>
                <w:szCs w:val="18"/>
                <w:color w:val="auto"/>
              </w:rPr>
              <w:t>4.1</w:t>
            </w:r>
          </w:p>
        </w:tc>
        <w:tc>
          <w:tcPr>
            <w:tcW w:w="10780" w:type="dxa"/>
            <w:vAlign w:val="bottom"/>
          </w:tcPr>
          <w:p>
            <w:pPr>
              <w:ind w:left="280"/>
              <w:spacing w:after="0"/>
              <w:rPr>
                <w:sz w:val="20"/>
                <w:szCs w:val="20"/>
                <w:color w:val="auto"/>
              </w:rPr>
            </w:pPr>
            <w:r>
              <w:rPr>
                <w:rFonts w:ascii="Arial" w:cs="Arial" w:eastAsia="Arial" w:hAnsi="Arial"/>
                <w:sz w:val="18"/>
                <w:szCs w:val="18"/>
                <w:color w:val="auto"/>
              </w:rPr>
              <w:t>Form of Indenture re Renewable Unsecured Subordinated Notes (“RUS Notes”). (Exhibit 4.1 to Form S-2, no. 333-121913)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10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4.2.1</w:t>
            </w:r>
          </w:p>
        </w:tc>
        <w:tc>
          <w:tcPr>
            <w:tcW w:w="107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Form of RUS Notes (Exhibit 4.2 to Form S-2, no. 333-121913)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4.3</w:t>
            </w:r>
          </w:p>
        </w:tc>
        <w:tc>
          <w:tcPr>
            <w:tcW w:w="10780" w:type="dxa"/>
            <w:vAlign w:val="bottom"/>
          </w:tcPr>
          <w:p>
            <w:pPr>
              <w:ind w:left="280"/>
              <w:spacing w:after="0"/>
              <w:rPr>
                <w:sz w:val="20"/>
                <w:szCs w:val="20"/>
                <w:color w:val="auto"/>
              </w:rPr>
            </w:pPr>
            <w:r>
              <w:rPr>
                <w:rFonts w:ascii="Arial" w:cs="Arial" w:eastAsia="Arial" w:hAnsi="Arial"/>
                <w:sz w:val="18"/>
                <w:szCs w:val="18"/>
                <w:color w:val="auto"/>
                <w:w w:val="98"/>
              </w:rPr>
              <w:t>Form of Indenture re additional Renewable Unsecured Subordinated Notes (“ARUS Notes”) (Exhibit 4.1 to Form S-1, no. 333-168976)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4.3.1</w:t>
            </w:r>
          </w:p>
        </w:tc>
        <w:tc>
          <w:tcPr>
            <w:tcW w:w="107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Form of ARUS Notes (Exhibit 4.2 to Form S-1, no. 333-168976)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4.4</w:t>
            </w:r>
          </w:p>
        </w:tc>
        <w:tc>
          <w:tcPr>
            <w:tcW w:w="10780" w:type="dxa"/>
            <w:vAlign w:val="bottom"/>
          </w:tcPr>
          <w:p>
            <w:pPr>
              <w:ind w:left="280"/>
              <w:spacing w:after="0"/>
              <w:rPr>
                <w:sz w:val="20"/>
                <w:szCs w:val="20"/>
                <w:color w:val="auto"/>
              </w:rPr>
            </w:pPr>
            <w:r>
              <w:rPr>
                <w:rFonts w:ascii="Arial" w:cs="Arial" w:eastAsia="Arial" w:hAnsi="Arial"/>
                <w:sz w:val="18"/>
                <w:szCs w:val="18"/>
                <w:color w:val="auto"/>
              </w:rPr>
              <w:t>Supplement dated December 7, 2010 to Indenture re ARUS Notes (Exhibit 4.3 to Form S-1, no. 333-168976)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4.4</w:t>
            </w:r>
          </w:p>
        </w:tc>
        <w:tc>
          <w:tcPr>
            <w:tcW w:w="107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Supplement dated January 22, 2014 to Indenture re ARUS Notes (Exhibit 4.4 to Form S-1, no. 333-190766)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4.29</w:t>
            </w:r>
          </w:p>
        </w:tc>
        <w:tc>
          <w:tcPr>
            <w:tcW w:w="10780" w:type="dxa"/>
            <w:vAlign w:val="bottom"/>
          </w:tcPr>
          <w:p>
            <w:pPr>
              <w:ind w:left="280"/>
              <w:spacing w:after="0"/>
              <w:rPr>
                <w:sz w:val="20"/>
                <w:szCs w:val="20"/>
                <w:color w:val="auto"/>
              </w:rPr>
            </w:pPr>
            <w:r>
              <w:rPr>
                <w:rFonts w:ascii="Arial" w:cs="Arial" w:eastAsia="Arial" w:hAnsi="Arial"/>
                <w:sz w:val="18"/>
                <w:szCs w:val="18"/>
                <w:color w:val="auto"/>
              </w:rPr>
              <w:t>Revolving Credit Agreement dated December 23, 2010 (Exhibit 4.29 to Form 10-K filed March 31, 2011)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4.45</w:t>
            </w:r>
          </w:p>
        </w:tc>
        <w:tc>
          <w:tcPr>
            <w:tcW w:w="107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5"/>
              </w:rPr>
              <w:t>Indenture re Notes issued by CPS Auto Receivables Trust 2013-A (exhibit 4.43 to Form 10-Q/A filed by the registrant on August 14,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line="201" w:lineRule="exact"/>
              <w:rPr>
                <w:sz w:val="20"/>
                <w:szCs w:val="20"/>
                <w:color w:val="auto"/>
              </w:rPr>
            </w:pPr>
            <w:r>
              <w:rPr>
                <w:rFonts w:ascii="Arial" w:cs="Arial" w:eastAsia="Arial" w:hAnsi="Arial"/>
                <w:sz w:val="18"/>
                <w:szCs w:val="18"/>
                <w:color w:val="auto"/>
              </w:rPr>
              <w:t>4.46</w:t>
            </w:r>
          </w:p>
        </w:tc>
        <w:tc>
          <w:tcPr>
            <w:tcW w:w="10780" w:type="dxa"/>
            <w:vAlign w:val="bottom"/>
          </w:tcPr>
          <w:p>
            <w:pPr>
              <w:ind w:left="280"/>
              <w:spacing w:after="0" w:line="201" w:lineRule="exact"/>
              <w:rPr>
                <w:sz w:val="20"/>
                <w:szCs w:val="20"/>
                <w:color w:val="auto"/>
              </w:rPr>
            </w:pPr>
            <w:r>
              <w:rPr>
                <w:rFonts w:ascii="Arial" w:cs="Arial" w:eastAsia="Arial" w:hAnsi="Arial"/>
                <w:sz w:val="18"/>
                <w:szCs w:val="18"/>
                <w:color w:val="auto"/>
                <w:w w:val="92"/>
              </w:rPr>
              <w:t>Sale and Servicing Agreement dated as of March 1, 2013, related to notes issued by CPS Auto Receivables Trust 2013-A (exhibit 4.44 to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10-Q/A filed by the registrant on August 14, 2013)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10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4.47</w:t>
            </w:r>
          </w:p>
        </w:tc>
        <w:tc>
          <w:tcPr>
            <w:tcW w:w="107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5"/>
              </w:rPr>
              <w:t>Indenture re Notes issued by CPS Auto Receivables Trust 2013-B (exhibit 4.45 to Form 10-Q/A filed by the registrant on August 14, 2013)</w:t>
            </w:r>
          </w:p>
        </w:tc>
        <w:tc>
          <w:tcPr>
            <w:tcW w:w="0" w:type="dxa"/>
            <w:vAlign w:val="bottom"/>
          </w:tcPr>
          <w:p>
            <w:pPr>
              <w:spacing w:after="0"/>
              <w:rPr>
                <w:sz w:val="1"/>
                <w:szCs w:val="1"/>
                <w:color w:val="auto"/>
              </w:rPr>
            </w:pPr>
          </w:p>
        </w:tc>
      </w:tr>
      <w:tr>
        <w:trPr>
          <w:trHeight w:val="202"/>
        </w:trPr>
        <w:tc>
          <w:tcPr>
            <w:tcW w:w="640" w:type="dxa"/>
            <w:vAlign w:val="bottom"/>
            <w:gridSpan w:val="2"/>
            <w:vMerge w:val="restart"/>
          </w:tcPr>
          <w:p>
            <w:pPr>
              <w:spacing w:after="0"/>
              <w:rPr>
                <w:sz w:val="20"/>
                <w:szCs w:val="20"/>
                <w:color w:val="auto"/>
              </w:rPr>
            </w:pPr>
            <w:r>
              <w:rPr>
                <w:rFonts w:ascii="Arial" w:cs="Arial" w:eastAsia="Arial" w:hAnsi="Arial"/>
                <w:sz w:val="18"/>
                <w:szCs w:val="18"/>
                <w:color w:val="auto"/>
              </w:rPr>
              <w:t>4.48</w:t>
            </w:r>
          </w:p>
        </w:tc>
        <w:tc>
          <w:tcPr>
            <w:tcW w:w="10780" w:type="dxa"/>
            <w:vAlign w:val="bottom"/>
          </w:tcPr>
          <w:p>
            <w:pPr>
              <w:ind w:left="280"/>
              <w:spacing w:after="0" w:line="201" w:lineRule="exact"/>
              <w:rPr>
                <w:sz w:val="20"/>
                <w:szCs w:val="20"/>
                <w:color w:val="auto"/>
              </w:rPr>
            </w:pPr>
            <w:r>
              <w:rPr>
                <w:rFonts w:ascii="Arial" w:cs="Arial" w:eastAsia="Arial" w:hAnsi="Arial"/>
                <w:sz w:val="18"/>
                <w:szCs w:val="18"/>
                <w:color w:val="auto"/>
                <w:w w:val="90"/>
              </w:rPr>
              <w:t>Sale and Servicing Agreement dated as of June 1, 2013, related to notes issued by CPS Auto Receivables Trust 2013-B (exhibit 4.46 to Form 10-</w:t>
            </w:r>
          </w:p>
        </w:tc>
        <w:tc>
          <w:tcPr>
            <w:tcW w:w="0" w:type="dxa"/>
            <w:vAlign w:val="bottom"/>
          </w:tcPr>
          <w:p>
            <w:pPr>
              <w:spacing w:after="0"/>
              <w:rPr>
                <w:sz w:val="1"/>
                <w:szCs w:val="1"/>
                <w:color w:val="auto"/>
              </w:rPr>
            </w:pPr>
          </w:p>
        </w:tc>
      </w:tr>
      <w:tr>
        <w:trPr>
          <w:trHeight w:val="122"/>
        </w:trPr>
        <w:tc>
          <w:tcPr>
            <w:tcW w:w="640" w:type="dxa"/>
            <w:vAlign w:val="bottom"/>
            <w:gridSpan w:val="2"/>
            <w:vMerge w:val="continue"/>
          </w:tcPr>
          <w:p>
            <w:pPr>
              <w:spacing w:after="0"/>
              <w:rPr>
                <w:sz w:val="10"/>
                <w:szCs w:val="10"/>
                <w:color w:val="auto"/>
              </w:rPr>
            </w:pPr>
          </w:p>
        </w:tc>
        <w:tc>
          <w:tcPr>
            <w:tcW w:w="10780" w:type="dxa"/>
            <w:vAlign w:val="bottom"/>
            <w:vMerge w:val="restart"/>
          </w:tcPr>
          <w:p>
            <w:pPr>
              <w:ind w:left="280"/>
              <w:spacing w:after="0"/>
              <w:rPr>
                <w:sz w:val="20"/>
                <w:szCs w:val="20"/>
                <w:color w:val="auto"/>
              </w:rPr>
            </w:pPr>
            <w:r>
              <w:rPr>
                <w:rFonts w:ascii="Arial" w:cs="Arial" w:eastAsia="Arial" w:hAnsi="Arial"/>
                <w:sz w:val="18"/>
                <w:szCs w:val="18"/>
                <w:color w:val="auto"/>
              </w:rPr>
              <w:t>Q/A filed by the registrant on August 14, 2013)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10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4.49</w:t>
            </w:r>
          </w:p>
        </w:tc>
        <w:tc>
          <w:tcPr>
            <w:tcW w:w="107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5"/>
              </w:rPr>
              <w:t>Indenture re Notes issued by CPS Auto Receivables Trust 2013-C (exhibit 4.47 to Form 8-K/A filed by the registrant on October 30,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line="201" w:lineRule="exact"/>
              <w:rPr>
                <w:sz w:val="20"/>
                <w:szCs w:val="20"/>
                <w:color w:val="auto"/>
              </w:rPr>
            </w:pPr>
            <w:r>
              <w:rPr>
                <w:rFonts w:ascii="Arial" w:cs="Arial" w:eastAsia="Arial" w:hAnsi="Arial"/>
                <w:sz w:val="18"/>
                <w:szCs w:val="18"/>
                <w:color w:val="auto"/>
              </w:rPr>
              <w:t>4.50</w:t>
            </w:r>
          </w:p>
        </w:tc>
        <w:tc>
          <w:tcPr>
            <w:tcW w:w="10780" w:type="dxa"/>
            <w:vAlign w:val="bottom"/>
          </w:tcPr>
          <w:p>
            <w:pPr>
              <w:ind w:left="280"/>
              <w:spacing w:after="0" w:line="201" w:lineRule="exact"/>
              <w:rPr>
                <w:sz w:val="20"/>
                <w:szCs w:val="20"/>
                <w:color w:val="auto"/>
              </w:rPr>
            </w:pPr>
            <w:r>
              <w:rPr>
                <w:rFonts w:ascii="Arial" w:cs="Arial" w:eastAsia="Arial" w:hAnsi="Arial"/>
                <w:sz w:val="18"/>
                <w:szCs w:val="18"/>
                <w:color w:val="auto"/>
                <w:w w:val="92"/>
              </w:rPr>
              <w:t>Sale and Servicing Agreement dated as of September 1, 2013, related to notes issued by CPS Auto Receivables Trust 2013-C (exhibit 4.48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Form 8-K/A filed by the registrant on October 30, 2013)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10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4.51</w:t>
            </w:r>
          </w:p>
        </w:tc>
        <w:tc>
          <w:tcPr>
            <w:tcW w:w="107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7"/>
              </w:rPr>
              <w:t>Indenture re Notes issued by CPS Auto Receivables Trust 2013-D (exhibit 4.49 Form 8-K/A filed by the registrant on January 22, 2014)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tcPr>
          <w:p>
            <w:pPr>
              <w:ind w:left="49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4.52</w:t>
            </w:r>
          </w:p>
        </w:tc>
        <w:tc>
          <w:tcPr>
            <w:tcW w:w="106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0"/>
              </w:rPr>
              <w:t>Sale and Servicing Agreement dated as of December 1, 2013, related to notes issued by CPS Auto Receivables Trust 2013-D (exhibit 4.50 Form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Borders>
              <w:bottom w:val="single" w:sz="8" w:color="EEEEEE"/>
            </w:tcBorders>
            <w:shd w:val="clear" w:color="auto" w:fill="EEEEEE"/>
          </w:tcPr>
          <w:p>
            <w:pPr>
              <w:spacing w:after="0"/>
              <w:rPr>
                <w:sz w:val="20"/>
                <w:szCs w:val="20"/>
                <w:color w:val="auto"/>
              </w:rPr>
            </w:pPr>
          </w:p>
        </w:tc>
        <w:tc>
          <w:tcPr>
            <w:tcW w:w="1068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8-K/A filed by the registrant on January 22,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4.53</w:t>
            </w:r>
          </w:p>
        </w:tc>
        <w:tc>
          <w:tcPr>
            <w:tcW w:w="10680" w:type="dxa"/>
            <w:vAlign w:val="bottom"/>
          </w:tcPr>
          <w:p>
            <w:pPr>
              <w:ind w:left="180"/>
              <w:spacing w:after="0"/>
              <w:rPr>
                <w:sz w:val="20"/>
                <w:szCs w:val="20"/>
                <w:color w:val="auto"/>
              </w:rPr>
            </w:pPr>
            <w:r>
              <w:rPr>
                <w:rFonts w:ascii="Arial" w:cs="Arial" w:eastAsia="Arial" w:hAnsi="Arial"/>
                <w:sz w:val="18"/>
                <w:szCs w:val="18"/>
                <w:color w:val="auto"/>
                <w:w w:val="98"/>
              </w:rPr>
              <w:t>Indenture re Notes issued by CPS Auto Receivables Trust 2014-A (exhibit 4.53 to Form 8-K filed by the registrant on March 19, 2014)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4.54</w:t>
            </w:r>
          </w:p>
        </w:tc>
        <w:tc>
          <w:tcPr>
            <w:tcW w:w="106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2"/>
              </w:rPr>
              <w:t>Sale and Servicing Agreement dated as of March 1, 2014, related to notes issued by CPS Auto Receivables Trust 2014-A (exhibit 4.54 to Form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Borders>
              <w:bottom w:val="single" w:sz="8" w:color="EEEEEE"/>
            </w:tcBorders>
            <w:shd w:val="clear" w:color="auto" w:fill="EEEEEE"/>
          </w:tcPr>
          <w:p>
            <w:pPr>
              <w:spacing w:after="0"/>
              <w:rPr>
                <w:sz w:val="20"/>
                <w:szCs w:val="20"/>
                <w:color w:val="auto"/>
              </w:rPr>
            </w:pPr>
          </w:p>
        </w:tc>
        <w:tc>
          <w:tcPr>
            <w:tcW w:w="1068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8-K filed by the registrant on March 19,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4.55</w:t>
            </w:r>
          </w:p>
        </w:tc>
        <w:tc>
          <w:tcPr>
            <w:tcW w:w="10680" w:type="dxa"/>
            <w:vAlign w:val="bottom"/>
          </w:tcPr>
          <w:p>
            <w:pPr>
              <w:ind w:left="180"/>
              <w:spacing w:after="0"/>
              <w:rPr>
                <w:sz w:val="20"/>
                <w:szCs w:val="20"/>
                <w:color w:val="auto"/>
              </w:rPr>
            </w:pPr>
            <w:r>
              <w:rPr>
                <w:rFonts w:ascii="Arial" w:cs="Arial" w:eastAsia="Arial" w:hAnsi="Arial"/>
                <w:sz w:val="18"/>
                <w:szCs w:val="18"/>
                <w:color w:val="auto"/>
                <w:w w:val="99"/>
              </w:rPr>
              <w:t>Indenture re Notes issued by CPS Auto Receivables Trust 2014-B (exhibit 4.55 to Form 8-K filed by the registrant on June 24, 2014)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4.56</w:t>
            </w:r>
          </w:p>
        </w:tc>
        <w:tc>
          <w:tcPr>
            <w:tcW w:w="106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0"/>
              </w:rPr>
              <w:t>Sale and Servicing Agreement dated as of June 1, 2014, related to notes issued by CPS Auto Receivables Trust 2014-B (exhibit 4.56 to Form 8-K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Borders>
              <w:bottom w:val="single" w:sz="8" w:color="EEEEEE"/>
            </w:tcBorders>
            <w:shd w:val="clear" w:color="auto" w:fill="EEEEEE"/>
          </w:tcPr>
          <w:p>
            <w:pPr>
              <w:spacing w:after="0"/>
              <w:rPr>
                <w:sz w:val="20"/>
                <w:szCs w:val="20"/>
                <w:color w:val="auto"/>
              </w:rPr>
            </w:pPr>
          </w:p>
        </w:tc>
        <w:tc>
          <w:tcPr>
            <w:tcW w:w="1068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filed by the registrant on June 24,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4.57</w:t>
            </w:r>
          </w:p>
        </w:tc>
        <w:tc>
          <w:tcPr>
            <w:tcW w:w="10680" w:type="dxa"/>
            <w:vAlign w:val="bottom"/>
          </w:tcPr>
          <w:p>
            <w:pPr>
              <w:ind w:left="180"/>
              <w:spacing w:after="0"/>
              <w:rPr>
                <w:sz w:val="20"/>
                <w:szCs w:val="20"/>
                <w:color w:val="auto"/>
              </w:rPr>
            </w:pPr>
            <w:r>
              <w:rPr>
                <w:rFonts w:ascii="Arial" w:cs="Arial" w:eastAsia="Arial" w:hAnsi="Arial"/>
                <w:sz w:val="18"/>
                <w:szCs w:val="18"/>
                <w:color w:val="auto"/>
                <w:w w:val="95"/>
              </w:rPr>
              <w:t>Indenture re Notes issued by CPS Auto Receivables Trust 2014-C (exhibit 4.47 to Form 8-K/A filed by the registrant on October 28, 2014)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4.58</w:t>
            </w:r>
          </w:p>
        </w:tc>
        <w:tc>
          <w:tcPr>
            <w:tcW w:w="106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2"/>
              </w:rPr>
              <w:t>Sale and Servicing Agreement dated as of September 1, 2014, related to notes issued by CPS Auto Receivables Trust 2014-C (exhibit 4.58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Borders>
              <w:bottom w:val="single" w:sz="8" w:color="EEEEEE"/>
            </w:tcBorders>
            <w:shd w:val="clear" w:color="auto" w:fill="EEEEEE"/>
          </w:tcPr>
          <w:p>
            <w:pPr>
              <w:spacing w:after="0"/>
              <w:rPr>
                <w:sz w:val="20"/>
                <w:szCs w:val="20"/>
                <w:color w:val="auto"/>
              </w:rPr>
            </w:pPr>
          </w:p>
        </w:tc>
        <w:tc>
          <w:tcPr>
            <w:tcW w:w="1068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Form 8-K/A filed by the registrant on October 28,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4.59</w:t>
            </w:r>
          </w:p>
        </w:tc>
        <w:tc>
          <w:tcPr>
            <w:tcW w:w="10680" w:type="dxa"/>
            <w:vAlign w:val="bottom"/>
          </w:tcPr>
          <w:p>
            <w:pPr>
              <w:ind w:left="180"/>
              <w:spacing w:after="0"/>
              <w:rPr>
                <w:sz w:val="20"/>
                <w:szCs w:val="20"/>
                <w:color w:val="auto"/>
              </w:rPr>
            </w:pPr>
            <w:r>
              <w:rPr>
                <w:rFonts w:ascii="Arial" w:cs="Arial" w:eastAsia="Arial" w:hAnsi="Arial"/>
                <w:sz w:val="18"/>
                <w:szCs w:val="18"/>
                <w:color w:val="auto"/>
              </w:rPr>
              <w:t>Indenture re Notes issued by CPS Auto Receivables Trust 2014-D (to be filed by amendment)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4.60</w:t>
            </w:r>
          </w:p>
        </w:tc>
        <w:tc>
          <w:tcPr>
            <w:tcW w:w="106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3"/>
              </w:rPr>
              <w:t>Sale and Servicing Agreement dated as of December 1, 2014, related to notes issued by CPS Auto Receivables Trust 2014-D (to be filed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Borders>
              <w:bottom w:val="single" w:sz="8" w:color="EEEEEE"/>
            </w:tcBorders>
            <w:shd w:val="clear" w:color="auto" w:fill="EEEEEE"/>
          </w:tcPr>
          <w:p>
            <w:pPr>
              <w:spacing w:after="0"/>
              <w:rPr>
                <w:sz w:val="20"/>
                <w:szCs w:val="20"/>
                <w:color w:val="auto"/>
              </w:rPr>
            </w:pPr>
          </w:p>
        </w:tc>
        <w:tc>
          <w:tcPr>
            <w:tcW w:w="1068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amendment)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680" w:type="dxa"/>
            <w:vAlign w:val="bottom"/>
          </w:tcPr>
          <w:p>
            <w:pPr>
              <w:ind w:left="180"/>
              <w:spacing w:after="0"/>
              <w:rPr>
                <w:sz w:val="20"/>
                <w:szCs w:val="20"/>
                <w:color w:val="auto"/>
              </w:rPr>
            </w:pPr>
            <w:r>
              <w:rPr>
                <w:rFonts w:ascii="Arial" w:cs="Arial" w:eastAsia="Arial" w:hAnsi="Arial"/>
                <w:sz w:val="18"/>
                <w:szCs w:val="18"/>
                <w:color w:val="auto"/>
              </w:rPr>
              <w:t>1997 Long-Term Incentive Stock Plan ("1997 Plan") (Exhibit 10.20 to Form S-2, no. 333-121913)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10.2.1</w:t>
            </w:r>
          </w:p>
        </w:tc>
        <w:tc>
          <w:tcPr>
            <w:tcW w:w="106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Form of Option Agreement under 1997 Plan (Exhibit 10.2.1 to Form 10-K filed March 13, 2006)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rPr>
              <w:t>10.14</w:t>
            </w:r>
          </w:p>
        </w:tc>
        <w:tc>
          <w:tcPr>
            <w:tcW w:w="10680" w:type="dxa"/>
            <w:vAlign w:val="bottom"/>
          </w:tcPr>
          <w:p>
            <w:pPr>
              <w:ind w:left="180"/>
              <w:spacing w:after="0" w:line="201" w:lineRule="exact"/>
              <w:rPr>
                <w:sz w:val="20"/>
                <w:szCs w:val="20"/>
                <w:color w:val="auto"/>
              </w:rPr>
            </w:pPr>
            <w:r>
              <w:rPr>
                <w:rFonts w:ascii="Arial" w:cs="Arial" w:eastAsia="Arial" w:hAnsi="Arial"/>
                <w:sz w:val="18"/>
                <w:szCs w:val="18"/>
                <w:color w:val="auto"/>
                <w:w w:val="92"/>
              </w:rPr>
              <w:t>2006 Long-Term Equity Incentive Plan as amended April 18, 2013 (Incorporated by reference to pages A-1 through A-10 of the definitive proxy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statement filed by the registrant on March 20, 2013)**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10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10.14.1</w:t>
            </w:r>
          </w:p>
        </w:tc>
        <w:tc>
          <w:tcPr>
            <w:tcW w:w="106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3"/>
              </w:rPr>
              <w:t>Form of Option Agreement under the 2006 Long-Term Equity Incentive Plan (Exhibit 10.14.1 to registrant's Form 10-K filed March 9, 2007)**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rPr>
              <w:t>10.14.2</w:t>
            </w:r>
          </w:p>
        </w:tc>
        <w:tc>
          <w:tcPr>
            <w:tcW w:w="10680" w:type="dxa"/>
            <w:vAlign w:val="bottom"/>
          </w:tcPr>
          <w:p>
            <w:pPr>
              <w:ind w:left="180"/>
              <w:spacing w:after="0" w:line="201" w:lineRule="exact"/>
              <w:rPr>
                <w:sz w:val="20"/>
                <w:szCs w:val="20"/>
                <w:color w:val="auto"/>
              </w:rPr>
            </w:pPr>
            <w:r>
              <w:rPr>
                <w:rFonts w:ascii="Arial" w:cs="Arial" w:eastAsia="Arial" w:hAnsi="Arial"/>
                <w:sz w:val="18"/>
                <w:szCs w:val="18"/>
                <w:color w:val="auto"/>
                <w:w w:val="93"/>
              </w:rPr>
              <w:t>Form of Option Agreement under the 2006 Long-Term Equity Incentive Plan (Exhibit 99.(D)(2) to registrant's Schedule TO filed November 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80" w:type="dxa"/>
            <w:vAlign w:val="bottom"/>
          </w:tcPr>
          <w:p>
            <w:pPr>
              <w:ind w:left="18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10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10.14.2</w:t>
            </w:r>
          </w:p>
        </w:tc>
        <w:tc>
          <w:tcPr>
            <w:tcW w:w="10680" w:type="dxa"/>
            <w:vAlign w:val="bottom"/>
            <w:shd w:val="clear" w:color="auto" w:fill="EEEEEE"/>
          </w:tcPr>
          <w:p>
            <w:pPr>
              <w:ind w:left="180"/>
              <w:spacing w:after="0" w:line="201" w:lineRule="exact"/>
              <w:rPr>
                <w:sz w:val="20"/>
                <w:szCs w:val="20"/>
                <w:color w:val="auto"/>
              </w:rPr>
            </w:pPr>
            <w:r>
              <w:rPr>
                <w:rFonts w:ascii="Arial" w:cs="Arial" w:eastAsia="Arial" w:hAnsi="Arial"/>
                <w:sz w:val="18"/>
                <w:szCs w:val="18"/>
                <w:color w:val="auto"/>
                <w:w w:val="93"/>
              </w:rPr>
              <w:t>Form of Option Agreement under the 2006 Long-Term Equity Incentive Plan (Exhibit 99.(D)(3) to registrant's Schedule TO filed November 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Borders>
              <w:bottom w:val="single" w:sz="8" w:color="EEEEEE"/>
            </w:tcBorders>
            <w:shd w:val="clear" w:color="auto" w:fill="EEEEEE"/>
          </w:tcPr>
          <w:p>
            <w:pPr>
              <w:spacing w:after="0"/>
              <w:rPr>
                <w:sz w:val="20"/>
                <w:szCs w:val="20"/>
                <w:color w:val="auto"/>
              </w:rPr>
            </w:pPr>
          </w:p>
        </w:tc>
        <w:tc>
          <w:tcPr>
            <w:tcW w:w="1068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10680" w:type="dxa"/>
            <w:vAlign w:val="bottom"/>
          </w:tcPr>
          <w:p>
            <w:pPr>
              <w:ind w:left="180"/>
              <w:spacing w:after="0"/>
              <w:rPr>
                <w:sz w:val="20"/>
                <w:szCs w:val="20"/>
                <w:color w:val="auto"/>
              </w:rPr>
            </w:pPr>
            <w:r>
              <w:rPr>
                <w:rFonts w:ascii="Arial" w:cs="Arial" w:eastAsia="Arial" w:hAnsi="Arial"/>
                <w:sz w:val="18"/>
                <w:szCs w:val="18"/>
                <w:color w:val="auto"/>
              </w:rPr>
              <w:t>Warrant dated July 10, 2008, issued to Citigroup Global Markets Inc. (Exhibit 10.23 to registrant's Form 10-Q filed August 11, 2008)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10.26</w:t>
            </w:r>
          </w:p>
        </w:tc>
        <w:tc>
          <w:tcPr>
            <w:tcW w:w="106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1"/>
              </w:rPr>
              <w:t>Revolving Credit Agreement dated September 25, 2009 among the registrant, its subsidiary Page Four Funding, LLC, and Fortress Credit Corp.</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Borders>
              <w:bottom w:val="single" w:sz="8" w:color="EEEEEE"/>
            </w:tcBorders>
            <w:shd w:val="clear" w:color="auto" w:fill="EEEEEE"/>
          </w:tcPr>
          <w:p>
            <w:pPr>
              <w:spacing w:after="0"/>
              <w:rPr>
                <w:sz w:val="20"/>
                <w:szCs w:val="20"/>
                <w:color w:val="auto"/>
              </w:rPr>
            </w:pPr>
          </w:p>
        </w:tc>
        <w:tc>
          <w:tcPr>
            <w:tcW w:w="1068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("Fortress") (Exhibit 10.1 to registrant's Form 8-K filed October 1,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14</w:t>
            </w:r>
          </w:p>
        </w:tc>
        <w:tc>
          <w:tcPr>
            <w:tcW w:w="10680" w:type="dxa"/>
            <w:vAlign w:val="bottom"/>
          </w:tcPr>
          <w:p>
            <w:pPr>
              <w:ind w:left="180"/>
              <w:spacing w:after="0"/>
              <w:rPr>
                <w:sz w:val="20"/>
                <w:szCs w:val="20"/>
                <w:color w:val="auto"/>
              </w:rPr>
            </w:pPr>
            <w:r>
              <w:rPr>
                <w:rFonts w:ascii="Arial" w:cs="Arial" w:eastAsia="Arial" w:hAnsi="Arial"/>
                <w:sz w:val="18"/>
                <w:szCs w:val="18"/>
                <w:color w:val="auto"/>
              </w:rPr>
              <w:t>Registrant’s Code of Ethics for Senior Financial Officers (Exhibit 14 to Form 10-K filed March 13, 2006)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21</w:t>
            </w:r>
          </w:p>
        </w:tc>
        <w:tc>
          <w:tcPr>
            <w:tcW w:w="106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List of subsidiaries of the registrant (Exhibit 21 to Form 10-K filed March 10,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680" w:type="dxa"/>
            <w:vAlign w:val="bottom"/>
          </w:tcPr>
          <w:p>
            <w:pPr>
              <w:ind w:left="180"/>
              <w:spacing w:after="0"/>
              <w:rPr>
                <w:sz w:val="20"/>
                <w:szCs w:val="20"/>
                <w:color w:val="auto"/>
              </w:rPr>
            </w:pPr>
            <w:r>
              <w:rPr>
                <w:rFonts w:ascii="Arial" w:cs="Arial" w:eastAsia="Arial" w:hAnsi="Arial"/>
                <w:sz w:val="18"/>
                <w:szCs w:val="18"/>
                <w:color w:val="auto"/>
              </w:rPr>
              <w:t>Consent of Crowe Horwath LLP (filed herewith)</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31.1</w:t>
            </w:r>
          </w:p>
        </w:tc>
        <w:tc>
          <w:tcPr>
            <w:tcW w:w="106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Rule 13a-14(a) certification by chief executive officer (filed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tcPr>
          <w:p>
            <w:pPr>
              <w:ind w:left="180"/>
              <w:spacing w:after="0"/>
              <w:rPr>
                <w:sz w:val="20"/>
                <w:szCs w:val="20"/>
                <w:color w:val="auto"/>
              </w:rPr>
            </w:pPr>
            <w:r>
              <w:rPr>
                <w:rFonts w:ascii="Arial" w:cs="Arial" w:eastAsia="Arial" w:hAnsi="Arial"/>
                <w:sz w:val="18"/>
                <w:szCs w:val="18"/>
                <w:color w:val="auto"/>
              </w:rPr>
              <w:t>Rule 13a-14(a) certification by chief financial officer (filed herewith)</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32</w:t>
            </w:r>
          </w:p>
        </w:tc>
        <w:tc>
          <w:tcPr>
            <w:tcW w:w="106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Section 1350 certification (filed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3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Arial" w:cs="Arial" w:eastAsia="Arial" w:hAnsi="Arial"/>
                <w:sz w:val="18"/>
                <w:szCs w:val="18"/>
                <w:b w:val="1"/>
                <w:bCs w:val="1"/>
                <w:color w:val="auto"/>
              </w:rPr>
              <w:t xml:space="preserve">CONSUMER PORTFOLIO SERVICES, INC. </w:t>
            </w:r>
            <w:r>
              <w:rPr>
                <w:rFonts w:ascii="Arial" w:cs="Arial" w:eastAsia="Arial" w:hAnsi="Arial"/>
                <w:sz w:val="18"/>
                <w:szCs w:val="18"/>
                <w:i w:val="1"/>
                <w:iCs w:val="1"/>
                <w:color w:val="auto"/>
              </w:rPr>
              <w:t>(registrant)</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February 25, 2015</w:t>
            </w:r>
          </w:p>
        </w:tc>
        <w:tc>
          <w:tcPr>
            <w:tcW w:w="2660" w:type="dxa"/>
            <w:vAlign w:val="bottom"/>
          </w:tcPr>
          <w:p>
            <w:pPr>
              <w:ind w:left="22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/s/ CHARLES E. BRADLEY, JR.</w:t>
            </w:r>
          </w:p>
        </w:tc>
      </w:tr>
      <w:tr>
        <w:trPr>
          <w:trHeight w:val="224"/>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President</w:t>
            </w:r>
          </w:p>
        </w:tc>
      </w:tr>
    </w:tbl>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February 25, 2015</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CHARLES E. BRADLEY, JR.</w:t>
            </w:r>
          </w:p>
        </w:tc>
      </w:tr>
      <w:tr>
        <w:trPr>
          <w:trHeight w:val="195"/>
        </w:trPr>
        <w:tc>
          <w:tcPr>
            <w:tcW w:w="6180" w:type="dxa"/>
            <w:vAlign w:val="bottom"/>
          </w:tcPr>
          <w:p>
            <w:pPr>
              <w:spacing w:after="0"/>
              <w:rPr>
                <w:sz w:val="16"/>
                <w:szCs w:val="16"/>
                <w:color w:val="auto"/>
              </w:rPr>
            </w:pPr>
          </w:p>
        </w:tc>
        <w:tc>
          <w:tcPr>
            <w:tcW w:w="5140" w:type="dxa"/>
            <w:vAlign w:val="bottom"/>
          </w:tcPr>
          <w:p>
            <w:pPr>
              <w:ind w:left="100"/>
              <w:spacing w:after="0" w:line="195" w:lineRule="exact"/>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Director,</w:t>
            </w:r>
          </w:p>
        </w:tc>
      </w:tr>
      <w:tr>
        <w:trPr>
          <w:trHeight w:val="216"/>
        </w:trPr>
        <w:tc>
          <w:tcPr>
            <w:tcW w:w="618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1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6180" w:type="dxa"/>
            <w:vAlign w:val="bottom"/>
          </w:tcPr>
          <w:p>
            <w:pPr>
              <w:spacing w:after="0"/>
              <w:rPr>
                <w:sz w:val="20"/>
                <w:szCs w:val="20"/>
                <w:color w:val="auto"/>
              </w:rPr>
            </w:pPr>
            <w:r>
              <w:rPr>
                <w:rFonts w:ascii="Arial" w:cs="Arial" w:eastAsia="Arial" w:hAnsi="Arial"/>
                <w:sz w:val="18"/>
                <w:szCs w:val="18"/>
                <w:color w:val="auto"/>
              </w:rPr>
              <w:t>February 25, 2015</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CHRIS A. ADAMS</w:t>
            </w:r>
          </w:p>
        </w:tc>
      </w:tr>
      <w:tr>
        <w:trPr>
          <w:trHeight w:val="224"/>
        </w:trPr>
        <w:tc>
          <w:tcPr>
            <w:tcW w:w="618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 xml:space="preserve">Chris A. Adams, </w:t>
            </w:r>
            <w:r>
              <w:rPr>
                <w:rFonts w:ascii="Arial" w:cs="Arial" w:eastAsia="Arial" w:hAnsi="Arial"/>
                <w:sz w:val="18"/>
                <w:szCs w:val="18"/>
                <w:i w:val="1"/>
                <w:iCs w:val="1"/>
                <w:color w:val="auto"/>
              </w:rPr>
              <w:t>Director</w:t>
            </w:r>
          </w:p>
        </w:tc>
      </w:tr>
      <w:tr>
        <w:trPr>
          <w:trHeight w:val="620"/>
        </w:trPr>
        <w:tc>
          <w:tcPr>
            <w:tcW w:w="6180" w:type="dxa"/>
            <w:vAlign w:val="bottom"/>
          </w:tcPr>
          <w:p>
            <w:pPr>
              <w:spacing w:after="0"/>
              <w:rPr>
                <w:sz w:val="20"/>
                <w:szCs w:val="20"/>
                <w:color w:val="auto"/>
              </w:rPr>
            </w:pPr>
            <w:r>
              <w:rPr>
                <w:rFonts w:ascii="Arial" w:cs="Arial" w:eastAsia="Arial" w:hAnsi="Arial"/>
                <w:sz w:val="18"/>
                <w:szCs w:val="18"/>
                <w:color w:val="auto"/>
              </w:rPr>
              <w:t>February 25, 2015</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J. RAYHILL</w:t>
            </w:r>
          </w:p>
        </w:tc>
      </w:tr>
      <w:tr>
        <w:trPr>
          <w:trHeight w:val="224"/>
        </w:trPr>
        <w:tc>
          <w:tcPr>
            <w:tcW w:w="618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 xml:space="preserve">Brian J. Rayhill, </w:t>
            </w:r>
            <w:r>
              <w:rPr>
                <w:rFonts w:ascii="Arial" w:cs="Arial" w:eastAsia="Arial" w:hAnsi="Arial"/>
                <w:sz w:val="18"/>
                <w:szCs w:val="18"/>
                <w:i w:val="1"/>
                <w:iCs w:val="1"/>
                <w:color w:val="auto"/>
              </w:rPr>
              <w:t>Director</w:t>
            </w:r>
          </w:p>
        </w:tc>
      </w:tr>
      <w:tr>
        <w:trPr>
          <w:trHeight w:val="620"/>
        </w:trPr>
        <w:tc>
          <w:tcPr>
            <w:tcW w:w="6180" w:type="dxa"/>
            <w:vAlign w:val="bottom"/>
          </w:tcPr>
          <w:p>
            <w:pPr>
              <w:spacing w:after="0"/>
              <w:rPr>
                <w:sz w:val="20"/>
                <w:szCs w:val="20"/>
                <w:color w:val="auto"/>
              </w:rPr>
            </w:pPr>
            <w:r>
              <w:rPr>
                <w:rFonts w:ascii="Arial" w:cs="Arial" w:eastAsia="Arial" w:hAnsi="Arial"/>
                <w:sz w:val="18"/>
                <w:szCs w:val="18"/>
                <w:color w:val="auto"/>
              </w:rPr>
              <w:t>February 25, 2015</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WILLIAM B. ROBERTS</w:t>
            </w:r>
          </w:p>
        </w:tc>
      </w:tr>
      <w:tr>
        <w:trPr>
          <w:trHeight w:val="224"/>
        </w:trPr>
        <w:tc>
          <w:tcPr>
            <w:tcW w:w="618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 xml:space="preserve">William B. Roberts, </w:t>
            </w:r>
            <w:r>
              <w:rPr>
                <w:rFonts w:ascii="Arial" w:cs="Arial" w:eastAsia="Arial" w:hAnsi="Arial"/>
                <w:sz w:val="18"/>
                <w:szCs w:val="18"/>
                <w:i w:val="1"/>
                <w:iCs w:val="1"/>
                <w:color w:val="auto"/>
              </w:rPr>
              <w:t>Director</w:t>
            </w:r>
          </w:p>
        </w:tc>
      </w:tr>
      <w:tr>
        <w:trPr>
          <w:trHeight w:val="620"/>
        </w:trPr>
        <w:tc>
          <w:tcPr>
            <w:tcW w:w="6180" w:type="dxa"/>
            <w:vAlign w:val="bottom"/>
          </w:tcPr>
          <w:p>
            <w:pPr>
              <w:spacing w:after="0"/>
              <w:rPr>
                <w:sz w:val="20"/>
                <w:szCs w:val="20"/>
                <w:color w:val="auto"/>
              </w:rPr>
            </w:pPr>
            <w:r>
              <w:rPr>
                <w:rFonts w:ascii="Arial" w:cs="Arial" w:eastAsia="Arial" w:hAnsi="Arial"/>
                <w:sz w:val="18"/>
                <w:szCs w:val="18"/>
                <w:color w:val="auto"/>
              </w:rPr>
              <w:t>February 25, 2015</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GREGORY S. WASHER</w:t>
            </w:r>
          </w:p>
        </w:tc>
      </w:tr>
      <w:tr>
        <w:trPr>
          <w:trHeight w:val="224"/>
        </w:trPr>
        <w:tc>
          <w:tcPr>
            <w:tcW w:w="618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 xml:space="preserve">Gregory S. Washer, </w:t>
            </w:r>
            <w:r>
              <w:rPr>
                <w:rFonts w:ascii="Arial" w:cs="Arial" w:eastAsia="Arial" w:hAnsi="Arial"/>
                <w:sz w:val="18"/>
                <w:szCs w:val="18"/>
                <w:i w:val="1"/>
                <w:iCs w:val="1"/>
                <w:color w:val="auto"/>
              </w:rPr>
              <w:t>Director</w:t>
            </w:r>
          </w:p>
        </w:tc>
      </w:tr>
      <w:tr>
        <w:trPr>
          <w:trHeight w:val="620"/>
        </w:trPr>
        <w:tc>
          <w:tcPr>
            <w:tcW w:w="6180" w:type="dxa"/>
            <w:vAlign w:val="bottom"/>
          </w:tcPr>
          <w:p>
            <w:pPr>
              <w:spacing w:after="0"/>
              <w:rPr>
                <w:sz w:val="20"/>
                <w:szCs w:val="20"/>
                <w:color w:val="auto"/>
              </w:rPr>
            </w:pPr>
            <w:r>
              <w:rPr>
                <w:rFonts w:ascii="Arial" w:cs="Arial" w:eastAsia="Arial" w:hAnsi="Arial"/>
                <w:sz w:val="18"/>
                <w:szCs w:val="18"/>
                <w:color w:val="auto"/>
              </w:rPr>
              <w:t>February 25, 2015</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S. WOOD</w:t>
            </w:r>
          </w:p>
        </w:tc>
      </w:tr>
      <w:tr>
        <w:trPr>
          <w:trHeight w:val="224"/>
        </w:trPr>
        <w:tc>
          <w:tcPr>
            <w:tcW w:w="618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 xml:space="preserve">Daniel S. Wood, </w:t>
            </w:r>
            <w:r>
              <w:rPr>
                <w:rFonts w:ascii="Arial" w:cs="Arial" w:eastAsia="Arial" w:hAnsi="Arial"/>
                <w:sz w:val="18"/>
                <w:szCs w:val="18"/>
                <w:i w:val="1"/>
                <w:iCs w:val="1"/>
                <w:color w:val="auto"/>
              </w:rPr>
              <w:t>Director</w:t>
            </w:r>
          </w:p>
        </w:tc>
      </w:tr>
      <w:tr>
        <w:trPr>
          <w:trHeight w:val="620"/>
        </w:trPr>
        <w:tc>
          <w:tcPr>
            <w:tcW w:w="6180" w:type="dxa"/>
            <w:vAlign w:val="bottom"/>
          </w:tcPr>
          <w:p>
            <w:pPr>
              <w:spacing w:after="0"/>
              <w:rPr>
                <w:sz w:val="20"/>
                <w:szCs w:val="20"/>
                <w:color w:val="auto"/>
              </w:rPr>
            </w:pPr>
            <w:r>
              <w:rPr>
                <w:rFonts w:ascii="Arial" w:cs="Arial" w:eastAsia="Arial" w:hAnsi="Arial"/>
                <w:sz w:val="18"/>
                <w:szCs w:val="18"/>
                <w:color w:val="auto"/>
              </w:rPr>
              <w:t>February 25, 2015</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P. FRITZ</w:t>
            </w:r>
          </w:p>
        </w:tc>
      </w:tr>
      <w:tr>
        <w:trPr>
          <w:trHeight w:val="195"/>
        </w:trPr>
        <w:tc>
          <w:tcPr>
            <w:tcW w:w="6180" w:type="dxa"/>
            <w:vAlign w:val="bottom"/>
          </w:tcPr>
          <w:p>
            <w:pPr>
              <w:spacing w:after="0"/>
              <w:rPr>
                <w:sz w:val="16"/>
                <w:szCs w:val="16"/>
                <w:color w:val="auto"/>
              </w:rPr>
            </w:pPr>
          </w:p>
        </w:tc>
        <w:tc>
          <w:tcPr>
            <w:tcW w:w="5140" w:type="dxa"/>
            <w:vAlign w:val="bottom"/>
          </w:tcPr>
          <w:p>
            <w:pPr>
              <w:ind w:left="100"/>
              <w:spacing w:after="0" w:line="195" w:lineRule="exact"/>
              <w:rPr>
                <w:sz w:val="20"/>
                <w:szCs w:val="20"/>
                <w:color w:val="auto"/>
              </w:rPr>
            </w:pPr>
            <w:r>
              <w:rPr>
                <w:rFonts w:ascii="Arial" w:cs="Arial" w:eastAsia="Arial" w:hAnsi="Arial"/>
                <w:sz w:val="18"/>
                <w:szCs w:val="18"/>
                <w:color w:val="auto"/>
              </w:rPr>
              <w:t xml:space="preserve">Jeffrey P. Fritz, Executive </w:t>
            </w:r>
            <w:r>
              <w:rPr>
                <w:rFonts w:ascii="Arial" w:cs="Arial" w:eastAsia="Arial" w:hAnsi="Arial"/>
                <w:sz w:val="18"/>
                <w:szCs w:val="18"/>
                <w:i w:val="1"/>
                <w:iCs w:val="1"/>
                <w:color w:val="auto"/>
              </w:rPr>
              <w:t>Vice President and Chief Financial</w:t>
            </w:r>
          </w:p>
        </w:tc>
      </w:tr>
      <w:tr>
        <w:trPr>
          <w:trHeight w:val="216"/>
        </w:trPr>
        <w:tc>
          <w:tcPr>
            <w:tcW w:w="618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i w:val="1"/>
                <w:iCs w:val="1"/>
                <w:color w:val="auto"/>
              </w:rPr>
              <w:t>Officer</w:t>
            </w:r>
          </w:p>
        </w:tc>
      </w:tr>
      <w:tr>
        <w:trPr>
          <w:trHeight w:val="230"/>
        </w:trPr>
        <w:tc>
          <w:tcPr>
            <w:tcW w:w="61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400" w:type="dxa"/>
            <w:vAlign w:val="bottom"/>
          </w:tcPr>
          <w:p>
            <w:pPr>
              <w:spacing w:after="0"/>
              <w:rPr>
                <w:sz w:val="16"/>
                <w:szCs w:val="16"/>
                <w:color w:val="auto"/>
              </w:rPr>
            </w:pPr>
          </w:p>
        </w:tc>
        <w:tc>
          <w:tcPr>
            <w:tcW w:w="10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7"/>
              </w:rPr>
              <w:t>Reference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EEEEEE"/>
          </w:tcPr>
          <w:p>
            <w:pPr>
              <w:spacing w:after="0"/>
              <w:rPr>
                <w:sz w:val="20"/>
                <w:szCs w:val="20"/>
                <w:color w:val="auto"/>
              </w:rPr>
            </w:pPr>
            <w:r>
              <w:rPr>
                <w:rFonts w:ascii="Arial" w:cs="Arial" w:eastAsia="Arial" w:hAnsi="Arial"/>
                <w:sz w:val="18"/>
                <w:szCs w:val="18"/>
                <w:color w:val="auto"/>
              </w:rPr>
              <w:t>Report of Independent Registered Public Accounting Firm – Crowe Horwath LLP</w:t>
            </w:r>
          </w:p>
        </w:tc>
        <w:tc>
          <w:tcPr>
            <w:tcW w:w="10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EEEEEE"/>
          </w:tcPr>
          <w:p>
            <w:pPr>
              <w:spacing w:after="0"/>
              <w:rPr>
                <w:sz w:val="20"/>
                <w:szCs w:val="20"/>
                <w:color w:val="auto"/>
              </w:rPr>
            </w:pPr>
            <w:r>
              <w:rPr>
                <w:rFonts w:ascii="Arial" w:cs="Arial" w:eastAsia="Arial" w:hAnsi="Arial"/>
                <w:sz w:val="18"/>
                <w:szCs w:val="18"/>
                <w:color w:val="auto"/>
              </w:rPr>
              <w:t>Consolidated Balance Sheets as of December 31, 2014 and 2013</w:t>
            </w:r>
          </w:p>
        </w:tc>
        <w:tc>
          <w:tcPr>
            <w:tcW w:w="10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Operations for the years ended December 31, 2014, 2013 and 2012</w:t>
            </w:r>
          </w:p>
        </w:tc>
        <w:tc>
          <w:tcPr>
            <w:tcW w:w="10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2014, 2013 and 2012</w:t>
            </w:r>
          </w:p>
        </w:tc>
        <w:tc>
          <w:tcPr>
            <w:tcW w:w="10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Shareholders’ Equity for the years ended December 31, 2014, 2013 and 2012</w:t>
            </w:r>
          </w:p>
        </w:tc>
        <w:tc>
          <w:tcPr>
            <w:tcW w:w="10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Cash Flows for the years ended December 31, 2014, 2013 and 2012</w:t>
            </w:r>
          </w:p>
        </w:tc>
        <w:tc>
          <w:tcPr>
            <w:tcW w:w="10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EEEEEE"/>
          </w:tcPr>
          <w:p>
            <w:pPr>
              <w:spacing w:after="0"/>
              <w:rPr>
                <w:sz w:val="20"/>
                <w:szCs w:val="20"/>
                <w:color w:val="auto"/>
              </w:rPr>
            </w:pPr>
            <w:r>
              <w:rPr>
                <w:rFonts w:ascii="Arial" w:cs="Arial" w:eastAsia="Arial" w:hAnsi="Arial"/>
                <w:sz w:val="18"/>
                <w:szCs w:val="18"/>
                <w:color w:val="auto"/>
              </w:rPr>
              <w:t>Notes to Consolidated Financial Statements.</w:t>
            </w:r>
          </w:p>
        </w:tc>
        <w:tc>
          <w:tcPr>
            <w:tcW w:w="10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40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F-1</w:t>
            </w: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38" w:right="239" w:bottom="1440" w:gutter="0" w:footer="0" w:header="0"/>
        </w:sectPr>
      </w:pPr>
    </w:p>
    <w:bookmarkStart w:id="63" w:name="page64"/>
    <w:bookmarkEnd w:id="6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Consumer Portfolio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the accompanying consolidated balance sheets of Consumer Portfolio Services, Inc. and subsidiaries (the Company) as of December 31, 2014 and 2013, and the related consolidated statements of operations, comprehensive income, shareholders' equity and cash flows for each of the years in the three-year period ended December 31, 2014. We also have audited the Company’s internal control over financial reporting as of December 31, 2014, based on criteria established in the 2013 Internal Control – Integrated Framework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Consumer Portfolio Services, Inc. and subsidiaries as of December 31, 2014 and 2013, and the results of their operations and their cash flows for each of the years in the three-year period ended December 31, 2014 in conformity with accounting principles generally accepted in the United States of America. Also in our opinion, Consumer Portfolio Services, Inc. maintained, in all material respects, effective internal control over financial reporting as of December 31, 2014, based on the criteria established in the 2013 Internal Control – Integrated Framework issued by the Committee of Sponsoring Organizations of the Treadway Commission.</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CROWE HORWATH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17,859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175,382</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132,284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1,595,956</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1,155,063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1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(61,460)</w:t>
            </w:r>
          </w:p>
        </w:tc>
        <w:tc>
          <w:tcPr>
            <w:tcW w:w="1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(39,626)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1,534,496</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1,115,437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1,664</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14,476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Residual interest in securitizations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12,362</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11,071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42,847</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59,215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23,372</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23,847</w:t>
            </w:r>
          </w:p>
        </w:tc>
        <w:tc>
          <w:tcPr>
            <w:tcW w:w="1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21,481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2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1,833,058</w:t>
            </w:r>
          </w:p>
        </w:tc>
        <w:tc>
          <w:tcPr>
            <w:tcW w:w="34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1,396,366</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21,660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24,839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56,839</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9,452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12,327</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13,117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1,598,496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1,177,559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38,559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2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15,233</w:t>
            </w: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19,142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1,705,805</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1,301,764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5"/>
              </w:rPr>
              <w:t>Common stock, no par value; authorized 75,000,000 shares; 25,540,640 and 24,015,585 shares issued and</w:t>
            </w:r>
          </w:p>
        </w:tc>
        <w:tc>
          <w:tcPr>
            <w:tcW w:w="1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outstanding at December 31, 2014 and 2013, respectively</w:t>
            </w:r>
          </w:p>
        </w:tc>
        <w:tc>
          <w:tcPr>
            <w:tcW w:w="12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80,513</w:t>
            </w:r>
          </w:p>
        </w:tc>
        <w:tc>
          <w:tcPr>
            <w:tcW w:w="12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73,422</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51,791</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(5,051)</w:t>
            </w:r>
          </w:p>
        </w:tc>
        <w:tc>
          <w:tcPr>
            <w:tcW w:w="12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127,253</w:t>
            </w:r>
          </w:p>
        </w:tc>
        <w:tc>
          <w:tcPr>
            <w:tcW w:w="34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94,602</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1,833,058</w:t>
            </w:r>
          </w:p>
        </w:tc>
        <w:tc>
          <w:tcPr>
            <w:tcW w:w="3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1,396,366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286,734</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231,330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Servicing fees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1,376</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3,093</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12,146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10,405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Gain on cancellation of debt</w:t>
            </w: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10,947</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300,256</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255,775</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187,208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50,129</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42,960</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19,254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16,345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50,395</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58,179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108,228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76,869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contingent liabilities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7,841</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Marketing</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16,116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13,363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3,464</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2,608</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248,014</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218,602</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178,021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52,242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37,173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22,726</w:t>
            </w:r>
          </w:p>
        </w:tc>
        <w:tc>
          <w:tcPr>
            <w:tcW w:w="3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16,168</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(60,221)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29,516</w:t>
            </w:r>
          </w:p>
        </w:tc>
        <w:tc>
          <w:tcPr>
            <w:tcW w:w="3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21,005</w:t>
            </w:r>
          </w:p>
        </w:tc>
        <w:tc>
          <w:tcPr>
            <w:tcW w:w="3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69,408</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6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0.98</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0.67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25,040</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21,538</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32,032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31,574</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25,478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EEEEEE"/>
          </w:tcPr>
          <w:p>
            <w:pPr>
              <w:jc w:val="right"/>
              <w:ind w:right="7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w w:val="87"/>
              </w:rPr>
              <w:t>29,516</w:t>
            </w:r>
          </w:p>
        </w:tc>
        <w:tc>
          <w:tcPr>
            <w:tcW w:w="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21,005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69,408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Pr>
          <w:p>
            <w:pPr>
              <w:spacing w:after="0" w:line="201" w:lineRule="exact"/>
              <w:rPr>
                <w:sz w:val="20"/>
                <w:szCs w:val="20"/>
                <w:color w:val="auto"/>
              </w:rPr>
            </w:pPr>
            <w:r>
              <w:rPr>
                <w:rFonts w:ascii="Arial" w:cs="Arial" w:eastAsia="Arial" w:hAnsi="Arial"/>
                <w:sz w:val="18"/>
                <w:szCs w:val="18"/>
                <w:color w:val="auto"/>
                <w:w w:val="97"/>
              </w:rPr>
              <w:t>Other comprehensive income (loss); change in funded status of pension plan, net of</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($2,654), $3,044 and ($150) in tax for 2014, 2013 and 2012, respectively</w:t>
            </w:r>
          </w:p>
        </w:tc>
        <w:tc>
          <w:tcPr>
            <w:tcW w:w="880" w:type="dxa"/>
            <w:vAlign w:val="bottom"/>
          </w:tcPr>
          <w:p>
            <w:pPr>
              <w:spacing w:after="0"/>
              <w:rPr>
                <w:sz w:val="21"/>
                <w:szCs w:val="21"/>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(3,956)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4,542</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tcBorders>
              <w:top w:val="single" w:sz="8" w:color="auto"/>
              <w:bottom w:val="single" w:sz="8" w:color="auto"/>
            </w:tcBorders>
            <w:shd w:val="clear" w:color="auto" w:fill="EEEEEE"/>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25,560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25,547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72,306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2012</w:t>
      </w:r>
    </w:p>
    <w:p>
      <w:pPr>
        <w:spacing w:after="0" w:line="225" w:lineRule="exact"/>
        <w:rPr>
          <w:sz w:val="20"/>
          <w:szCs w:val="20"/>
          <w:color w:val="auto"/>
        </w:rPr>
      </w:pPr>
    </w:p>
    <w:p>
      <w:pPr>
        <w:ind w:left="180" w:hanging="179"/>
        <w:spacing w:after="0" w:line="258" w:lineRule="auto"/>
        <w:rPr>
          <w:sz w:val="20"/>
          <w:szCs w:val="20"/>
          <w:color w:val="auto"/>
        </w:rPr>
      </w:pPr>
      <w:r>
        <w:rPr>
          <w:rFonts w:ascii="Arial" w:cs="Arial" w:eastAsia="Arial" w:hAnsi="Arial"/>
          <w:sz w:val="18"/>
          <w:szCs w:val="18"/>
          <w:color w:val="auto"/>
        </w:rPr>
        <w:t>Common stock issued upon exercise of options and warrants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Purchase of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Pension benefit obligation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 of warrants from debt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2012</w:t>
      </w:r>
    </w:p>
    <w:p>
      <w:pPr>
        <w:spacing w:after="0" w:line="20" w:lineRule="exact"/>
        <w:rPr>
          <w:sz w:val="20"/>
          <w:szCs w:val="20"/>
          <w:color w:val="auto"/>
        </w:rPr>
      </w:pPr>
      <w:r>
        <w:rPr>
          <w:sz w:val="20"/>
          <w:szCs w:val="20"/>
          <w:color w:val="auto"/>
        </w:rPr>
        <w:br w:type="column"/>
      </w:r>
    </w:p>
    <w:p>
      <w:pPr>
        <w:jc w:val="center"/>
        <w:ind w:right="3040"/>
        <w:spacing w:after="0" w:line="266" w:lineRule="auto"/>
        <w:rPr>
          <w:sz w:val="20"/>
          <w:szCs w:val="20"/>
          <w:color w:val="auto"/>
        </w:rPr>
      </w:pPr>
      <w:r>
        <w:rPr>
          <w:rFonts w:ascii="Arial" w:cs="Arial" w:eastAsia="Arial" w:hAnsi="Arial"/>
          <w:sz w:val="18"/>
          <w:szCs w:val="18"/>
          <w:b w:val="1"/>
          <w:bCs w:val="1"/>
          <w:color w:val="auto"/>
        </w:rPr>
        <w:t>CONSUMER PORTFOLIO SERVICES, INC. AND SUBSIDIARIES CONSOLIDATED STATEMENTS OF SHAREHOLDERS’ EQUITY (In thousands)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Common Stock</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Comprehensive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19"/>
                <w:szCs w:val="19"/>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Deficit)</w:t>
            </w:r>
          </w:p>
        </w:tc>
        <w:tc>
          <w:tcPr>
            <w:tcW w:w="10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Loss</w:t>
            </w:r>
          </w:p>
        </w:tc>
        <w:tc>
          <w:tcPr>
            <w:tcW w:w="300" w:type="dxa"/>
            <w:vAlign w:val="bottom"/>
          </w:tcPr>
          <w:p>
            <w:pPr>
              <w:spacing w:after="0"/>
              <w:rPr>
                <w:sz w:val="19"/>
                <w:szCs w:val="19"/>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8"/>
                <w:szCs w:val="18"/>
                <w:color w:val="auto"/>
              </w:rPr>
              <w:t>Total</w:t>
            </w:r>
          </w:p>
        </w:tc>
      </w:tr>
      <w:tr>
        <w:trPr>
          <w:trHeight w:val="224"/>
        </w:trPr>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19,527</w:t>
            </w:r>
          </w:p>
        </w:tc>
        <w:tc>
          <w:tcPr>
            <w:tcW w:w="34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(68,138)</w:t>
            </w:r>
          </w:p>
        </w:tc>
        <w:tc>
          <w:tcPr>
            <w:tcW w:w="3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(8,535)</w:t>
            </w:r>
          </w:p>
        </w:tc>
        <w:tc>
          <w:tcPr>
            <w:tcW w:w="3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(14,207)</w:t>
            </w:r>
          </w:p>
        </w:tc>
        <w:tc>
          <w:tcPr>
            <w:tcW w:w="60" w:type="dxa"/>
            <w:vAlign w:val="bottom"/>
            <w:gridSpan w:val="2"/>
          </w:tcPr>
          <w:p>
            <w:pPr>
              <w:spacing w:after="0"/>
              <w:rPr>
                <w:sz w:val="19"/>
                <w:szCs w:val="19"/>
                <w:color w:val="auto"/>
              </w:rPr>
            </w:pPr>
          </w:p>
        </w:tc>
      </w:tr>
      <w:tr>
        <w:trPr>
          <w:trHeight w:val="647"/>
        </w:trPr>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632</w:t>
            </w:r>
          </w:p>
        </w:tc>
        <w:tc>
          <w:tcPr>
            <w:tcW w:w="40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1,206</w:t>
            </w:r>
          </w:p>
        </w:tc>
        <w:tc>
          <w:tcPr>
            <w:tcW w:w="40" w:type="dxa"/>
            <w:vAlign w:val="bottom"/>
          </w:tcPr>
          <w:p>
            <w:pPr>
              <w:spacing w:after="0"/>
              <w:rPr>
                <w:sz w:val="24"/>
                <w:szCs w:val="24"/>
                <w:color w:val="auto"/>
              </w:rPr>
            </w:pPr>
          </w:p>
        </w:tc>
      </w:tr>
      <w:tr>
        <w:trPr>
          <w:trHeight w:val="230"/>
        </w:trPr>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(320)</w:t>
            </w:r>
          </w:p>
        </w:tc>
        <w:tc>
          <w:tcPr>
            <w:tcW w:w="4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2,898</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2,898</w:t>
            </w:r>
          </w:p>
        </w:tc>
        <w:tc>
          <w:tcPr>
            <w:tcW w:w="40" w:type="dxa"/>
            <w:vAlign w:val="bottom"/>
          </w:tcPr>
          <w:p>
            <w:pPr>
              <w:spacing w:after="0"/>
              <w:rPr>
                <w:sz w:val="19"/>
                <w:szCs w:val="19"/>
                <w:color w:val="auto"/>
              </w:rPr>
            </w:pPr>
          </w:p>
        </w:tc>
      </w:tr>
      <w:tr>
        <w:trPr>
          <w:trHeight w:val="230"/>
        </w:trPr>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1,134</w:t>
            </w:r>
          </w:p>
        </w:tc>
        <w:tc>
          <w:tcPr>
            <w:tcW w:w="40" w:type="dxa"/>
            <w:vAlign w:val="bottom"/>
          </w:tcPr>
          <w:p>
            <w:pPr>
              <w:spacing w:after="0"/>
              <w:rPr>
                <w:sz w:val="19"/>
                <w:szCs w:val="19"/>
                <w:color w:val="auto"/>
              </w:rPr>
            </w:pPr>
          </w:p>
        </w:tc>
      </w:tr>
      <w:tr>
        <w:trPr>
          <w:trHeight w:val="230"/>
        </w:trPr>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1,307</w:t>
            </w:r>
          </w:p>
        </w:tc>
        <w:tc>
          <w:tcPr>
            <w:tcW w:w="40" w:type="dxa"/>
            <w:vAlign w:val="bottom"/>
          </w:tcPr>
          <w:p>
            <w:pPr>
              <w:spacing w:after="0"/>
              <w:rPr>
                <w:sz w:val="19"/>
                <w:szCs w:val="19"/>
                <w:color w:val="auto"/>
              </w:rPr>
            </w:pPr>
          </w:p>
        </w:tc>
      </w:tr>
      <w:tr>
        <w:trPr>
          <w:trHeight w:val="230"/>
        </w:trPr>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69,408</w:t>
            </w:r>
          </w:p>
        </w:tc>
        <w:tc>
          <w:tcPr>
            <w:tcW w:w="10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69,408</w:t>
            </w:r>
          </w:p>
        </w:tc>
        <w:tc>
          <w:tcPr>
            <w:tcW w:w="40" w:type="dxa"/>
            <w:vAlign w:val="bottom"/>
          </w:tcPr>
          <w:p>
            <w:pPr>
              <w:spacing w:after="0"/>
              <w:rPr>
                <w:sz w:val="20"/>
                <w:szCs w:val="20"/>
                <w:color w:val="auto"/>
              </w:rPr>
            </w:pPr>
          </w:p>
        </w:tc>
      </w:tr>
      <w:tr>
        <w:trPr>
          <w:trHeight w:val="223"/>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3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61,311</w:t>
            </w:r>
          </w:p>
        </w:tc>
        <w:tc>
          <w:tcPr>
            <w:tcW w:w="40" w:type="dxa"/>
            <w:vAlign w:val="bottom"/>
          </w:tcPr>
          <w:p>
            <w:pPr>
              <w:spacing w:after="0"/>
              <w:rPr>
                <w:sz w:val="19"/>
                <w:szCs w:val="19"/>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-1474470</wp:posOffset>
            </wp:positionV>
            <wp:extent cx="72466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-1191260</wp:posOffset>
            </wp:positionV>
            <wp:extent cx="7246620" cy="283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-762635</wp:posOffset>
            </wp:positionV>
            <wp:extent cx="72466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-471170</wp:posOffset>
            </wp:positionV>
            <wp:extent cx="72466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-179705</wp:posOffset>
            </wp:positionV>
            <wp:extent cx="72466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200"/>
            <w:col w:w="8380"/>
          </w:cols>
          <w:pgMar w:left="240" w:top="877" w:right="2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w w:val="97"/>
              </w:rPr>
              <w:t>Common stock issued upon exercise of</w:t>
            </w:r>
          </w:p>
        </w:tc>
        <w:tc>
          <w:tcPr>
            <w:tcW w:w="13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options and warrants</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4,177</w:t>
            </w:r>
          </w:p>
        </w:tc>
        <w:tc>
          <w:tcPr>
            <w:tcW w:w="50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3,297</w:t>
            </w:r>
          </w:p>
        </w:tc>
        <w:tc>
          <w:tcPr>
            <w:tcW w:w="48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21"/>
                <w:szCs w:val="21"/>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21"/>
                <w:szCs w:val="21"/>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3,297</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4,542</w:t>
            </w: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3,864</w:t>
            </w:r>
          </w:p>
        </w:tc>
        <w:tc>
          <w:tcPr>
            <w:tcW w:w="4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3,864</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Reclassification of warrants from debt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583</w:t>
            </w:r>
          </w:p>
        </w:tc>
        <w:tc>
          <w:tcPr>
            <w:tcW w:w="4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21,005</w:t>
            </w:r>
          </w:p>
        </w:tc>
        <w:tc>
          <w:tcPr>
            <w:tcW w:w="5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21,005</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10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24,016</w:t>
            </w:r>
          </w:p>
        </w:tc>
        <w:tc>
          <w:tcPr>
            <w:tcW w:w="34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73,422</w:t>
            </w:r>
          </w:p>
        </w:tc>
        <w:tc>
          <w:tcPr>
            <w:tcW w:w="36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22,275</w:t>
            </w:r>
          </w:p>
        </w:tc>
        <w:tc>
          <w:tcPr>
            <w:tcW w:w="34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EEEEEE"/>
            </w:tcBorders>
            <w:shd w:val="clear" w:color="auto" w:fill="EEEEEE"/>
          </w:tcPr>
          <w:p>
            <w:pPr>
              <w:spacing w:after="0"/>
              <w:rPr>
                <w:sz w:val="17"/>
                <w:szCs w:val="17"/>
                <w:color w:val="auto"/>
              </w:rPr>
            </w:pPr>
          </w:p>
        </w:tc>
        <w:tc>
          <w:tcPr>
            <w:tcW w:w="138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500" w:type="dxa"/>
            <w:vAlign w:val="bottom"/>
            <w:tcBorders>
              <w:top w:val="single" w:sz="8" w:color="auto"/>
            </w:tcBorders>
            <w:shd w:val="clear" w:color="auto" w:fill="EEEEEE"/>
          </w:tcPr>
          <w:p>
            <w:pPr>
              <w:spacing w:after="0"/>
              <w:rPr>
                <w:sz w:val="17"/>
                <w:szCs w:val="17"/>
                <w:color w:val="auto"/>
              </w:rPr>
            </w:pPr>
          </w:p>
        </w:tc>
        <w:tc>
          <w:tcPr>
            <w:tcW w:w="880" w:type="dxa"/>
            <w:vAlign w:val="bottom"/>
            <w:tcBorders>
              <w:top w:val="single" w:sz="8" w:color="auto"/>
            </w:tcBorders>
            <w:shd w:val="clear" w:color="auto" w:fill="EEEEEE"/>
          </w:tcPr>
          <w:p>
            <w:pPr>
              <w:spacing w:after="0"/>
              <w:rPr>
                <w:sz w:val="17"/>
                <w:szCs w:val="17"/>
                <w:color w:val="auto"/>
              </w:rPr>
            </w:pPr>
          </w:p>
        </w:tc>
        <w:tc>
          <w:tcPr>
            <w:tcW w:w="360" w:type="dxa"/>
            <w:vAlign w:val="bottom"/>
            <w:tcBorders>
              <w:top w:val="single" w:sz="8" w:color="EEEEEE"/>
            </w:tcBorders>
            <w:shd w:val="clear" w:color="auto" w:fill="EEEEEE"/>
          </w:tcPr>
          <w:p>
            <w:pPr>
              <w:spacing w:after="0"/>
              <w:rPr>
                <w:sz w:val="17"/>
                <w:szCs w:val="17"/>
                <w:color w:val="auto"/>
              </w:rPr>
            </w:pPr>
          </w:p>
        </w:tc>
        <w:tc>
          <w:tcPr>
            <w:tcW w:w="480" w:type="dxa"/>
            <w:vAlign w:val="bottom"/>
            <w:tcBorders>
              <w:top w:val="single" w:sz="8" w:color="auto"/>
            </w:tcBorders>
            <w:shd w:val="clear" w:color="auto" w:fill="EEEEEE"/>
          </w:tcPr>
          <w:p>
            <w:pPr>
              <w:spacing w:after="0"/>
              <w:rPr>
                <w:sz w:val="17"/>
                <w:szCs w:val="17"/>
                <w:color w:val="auto"/>
              </w:rPr>
            </w:pPr>
          </w:p>
        </w:tc>
        <w:tc>
          <w:tcPr>
            <w:tcW w:w="90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500" w:type="dxa"/>
            <w:vAlign w:val="bottom"/>
            <w:tcBorders>
              <w:top w:val="single" w:sz="8" w:color="auto"/>
            </w:tcBorders>
            <w:shd w:val="clear" w:color="auto" w:fill="EEEEEE"/>
          </w:tcPr>
          <w:p>
            <w:pPr>
              <w:spacing w:after="0"/>
              <w:rPr>
                <w:sz w:val="17"/>
                <w:szCs w:val="17"/>
                <w:color w:val="auto"/>
              </w:rPr>
            </w:pPr>
          </w:p>
        </w:tc>
        <w:tc>
          <w:tcPr>
            <w:tcW w:w="8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420" w:type="dxa"/>
            <w:vAlign w:val="bottom"/>
            <w:tcBorders>
              <w:top w:val="single" w:sz="8" w:color="auto"/>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7"/>
              </w:rPr>
              <w:t>Common stock issued upon exercise of</w:t>
            </w: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options and warrants</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1,525</w:t>
            </w:r>
          </w:p>
        </w:tc>
        <w:tc>
          <w:tcPr>
            <w:tcW w:w="50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3,256</w:t>
            </w:r>
          </w:p>
        </w:tc>
        <w:tc>
          <w:tcPr>
            <w:tcW w:w="48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3,256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Pension benefit obligation</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(3,956)</w:t>
            </w:r>
          </w:p>
        </w:tc>
        <w:tc>
          <w:tcPr>
            <w:tcW w:w="42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3,835</w:t>
            </w:r>
          </w:p>
        </w:tc>
        <w:tc>
          <w:tcPr>
            <w:tcW w:w="4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29,516</w:t>
            </w:r>
          </w:p>
        </w:tc>
        <w:tc>
          <w:tcPr>
            <w:tcW w:w="5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29,516</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Balance at December 31, 2014</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25,541</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80,513</w:t>
            </w:r>
          </w:p>
        </w:tc>
        <w:tc>
          <w:tcPr>
            <w:tcW w:w="3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51,791</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29,516</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21,005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Accretion of deferred acquisition fees</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(16,213)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(20,565)</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(15,957)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Accretion of purchase discount on receivables measured at fair value</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(1,421)</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Amortization of discount on securitization trust debt</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Amortization of discount on senior secured debt, related party</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1,992</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2,296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Accretion of premium on debt secured by receivables measured at fair value</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2,726</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Mark to fair value on debt secured by receivables at fair value</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(747)</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7,113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Mark to fair value of receivables at fair value</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595</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437</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543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6,767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6,803</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108,228</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76,869</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33,495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Provision for contingent liabilities</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7,841</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3,835</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3,864</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Interest income on residual assets</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Gain on cancellation of debt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(10,947)</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Change in fair value of warrants</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60"/>
              <w:spacing w:after="0"/>
              <w:rPr>
                <w:sz w:val="20"/>
                <w:szCs w:val="20"/>
                <w:color w:val="auto"/>
              </w:rPr>
            </w:pPr>
            <w:r>
              <w:rPr>
                <w:rFonts w:ascii="Arial" w:cs="Arial" w:eastAsia="Arial" w:hAnsi="Arial"/>
                <w:sz w:val="18"/>
                <w:szCs w:val="18"/>
                <w:color w:val="auto"/>
              </w:rPr>
              <w:t>Accrued interest receivable</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(4,702)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(8,259)</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(1,925)</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(2,183)</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5,625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60"/>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16,368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16,425</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(60,640)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(7,135)</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4,337</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EEEEEE"/>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135,827</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99,372</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34,989</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80"/>
              <w:spacing w:after="0"/>
              <w:rPr>
                <w:sz w:val="20"/>
                <w:szCs w:val="20"/>
                <w:color w:val="auto"/>
              </w:rPr>
            </w:pPr>
            <w:r>
              <w:rPr>
                <w:rFonts w:ascii="Arial" w:cs="Arial" w:eastAsia="Arial" w:hAnsi="Arial"/>
                <w:sz w:val="18"/>
                <w:szCs w:val="18"/>
                <w:color w:val="auto"/>
              </w:rPr>
              <w:t>Purchases of finance receivables held for investment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(944,944)</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(764,087)</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(551,742)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Payments received on finance receivables held for investment</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433,870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337,095</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295,734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80"/>
              <w:spacing w:after="0"/>
              <w:rPr>
                <w:sz w:val="20"/>
                <w:szCs w:val="20"/>
                <w:color w:val="auto"/>
              </w:rPr>
            </w:pPr>
            <w:r>
              <w:rPr>
                <w:rFonts w:ascii="Arial" w:cs="Arial" w:eastAsia="Arial" w:hAnsi="Arial"/>
                <w:sz w:val="18"/>
                <w:szCs w:val="18"/>
                <w:color w:val="auto"/>
              </w:rPr>
              <w:t>Payments on receivables portfolio at fair value</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13,122</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46,018</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Proceeds received on residual interest in securitizations</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1,158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3,970</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80"/>
              <w:spacing w:after="0"/>
              <w:rPr>
                <w:sz w:val="20"/>
                <w:szCs w:val="20"/>
                <w:color w:val="auto"/>
              </w:rPr>
            </w:pPr>
            <w:r>
              <w:rPr>
                <w:rFonts w:ascii="Arial" w:cs="Arial" w:eastAsia="Arial" w:hAnsi="Arial"/>
                <w:sz w:val="18"/>
                <w:szCs w:val="18"/>
                <w:color w:val="auto"/>
              </w:rPr>
              <w:t>Change in repossessions held in inventory</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(4,246)</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Decreases (increases) in restricted cash and cash equivalents, net</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(43,098)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(27,839)</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ind w:left="80"/>
              <w:spacing w:after="0"/>
              <w:rPr>
                <w:sz w:val="20"/>
                <w:szCs w:val="20"/>
                <w:color w:val="auto"/>
              </w:rPr>
            </w:pPr>
            <w:r>
              <w:rPr>
                <w:rFonts w:ascii="Arial" w:cs="Arial" w:eastAsia="Arial" w:hAnsi="Arial"/>
                <w:sz w:val="18"/>
                <w:szCs w:val="18"/>
                <w:color w:val="auto"/>
              </w:rPr>
              <w:t>Purchase of furniture and equipment</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(477)</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EEEEEE"/>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(541,156</w:t>
            </w:r>
          </w:p>
        </w:tc>
        <w:tc>
          <w:tcPr>
            <w:tcW w:w="200" w:type="dxa"/>
            <w:vAlign w:val="bottom"/>
            <w:tcBorders>
              <w:bottom w:val="single" w:sz="8" w:color="EEEEEE"/>
            </w:tcBorders>
          </w:tcPr>
          <w:p>
            <w:pPr>
              <w:jc w:val="right"/>
              <w:ind w:right="55"/>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(409,566</w:t>
            </w:r>
          </w:p>
        </w:tc>
        <w:tc>
          <w:tcPr>
            <w:tcW w:w="340" w:type="dxa"/>
            <w:vAlign w:val="bottom"/>
            <w:tcBorders>
              <w:bottom w:val="single" w:sz="8" w:color="EEEEEE"/>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(91,493</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80"/>
              <w:spacing w:after="0"/>
              <w:rPr>
                <w:sz w:val="20"/>
                <w:szCs w:val="20"/>
                <w:color w:val="auto"/>
              </w:rPr>
            </w:pPr>
            <w:r>
              <w:rPr>
                <w:rFonts w:ascii="Arial" w:cs="Arial" w:eastAsia="Arial" w:hAnsi="Arial"/>
                <w:sz w:val="18"/>
                <w:szCs w:val="18"/>
                <w:color w:val="auto"/>
              </w:rPr>
              <w:t>Proceeds from issuance of securitization trust debt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923,000</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778,000</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558,500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Proceeds from issuance of subordinated renewable notes</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1,276</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80"/>
              <w:spacing w:after="0"/>
              <w:rPr>
                <w:sz w:val="20"/>
                <w:szCs w:val="20"/>
                <w:color w:val="auto"/>
              </w:rPr>
            </w:pPr>
            <w:r>
              <w:rPr>
                <w:rFonts w:ascii="Arial" w:cs="Arial" w:eastAsia="Arial" w:hAnsi="Arial"/>
                <w:sz w:val="18"/>
                <w:szCs w:val="18"/>
                <w:color w:val="auto"/>
              </w:rPr>
              <w:t>Proceeds from issuance of senior secured debt, related party</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5,284</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Payments on subordinated renewable notes</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(4,488)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(5,415)</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80"/>
              <w:spacing w:after="0"/>
              <w:rPr>
                <w:sz w:val="20"/>
                <w:szCs w:val="20"/>
                <w:color w:val="auto"/>
              </w:rPr>
            </w:pPr>
            <w:r>
              <w:rPr>
                <w:rFonts w:ascii="Arial" w:cs="Arial" w:eastAsia="Arial" w:hAnsi="Arial"/>
                <w:sz w:val="18"/>
                <w:szCs w:val="18"/>
                <w:color w:val="auto"/>
              </w:rPr>
              <w:t>Net proceeds from (repayments of) warehouse lines of credit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47,387</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(12,279)</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Net proceeds from (repayments of) residual interest financing debt</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(6,769)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5,323</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80"/>
              <w:spacing w:after="0"/>
              <w:rPr>
                <w:sz w:val="20"/>
                <w:szCs w:val="20"/>
                <w:color w:val="auto"/>
              </w:rPr>
            </w:pPr>
            <w:r>
              <w:rPr>
                <w:rFonts w:ascii="Arial" w:cs="Arial" w:eastAsia="Arial" w:hAnsi="Arial"/>
                <w:sz w:val="18"/>
                <w:szCs w:val="18"/>
                <w:color w:val="auto"/>
              </w:rPr>
              <w:t>Repayment of securitization trust debt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(502,193)</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(382,591)</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(350,981)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Repayment of debt secured by receivables measured at fair value</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(12,456)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(45,969)</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(121,413)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80"/>
              <w:spacing w:after="0"/>
              <w:rPr>
                <w:sz w:val="20"/>
                <w:szCs w:val="20"/>
                <w:color w:val="auto"/>
              </w:rPr>
            </w:pPr>
            <w:r>
              <w:rPr>
                <w:rFonts w:ascii="Arial" w:cs="Arial" w:eastAsia="Arial" w:hAnsi="Arial"/>
                <w:sz w:val="18"/>
                <w:szCs w:val="18"/>
                <w:color w:val="auto"/>
              </w:rPr>
              <w:t>Repayment of senior secured debt, related party</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(39,182)</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(18,852)</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Payment of financing costs</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(8,058)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(8,734)</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8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Exercise of options and warrants</w:t>
            </w:r>
          </w:p>
        </w:tc>
        <w:tc>
          <w:tcPr>
            <w:tcW w:w="300" w:type="dxa"/>
            <w:vAlign w:val="bottom"/>
          </w:tcPr>
          <w:p>
            <w:pPr>
              <w:spacing w:after="0"/>
              <w:rPr>
                <w:sz w:val="19"/>
                <w:szCs w:val="19"/>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3,256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3,297</w:t>
            </w: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401,076</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319,340</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59,376</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9,146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22,112</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12,966</w:t>
            </w:r>
          </w:p>
        </w:tc>
        <w:tc>
          <w:tcPr>
            <w:tcW w:w="3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10,094</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22,112</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Interest</w:t>
            </w:r>
          </w:p>
        </w:tc>
        <w:tc>
          <w:tcPr>
            <w:tcW w:w="880" w:type="dxa"/>
            <w:vAlign w:val="bottom"/>
            <w:shd w:val="clear" w:color="auto" w:fill="EEEEEE"/>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45,914</w:t>
            </w:r>
          </w:p>
        </w:tc>
        <w:tc>
          <w:tcPr>
            <w:tcW w:w="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50,663</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6,520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2,277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Non-cash financing activities:</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Pension benefit obligation, net</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3,956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(4,542)</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shd w:val="clear" w:color="auto" w:fill="EEEEEE"/>
          </w:tcPr>
          <w:p>
            <w:pPr>
              <w:ind w:left="340"/>
              <w:spacing w:after="0" w:line="201" w:lineRule="exact"/>
              <w:rPr>
                <w:sz w:val="20"/>
                <w:szCs w:val="20"/>
                <w:color w:val="auto"/>
              </w:rPr>
            </w:pPr>
            <w:r>
              <w:rPr>
                <w:rFonts w:ascii="Arial" w:cs="Arial" w:eastAsia="Arial" w:hAnsi="Arial"/>
                <w:sz w:val="18"/>
                <w:szCs w:val="18"/>
                <w:color w:val="auto"/>
              </w:rPr>
              <w:t>Derivative warrants reclassified from liabilities to common stock upon</w:t>
            </w: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amendment</w:t>
            </w:r>
          </w:p>
        </w:tc>
        <w:tc>
          <w:tcPr>
            <w:tcW w:w="880" w:type="dxa"/>
            <w:vAlign w:val="bottom"/>
            <w:shd w:val="clear" w:color="auto" w:fill="EEEEEE"/>
          </w:tcPr>
          <w:p>
            <w:pPr>
              <w:spacing w:after="0"/>
              <w:rPr>
                <w:sz w:val="20"/>
                <w:szCs w:val="20"/>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583</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Consumer Portfolio Services, Inc. ("CPS") was incorporated in California on March 8, 1991. CPS and its subsidiaries (collectively, the "Company") specialize in purchasing and servicing retail automobile installment sale contracts ("contracts") originated by licensed motor vehicle dealers ("Dealers") located throughout the United States. Dealers located in Texas, California, Ohio, New Jersey, Florida and Pennsylvania represented 10.0%, 8.7%, 5.7%, 5.1% 5.0% and 4.8%, respectively, of contracts purchased during 2014 compared with 10.0%, 10.6%, 4.8%, 5.1%, 4.6% and 6.0% respectively in 2013. No other state had a concentration in excess of 4.8% in 2014. We specialize in contracts with borrowers who generally would not be expected to qualify for traditional financing provided by commercial banks or automobile manufacturers’ captive finance companies.</w:t>
      </w:r>
    </w:p>
    <w:p>
      <w:pPr>
        <w:spacing w:after="0" w:line="1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subject to various regulations and laws as they relate to the extension of credit in consumer credit transactions. Failure to comply with such laws and regulations could have a material adverse effect on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The Consolidated Financial Statements include the accounts of Consumer Portfolio Services, Inc. and its wholly-owned subsidiaries, certain of which are special purpose subsidiaries ("SPS"), formed to accommodate the structures under which we purchase and securitize our contracts. The Consolidated Financial Statements also include the accounts of CPS Leasing, Inc., an 80% owned subsidiary.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For purposes of the statements of cash flows, we consider all highly liquid debt instruments with original maturities of three months or less to be cash equivalents. Cash equivalents consist of cash on hand and due from banks and money market accounts. Substantially all of our cash is deposited at three financial institutions. We maintain cash due from banks in excess of the banks' insured deposit limits. We do not believe we are exposed to any significant credit risk on these deposits. As part of certain financial covenants related to debt facilities, we are required to maintain a minimum unrestricted cash balance. As of December 31, 2014, our unrestricted cash balance was $17.9 million, which exceeded the minimum amounts required by our financial covenants.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Finance receivables, which we have the intent and ability to hold for the foreseeable future or until maturity or payoff, are presented at cost. All finance receivable contracts are held for investment. Interest income is accrued on the unpaid principal balance. Origination fees, net of certain direct origination costs, are deferred and recognized in interest income using the interest method without anticipating prepayments. Generally, payments received on finance receivables are restricted to certain securitized pools, and the related contracts cannot be resold. Finance receivables are charged off pursuant to the controlling documents of certain securitized pools, generally as described below under Charge Off Policy. Management may authorize an extension of payment terms if collection appears likely during the next calendar month.</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portfolio of finance receivables consists of small-balance homogeneous contracts that are collectively evaluated for impairment on a portfolio basis.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order to estimate an appropriate allowance for losses likely incurred on finance receivables, we use a loss allowance methodology commonly referred to as "static pooling," which stratifies the finance receivable portfolio into separately identified pools based on their period of origination, then uses historical performance of seasoned pools to estimate future losses on current pools. Historical loss experience is adjusted as necessary for current economic conditions. We consider our portfolio of finance receivables to be relatively homogenous and consequently we analyze credit performance primarily in the aggregate rather than stratification by any particular credit quality indicator. Using analytical and formula driven techniques, we estimate an allowance for finance credit losses, which we believe is adequate for probable incurred credit losses that can be reasonably estimated in our portfolio of finance receivable contracts. For each monthly pool of contracts that we purchase, we begin establishing the allowance in the month of acquisition and increase it over the subsequent 11 months, through a provision for credit losses charged to our Consolidated Statement of Operations. Net losses incurred on finance receivables are charged to the allowance. We evaluate the adequacy of the allowance by examining current delinquencies, the characteristics of the portfolio, the value of the underlying collateral and historical loss trends. As conditions change, our level of provisioning and/or allowance may change.</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and Related Debt Measured at Fair Value</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 September 2011, we acquired $217.8 million of finance receivables from Fireside Bank for a purchase price of $201.3 million. The receivables were acquired by our wholly-owned special purpose subsidiary, CPS Fender Receivables, LLC, which issued a note for $197.3 million, with a fair value of $196.5 million.</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receivables we acquired are pledged as collateral for debt that was structured specifically for the acquisition of this portfolio. Since the Fireside receivables were originated by another entity with its own underwriting guidelines and procedures, we elected to account for the Fireside receivables and the related debt secured by those receivables at their estimated fair values so that changes in fair value will be reflected in our results of operations as they occur. We use our own assumptions about the factors that we believe market participants would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 Interest income from the receivables and interest expense on the debt are included in interest income and interest expense, respectively. Changes to the fair value of the receivables and debt are also to be included in interest income and interest expense,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 Off Policy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Delinquent contracts for which the related financed vehicle has been repossessed are generally charged off at the earliest of (1) the month in which the proceeds from the sale of the financed vehicle are received, (2) the month in which 90 days have passed from the date of repossession or (3) the month in which the Contract becomes seven scheduled payments past due (see Repossessed and Other Assets below). The amount charged off is the remaining principal balance of the Contract, after the application of the net proceeds from the liquidation of the financed vehicle. With respect to delinquent contracts for which the related financed vehicle has not been repossessed, the remaining principal balance is generally charged off no later than the end of the month that the Contract becomes five scheduled payments past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Fees and Origination Costs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Upon purchase of a Contract from a Dealer, we generally either charge or advance the Dealer an acquisition fee. Dealer acquisition fees and deferred origination costs are applied to the carrying value of finance receivables and are accreted into earnings as an adjustment to the yield over the estimated life of the Contract using the interest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Repossessed and Other Assets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 Contract obligor fails to make or keep promises for payments, or if the obligor is uncooperative or attempts to evade contact or hide the vehicle, a supervisor will review the collection activity relating to the account to determine if repossession of the vehicle is warranted. Generally, such a decision is made between the 60th and 90th day past the obligor’s payment due date, but could occur sooner or later, depending on the specific circumstances. At the time the vehicle is repossessed we stop accruing interest on the Contract, and reclassify the remaining Contract balance to the line item "Other Assets" on our Consolidated Balance Sheet at its estimated fair value less costs to sell. Included in other assets in the accompanying Consolidated Balance Sheets are repossessed vehicles pending sale of $10.4 million and $10.0 million at December 31,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Securitizations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sell contracts we acquire to a wholly-owned special purpose subsidiary ("SPS"), which has been established for the limited purpose of buying and reselling our contracts. The SPS then transfers the same contracts to another entity, typically a statutory trust ("Trust"). The Trust issues interest-bearing asset-backed securities ("Notes"), in a principal amount equal to or less than the aggregate principal balance of the contracts. We typically sell these contracts to the Trust at face value and without recourse, except representations and warranties that we make to the Trust that are similar to those provided to us by the Dealer. One or more investors purchase the Notes issued by the Trust (the "Noteholders"); the proceeds from the sale of the Notes are then used to purchase the contracts from us. We may retain or sell subordinated Notes issued by the Trust. In addition, we have provided "Credit Enhancement" for the benefit of the Noteholders in three forms: (1) an initial cash deposit to a bank account (a "Spread Account") held by the Trust, (2) overcollateralization of the Notes, where the principal balance of the Notes issued is less than the principal balance of the contracts, and (3) in the form of subordinated Notes. The agreements governing the securitization transactions (collectively referred to as the "Securitization Agreements") require that the initial level of Credit Enhancement be supplemented by a portion of collections from the contracts until the level of Credit Enhancement reaches specified levels, which are then maintained. The specified levels are generally computed as a percentage of the principal amount remaining unpaid under the related contracts. The specified levels at which the Credit Enhancement is to be maintained will vary depending on the performance of the portfolios of contracts held by the Trusts and on other conditions. Such levels have increased and decreased from time to time based on performance of the various portfolios, and have also varied from one Trust to another.</w:t>
      </w:r>
    </w:p>
    <w:p>
      <w:pPr>
        <w:spacing w:after="0" w:line="17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warehouse securitization structures are similar to the above, except that (i) the SPS that purchases the contracts pledges the contracts to secure promissory notes or loans that it issues, and (ii) no increase in the required amount of Credit Enhancement is contemplated. Upon each sale of contracts in a securitization structured as a secured financing, we retain as assets on our Consolidated Balance Sheet the securitized contracts and record as indebtedness the Notes issued in the transaction.</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For all of the securitizations that we have completed since July 2003 (other than the September 2008 and September 2010 securitizations), we have the power to direct the most significant activities of the SPS. In addition, we have the obligation to absorb losses and the rights to receive benefits from the SPS, both of which could be potentially significant to the SPS. These types of securitization structures are treated as secured financings, in which the receivables remain on our Consolidated Balance Sheet, and the debt issued by the SPS is shown as a securitization trust debt on our Consolidated Balance Sheet.</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September 2008 and September 2010 securitizations and other term securitizations completed prior to July 2003 (which were structured as sales for financial accounting purposes), we removed from our Consolidated Balance Sheet the contracts sold and added to our Consolidated Balance Sheet (i) the cash received, if any, and (ii) the estimated fair value of the ownership interest that we retained in contracts sold in the securitization. That retained or residual interest (the "Residual") consists of (a) the cash held in the Spread Account, if any, (b) overcollateralization, if any, (c) Notes retained, if any, and (d) receivables from the Trust, which include the net interest receivables ("NIRs"). NIRs represent the estimated discounted cash flows to be received from the Trust in the future, net of principal and interest payable with respect to the Notes, any premiums paid to the senior Note insurer (a “Note Insurer”), if any, and certain other expenses.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recognize gains or losses attributable to any changes in the estimated fair value of the Residuals. Gains in fair value are recognized as Other Income and losses are recorded as an impairment loss in the Consolidated Statement of Operations. We are not aware of an active market for the purchase or sale of interests such as the Residuals; accordingly, we determine the estimated fair value of the Residuals by discounting the amount of anticipated cash flows that we estimate will be released to us in the future (the cash out method), using a discount rate that we believe is appropriate for the risks involved. The anticipated cash flows may include collections from both current and charged off receivables. We have used an effective pre-tax discount rate of 20% per annum.</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receive periodic base servicing fees for the servicing and collection of the contracts. In addition, we are entitled to the cash flows from the Trusts that represent collections on the contracts in excess of the amounts required to pay principal and interest on the Notes, the base servicing fees, and the premium paid to the Note Insurer, if any, and certain other fees (such as trustee and custodial fees). Required principal payments on the Notes are generally defined as the payments sufficient to keep the principal balance of the Notes equal to the aggregate principal balance of the related contracts (excluding those contracts that have been charged off), or a pre-determined percentage of such balance. Where that percentage is less than 100%, the related Securitization Agreements require accelerated payment of principal until the principal balance of the Notes is reduced to the specified percentage. Such accelerated principal payment is said to create "overcollateralization" of the Notes.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the amount of cash required for payment of fees, interest and principal on the senior Notes exceeds the amount collected during the collection period, the shortfall is generally withdrawn from the Spread Account, if any. If the cash collected during the period exceeds the amount necessary for the above allocations plus required principal payments on the subordinated Notes, if any, and there is no shortfall in the related Spread Account or other form of Credit Enhancement, the excess is released to us. If the total Credit Enhancement amount is not at the required level, then the excess cash collected is retained in the Trust until the specified level is achieved. Cash in the Spread Accounts is restricted from our use. Cash held in the various Spread Accounts is invested in high quality, liquid investment securities, as specified in the Securitization Agreements. In determining the value of the Residuals, we have estimated the future rates of prepayments, delinquencies, defaults, default loss severity, and recovery rates, as all of these factors affect the amount and timing of the estimated cash flows. Our estimates are based on historical performance of comparable contracts.</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Following a securitization that is structured as a sale for financial accounting purposes, we recognize interest income on the balance of the Residuals. In addition, we will recognize additional revenue in other income if the actual performance of the contracts related to the Residuals is better than our estimate of the value of the Residual. If the actual performance of the contracts is worse than our estimate, then a reduction to the carrying value of the Residuals and a related impairment charge would be required. In a securitization structured as a secured financing for financial accounting purposes, interest income is recognized when accrued under the terms of the related contracts and, therefore, presents less potential for fluctuations in performance when compared to the approach used in a transaction structured as a sale for financial accounting purposes.</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all of our term securitizations, whether treated as secured financings or as sales, we have transferred the receivables (through a subsidiary) to the securitization Trust. The difference between the two structures is that in securitizations that are treated as secured financings we report the assets and liabilities of the securitization Trust on our Consolidated Balance Sheet. Under both structures the Noteholders’ and the related securitization Trusts’ recourse against us for failure of the contract obligors to make payments on a timely basis is limited, in general, to our Finance Receivables, Spread Accounts and Residuals.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consider the contractual servicing fee received on our managed portfolio held by non-consolidated subsidiaries to be equal to adequate compensation. Additionally, we consider that these fees would fairly compensate a substitute servicer, should one be required. As a result, no servicing asset or liability has been recognized. Servicing fees received on the managed portfolio held by non-consolidated subsidiaries are reported as income when earned. Servicing fees received on the managed portfolio held by consolidated subsidiaries are included in interest income when earned. Servicing costs are charged to expense as incurred. Servicing fees receivable, which are included in Other Assets in the accompanying Consolidated Balance Sheets, represent fees earned but not yet remitted to us by the trustee.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Furniture and Equipment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Furniture and equipment are stated at cost net of accumulated depreciation. We calculate depreciation using the straight-line method over the estimated useful lives of the assets, which range from three to five years. Assets held under capital leases and leasehold improvements are amortized over the lesser of the estimated useful lives of the assets or the related lease terms. Amortization expense on assets acquired under capital lease is included with depreciation expense on owned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and Long-Lived Assets to Be Disposed Of</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Long-lived assets and certain identifiable intangibles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i w:val="1"/>
                <w:iCs w:val="1"/>
                <w:color w:val="auto"/>
              </w:rPr>
              <w:t>Other Income</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520" w:type="dxa"/>
            <w:vAlign w:val="bottom"/>
          </w:tcPr>
          <w:p>
            <w:pPr>
              <w:ind w:left="660"/>
              <w:spacing w:after="0"/>
              <w:rPr>
                <w:sz w:val="20"/>
                <w:szCs w:val="20"/>
                <w:color w:val="auto"/>
              </w:rPr>
            </w:pPr>
            <w:r>
              <w:rPr>
                <w:rFonts w:ascii="Arial" w:cs="Arial" w:eastAsia="Arial" w:hAnsi="Arial"/>
                <w:sz w:val="18"/>
                <w:szCs w:val="18"/>
                <w:color w:val="auto"/>
              </w:rPr>
              <w:t>The following table presents the primary components of Other Income:</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5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5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880" w:type="dxa"/>
            <w:vAlign w:val="bottom"/>
            <w:shd w:val="clear" w:color="auto" w:fill="EEEEEE"/>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7,975</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7,004</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5,949</w:t>
            </w:r>
          </w:p>
        </w:tc>
        <w:tc>
          <w:tcPr>
            <w:tcW w:w="80" w:type="dxa"/>
            <w:vAlign w:val="bottom"/>
            <w:shd w:val="clear" w:color="auto" w:fill="EEEEEE"/>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Convenience fees revenue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2,965</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2,907</w:t>
            </w:r>
          </w:p>
        </w:tc>
        <w:tc>
          <w:tcPr>
            <w:tcW w:w="80" w:type="dxa"/>
            <w:vAlign w:val="bottom"/>
          </w:tcPr>
          <w:p>
            <w:pPr>
              <w:spacing w:after="0"/>
              <w:rPr>
                <w:sz w:val="18"/>
                <w:szCs w:val="18"/>
                <w:color w:val="auto"/>
              </w:rPr>
            </w:pPr>
          </w:p>
        </w:tc>
      </w:tr>
      <w:tr>
        <w:trPr>
          <w:trHeight w:val="216"/>
        </w:trPr>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177</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EEEEEE"/>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Sales tax refunds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r>
      <w:tr>
        <w:trPr>
          <w:trHeight w:val="230"/>
        </w:trPr>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114</w:t>
            </w:r>
          </w:p>
        </w:tc>
      </w:tr>
      <w:tr>
        <w:trPr>
          <w:trHeight w:val="223"/>
        </w:trPr>
        <w:tc>
          <w:tcPr>
            <w:tcW w:w="65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12,146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10,405</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computation of basic and diluted earnings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2013</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(In thousands, except per share data)</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520" w:type="dxa"/>
            <w:vAlign w:val="bottom"/>
          </w:tcPr>
          <w:p>
            <w:pPr>
              <w:spacing w:after="0"/>
              <w:rPr>
                <w:sz w:val="20"/>
                <w:szCs w:val="20"/>
                <w:color w:val="auto"/>
              </w:rPr>
            </w:pPr>
            <w:r>
              <w:rPr>
                <w:rFonts w:ascii="Arial" w:cs="Arial" w:eastAsia="Arial" w:hAnsi="Arial"/>
                <w:sz w:val="18"/>
                <w:szCs w:val="18"/>
                <w:color w:val="auto"/>
              </w:rPr>
              <w:t>Numerator for basic and diluted earnings per share</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29,516</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21,005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69,408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520" w:type="dxa"/>
            <w:vAlign w:val="bottom"/>
            <w:tcBorders>
              <w:top w:val="single" w:sz="8" w:color="EEEEEE"/>
            </w:tcBorders>
            <w:shd w:val="clear" w:color="auto" w:fill="EEEEEE"/>
          </w:tcPr>
          <w:p>
            <w:pPr>
              <w:spacing w:after="0" w:line="196" w:lineRule="exact"/>
              <w:rPr>
                <w:sz w:val="20"/>
                <w:szCs w:val="20"/>
                <w:color w:val="auto"/>
              </w:rPr>
            </w:pPr>
            <w:r>
              <w:rPr>
                <w:rFonts w:ascii="Arial" w:cs="Arial" w:eastAsia="Arial" w:hAnsi="Arial"/>
                <w:sz w:val="18"/>
                <w:szCs w:val="18"/>
                <w:color w:val="auto"/>
              </w:rPr>
              <w:t>Denominator:</w:t>
            </w:r>
          </w:p>
        </w:tc>
        <w:tc>
          <w:tcPr>
            <w:tcW w:w="880" w:type="dxa"/>
            <w:vAlign w:val="bottom"/>
            <w:tcBorders>
              <w:top w:val="single" w:sz="8" w:color="auto"/>
            </w:tcBorders>
            <w:shd w:val="clear" w:color="auto" w:fill="EEEEEE"/>
          </w:tcPr>
          <w:p>
            <w:pPr>
              <w:spacing w:after="0"/>
              <w:rPr>
                <w:sz w:val="17"/>
                <w:szCs w:val="17"/>
                <w:color w:val="auto"/>
              </w:rPr>
            </w:pPr>
          </w:p>
        </w:tc>
        <w:tc>
          <w:tcPr>
            <w:tcW w:w="50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8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440" w:type="dxa"/>
            <w:vAlign w:val="bottom"/>
            <w:tcBorders>
              <w:top w:val="single" w:sz="8" w:color="auto"/>
            </w:tcBorders>
            <w:shd w:val="clear" w:color="auto" w:fill="EEEEEE"/>
          </w:tcPr>
          <w:p>
            <w:pPr>
              <w:spacing w:after="0"/>
              <w:rPr>
                <w:sz w:val="17"/>
                <w:szCs w:val="17"/>
                <w:color w:val="auto"/>
              </w:rPr>
            </w:pPr>
          </w:p>
        </w:tc>
        <w:tc>
          <w:tcPr>
            <w:tcW w:w="92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color w:val="auto"/>
              </w:rPr>
              <w:t>Denominator for basic earnings per share</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rPr>
                <w:sz w:val="20"/>
                <w:szCs w:val="20"/>
                <w:color w:val="auto"/>
              </w:rPr>
            </w:pPr>
            <w:r>
              <w:rPr>
                <w:rFonts w:ascii="Arial" w:cs="Arial" w:eastAsia="Arial" w:hAnsi="Arial"/>
                <w:sz w:val="18"/>
                <w:szCs w:val="18"/>
                <w:color w:val="auto"/>
              </w:rPr>
              <w:t>- weighted average number of common shares outstanding during the year</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25,040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21,538</w:t>
            </w:r>
          </w:p>
        </w:tc>
        <w:tc>
          <w:tcPr>
            <w:tcW w:w="4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19,473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Incremental common shares attributable to exercise of outstanding options and</w:t>
            </w: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5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warrants</w:t>
            </w:r>
          </w:p>
        </w:tc>
        <w:tc>
          <w:tcPr>
            <w:tcW w:w="880" w:type="dxa"/>
            <w:vAlign w:val="bottom"/>
            <w:shd w:val="clear" w:color="auto" w:fill="EEEEEE"/>
          </w:tcPr>
          <w:p>
            <w:pPr>
              <w:spacing w:after="0"/>
              <w:rPr>
                <w:sz w:val="21"/>
                <w:szCs w:val="21"/>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6,992</w:t>
            </w:r>
          </w:p>
        </w:tc>
        <w:tc>
          <w:tcPr>
            <w:tcW w:w="3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10,036</w:t>
            </w:r>
          </w:p>
        </w:tc>
        <w:tc>
          <w:tcPr>
            <w:tcW w:w="440" w:type="dxa"/>
            <w:vAlign w:val="bottom"/>
            <w:shd w:val="clear" w:color="auto" w:fill="EEEEEE"/>
          </w:tcPr>
          <w:p>
            <w:pPr>
              <w:spacing w:after="0"/>
              <w:rPr>
                <w:sz w:val="21"/>
                <w:szCs w:val="21"/>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6,005</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Denominator for diluted earnings per share</w:t>
            </w:r>
          </w:p>
        </w:tc>
        <w:tc>
          <w:tcPr>
            <w:tcW w:w="8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32,032</w:t>
            </w:r>
          </w:p>
        </w:tc>
        <w:tc>
          <w:tcPr>
            <w:tcW w:w="3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31,574</w:t>
            </w:r>
          </w:p>
        </w:tc>
        <w:tc>
          <w:tcPr>
            <w:tcW w:w="340" w:type="dxa"/>
            <w:vAlign w:val="bottom"/>
            <w:tcBorders>
              <w:bottom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25,478</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52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Basic earnings per share</w:t>
            </w:r>
          </w:p>
        </w:tc>
        <w:tc>
          <w:tcPr>
            <w:tcW w:w="880" w:type="dxa"/>
            <w:vAlign w:val="bottom"/>
            <w:tcBorders>
              <w:bottom w:val="single" w:sz="8" w:color="auto"/>
            </w:tcBorders>
            <w:shd w:val="clear" w:color="auto" w:fill="EEEEEE"/>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1.18</w:t>
            </w:r>
          </w:p>
        </w:tc>
        <w:tc>
          <w:tcPr>
            <w:tcW w:w="34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auto"/>
            </w:tcBorders>
            <w:shd w:val="clear" w:color="auto" w:fill="EEEEEE"/>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0.98</w:t>
            </w:r>
          </w:p>
        </w:tc>
        <w:tc>
          <w:tcPr>
            <w:tcW w:w="340" w:type="dxa"/>
            <w:vAlign w:val="bottom"/>
            <w:tcBorders>
              <w:bottom w:val="single" w:sz="8" w:color="EEEEEE"/>
            </w:tcBorders>
            <w:shd w:val="clear" w:color="auto" w:fill="EEEEEE"/>
          </w:tcPr>
          <w:p>
            <w:pPr>
              <w:spacing w:after="0"/>
              <w:rPr>
                <w:sz w:val="17"/>
                <w:szCs w:val="17"/>
                <w:color w:val="auto"/>
              </w:rPr>
            </w:pPr>
          </w:p>
        </w:tc>
        <w:tc>
          <w:tcPr>
            <w:tcW w:w="440" w:type="dxa"/>
            <w:vAlign w:val="bottom"/>
            <w:tcBorders>
              <w:bottom w:val="single" w:sz="8" w:color="auto"/>
            </w:tcBorders>
            <w:shd w:val="clear" w:color="auto" w:fill="EEEEEE"/>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3.56</w:t>
            </w: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880" w:type="dxa"/>
            <w:vAlign w:val="bottom"/>
            <w:tcBorders>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0.92</w:t>
            </w:r>
          </w:p>
        </w:tc>
        <w:tc>
          <w:tcPr>
            <w:tcW w:w="3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34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Incremental shares of 4.5 million, 2.1 million and 979,000 related to stock options and warrants have been excluded from the diluted earnings per share calculation for the years ended December 31, 2014, 2013 and 2012, respectively, because the effect is anti-dilutive.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 and Amortization of Debt Issuance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Costs related to the issuance of debt are deferred and amortized using the interest method over the contractual or expected term of the related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 We estimate a valuation allowance against that portion of the deferred tax asset whose utilization in future periods is not more than likely.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Company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purchases of our own common stock at cost and treat the shares as retired.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recognize compensation costs in the financial statements for all share-based payments granted subsequent to January 1, 2006 based on the grant date fair value estimated in accordance with the provisions of ASC 718 “Stock Compensation”. Compensation cost is recognized over the required service period, generally defined as the vesting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153"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Specifically, a number of estimates were made in connection with determining an appropriate allowance for finance credit losses, determining appropriate reserves for contingent liabilities, valuing finance receivables measured at fair value and the related debt, accreting net acquisition fees, amortizing deferred costs, and recording deferred tax assets and reserves for uncertain tax positions. These are material estimates that could be susceptible to changes in the near term and, accordingly, actual results could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Certain amounts for the prior year have been reclassified to conform to the current year’s presentation with no effect on previously reported earnings or shareholders’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We do not use derivative financial instruments to hedge exposures to cash flow or market risks. However, from 2008 to 2010, we issued warrants to purchase our common stock in conjunction with various debt financing transactions. At the time of issuance, five of these warrants issued contained "down round," or price reset, features that are subject to classification as liabilities for financial statement purposes. These liabilities were measured at fair value, with the changes in fair value at the end of each period reflected as current period income or loss. Accordingly, changes to the market price per share of our common stock underlying these warrants with "down round" features directly affected the fair value computations for these derivative financial instruments. The effect was that any increase in the market price per share of our common stock would also increase the related liability, which in turn would result in a current period loss. Conversely, any decrease in the market price per share of our common stock would also decrease the related liability, which in turn would result in a current period gain. We used a binomial pricing model to compute the fair value of the liabilities associated with the outstanding warrants. In computing the fair value of the warrant liabilities at the end of each period, we used significant judgments with respect to the risk free interest rate, the volatility of our stock price, and the estimated life of the warrants. The warrant liabilities were included in Accounts Payable and Accrued Expenses on our Consolidated Balance Sheets. On March 29, 2012 we agreed with the holders to amend three of the five warrants that contained the “down round” features, removing those specific price reset terms. On the date of the amendment, we valued each of the three warrants using a binomial pricing model as described above. The aggregate value of the three amended warrants of $1.1 million was then reclassified from Accounts Payable to Common Stock. On June 25, 2012 we agreed with the holder to amend one other warrant that contained the “down round” features, removing those specific price reset terms. The $250,000 aggregate value of this amended warrant was reclassified from Accounts Payable to Common Stock on the date of the amendment. The fifth warrant with the “down round” feature was exercised on February 22, 2013. The $583,000 intrinsic value of this warrant was reclassified from Accounts Payable to Common Stock on the date of the exercise. As of December 31, 2014 and 2013, all five of the warrants issued that previously contained price reset features have either been amended or exercised and are no longer subject to quarterly valuations.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Certain of our securitization transactions, our residual interest financing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2014 we were in compliance with all such financial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Cancellation of Debt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April 2013, we repurchased the outstanding Class D notes from our first 2008 securitization for a cash payment of $6.1 million and a new 5% note for $5.3 million due in June 2014. The Class D notes were held by the same related party that held our senior secured debt. On the date we repurchased the Class D notes, the Class D note holder owned 10.5% of our outstanding common stock and warrants to purchase an additional 1.9 million shares of common stock. We 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 for the year ended December 31, 2013.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Contingent Liabilities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2013, we recognized $7.8 million in contingent liability expenses to either record or increase the amounts we believed represented our best estimate of probable incurred losses related to various matters. The amount was allocated in part to a long running case (“Pardee”) in which we were sued for indemnity, and also to more recent matters. In September 2014 we reached a settlement of the Pardee case, pursuant to which we paid $5.99 million and all claims against us were fully and finally discharged.</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more recent matters included two California class action suits where we are the defendant, and a governmental inquiry, in which the United States Federal Trade Commission (“FTC”) had informally proposed that we refrain from certain allegedly unfair trade practices, and make restitutionary payments into a consumer relief fund. In May 2014, the FTC announced its agreement to settle the matter by filing a lawsuit against us, and requesting, with our consent, that the court enter an agreed judgment against us. The lawsuit arose out of the FTC’s inquiry into our business practices. Under the agreed settlement, we made approximately $1.9 million of restitutionary payments and $1.6 million of account adjustments to our customers in September 2014, and paid a $2 million penalty to the federal government in June 2014, and implemented procedural changes, all pursuant to a consent decree which was entered by the court in June 2014.</w:t>
      </w:r>
    </w:p>
    <w:p>
      <w:pPr>
        <w:spacing w:after="0" w:line="18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have recorded a liability as of December 31, 2014, which represents our best estimate of probable incurred losses for legal contingencies. The amount of losses that may ultimately be incurred cannot be estimated with certainty.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Restricted Cash</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Restricted cash consists of cash and cash equivalent accounts relating to our outstanding securitization trusts and credit facilities. The amount of restricted cash on our Consolidated Balance Sheets was $175.4 million and $132.3 million as of December 31, 2014 and 2013, respectively.</w:t>
      </w:r>
    </w:p>
    <w:p>
      <w:pPr>
        <w:spacing w:after="0" w:line="124"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Our securitization transactions and one of our warehouse credit facilities require that we establish cash reserves, or spread accounts, as additional credit enhancement. These cash reserves, which are included in restricted cash, were $31.2 million and $23.3 million as of December 31,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Finance Receivables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Automobile finance receivables, net of unearned interest</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1,612,246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1,182,950</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Less: Unearned acquisition fees and discounts</w:t>
            </w:r>
          </w:p>
        </w:tc>
        <w:tc>
          <w:tcPr>
            <w:tcW w:w="4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(16,290)</w:t>
            </w:r>
          </w:p>
        </w:tc>
        <w:tc>
          <w:tcPr>
            <w:tcW w:w="46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(27,887)</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Finance receivables</w:t>
            </w:r>
          </w:p>
        </w:tc>
        <w:tc>
          <w:tcPr>
            <w:tcW w:w="4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1,595,956</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1,155,063</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900" w:type="dxa"/>
            <w:vAlign w:val="bottom"/>
            <w:vMerge w:val="restart"/>
          </w:tcPr>
          <w:p>
            <w:pPr>
              <w:ind w:left="4100"/>
              <w:spacing w:after="0"/>
              <w:rPr>
                <w:sz w:val="20"/>
                <w:szCs w:val="20"/>
                <w:color w:val="auto"/>
              </w:rPr>
            </w:pPr>
            <w:r>
              <w:rPr>
                <w:rFonts w:ascii="Arial" w:cs="Arial" w:eastAsia="Arial" w:hAnsi="Arial"/>
                <w:sz w:val="18"/>
                <w:szCs w:val="18"/>
                <w:color w:val="auto"/>
              </w:rPr>
              <w:t>F-15</w:t>
            </w: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December 31, 2014 and 2013:</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80" w:type="dxa"/>
            <w:vAlign w:val="bottom"/>
            <w:gridSpan w:val="2"/>
            <w:vMerge w:val="continue"/>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22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1,523,020</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1,125,926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3180" w:type="dxa"/>
            <w:vAlign w:val="bottom"/>
          </w:tcPr>
          <w:p>
            <w:pPr>
              <w:ind w:left="20"/>
              <w:spacing w:after="0"/>
              <w:rPr>
                <w:sz w:val="20"/>
                <w:szCs w:val="20"/>
                <w:color w:val="auto"/>
              </w:rPr>
            </w:pPr>
            <w:r>
              <w:rPr>
                <w:rFonts w:ascii="Arial" w:cs="Arial" w:eastAsia="Arial" w:hAnsi="Arial"/>
                <w:sz w:val="18"/>
                <w:szCs w:val="18"/>
                <w:color w:val="auto"/>
              </w:rPr>
              <w:t>- 60 days</w:t>
            </w: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42,730</w:t>
            </w:r>
          </w:p>
        </w:tc>
        <w:tc>
          <w:tcPr>
            <w:tcW w:w="4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21,421</w:t>
            </w:r>
          </w:p>
        </w:tc>
        <w:tc>
          <w:tcPr>
            <w:tcW w:w="0" w:type="dxa"/>
            <w:vAlign w:val="bottom"/>
          </w:tcPr>
          <w:p>
            <w:pPr>
              <w:spacing w:after="0"/>
              <w:rPr>
                <w:sz w:val="1"/>
                <w:szCs w:val="1"/>
                <w:color w:val="auto"/>
              </w:rPr>
            </w:pPr>
          </w:p>
        </w:tc>
      </w:tr>
      <w:tr>
        <w:trPr>
          <w:trHeight w:val="216"/>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61</w:t>
            </w:r>
          </w:p>
        </w:tc>
        <w:tc>
          <w:tcPr>
            <w:tcW w:w="31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1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23,300</w:t>
            </w:r>
          </w:p>
        </w:tc>
        <w:tc>
          <w:tcPr>
            <w:tcW w:w="4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24,663</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w w:val="89"/>
              </w:rPr>
              <w:t>91</w:t>
            </w:r>
          </w:p>
        </w:tc>
        <w:tc>
          <w:tcPr>
            <w:tcW w:w="3180" w:type="dxa"/>
            <w:vAlign w:val="bottom"/>
          </w:tcPr>
          <w:p>
            <w:pPr>
              <w:ind w:left="20"/>
              <w:spacing w:after="0"/>
              <w:rPr>
                <w:sz w:val="20"/>
                <w:szCs w:val="20"/>
                <w:color w:val="auto"/>
              </w:rPr>
            </w:pPr>
            <w:r>
              <w:rPr>
                <w:rFonts w:ascii="Arial" w:cs="Arial" w:eastAsia="Arial" w:hAnsi="Arial"/>
                <w:sz w:val="18"/>
                <w:szCs w:val="18"/>
                <w:color w:val="auto"/>
              </w:rPr>
              <w:t>+ days</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23,196</w:t>
            </w:r>
          </w:p>
        </w:tc>
        <w:tc>
          <w:tcPr>
            <w:tcW w:w="4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10,940</w:t>
            </w:r>
          </w:p>
        </w:tc>
        <w:tc>
          <w:tcPr>
            <w:tcW w:w="0" w:type="dxa"/>
            <w:vAlign w:val="bottom"/>
          </w:tcPr>
          <w:p>
            <w:pPr>
              <w:spacing w:after="0"/>
              <w:rPr>
                <w:sz w:val="1"/>
                <w:szCs w:val="1"/>
                <w:color w:val="auto"/>
              </w:rPr>
            </w:pPr>
          </w:p>
        </w:tc>
      </w:tr>
      <w:tr>
        <w:trPr>
          <w:trHeight w:val="223"/>
        </w:trPr>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180" w:type="dxa"/>
            <w:vAlign w:val="bottom"/>
            <w:tcBorders>
              <w:top w:val="single" w:sz="8" w:color="EEEEEE"/>
              <w:bottom w:val="single" w:sz="8" w:color="EEEEEE"/>
            </w:tcBorders>
            <w:shd w:val="clear" w:color="auto" w:fill="EEEEEE"/>
          </w:tcPr>
          <w:p>
            <w:pPr>
              <w:spacing w:after="0"/>
              <w:rPr>
                <w:sz w:val="19"/>
                <w:szCs w:val="19"/>
                <w:color w:val="auto"/>
              </w:rPr>
            </w:pPr>
          </w:p>
        </w:tc>
        <w:tc>
          <w:tcPr>
            <w:tcW w:w="19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1,612,246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1,182,950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Finance receivables totaling $23.2 million and $10.9 million at December 31, 2014 and 2013, respectively, have been placed on non-accrual status as a result of their delinquency status.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years ended December 31, 2014,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ectPr>
          <w:pgSz w:w="11900" w:h="16838" w:orient="portrait"/>
          <w:cols w:equalWidth="0" w:num="1">
            <w:col w:w="11400"/>
          </w:cols>
          <w:pgMar w:left="240" w:top="87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Balance at beginning of year</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Provision for credit losses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Charge-offs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Recoveries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440"/>
              <w:spacing w:after="0" w:line="195" w:lineRule="exact"/>
              <w:rPr>
                <w:sz w:val="20"/>
                <w:szCs w:val="20"/>
                <w:color w:val="auto"/>
              </w:rPr>
            </w:pPr>
            <w:r>
              <w:rPr>
                <w:rFonts w:ascii="Arial" w:cs="Arial" w:eastAsia="Arial" w:hAnsi="Arial"/>
                <w:sz w:val="18"/>
                <w:szCs w:val="18"/>
                <w:b w:val="1"/>
                <w:bCs w:val="1"/>
                <w:color w:val="auto"/>
                <w:w w:val="91"/>
              </w:rPr>
              <w:t>(In 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39,626</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19,594</w:t>
            </w:r>
          </w:p>
        </w:tc>
        <w:tc>
          <w:tcPr>
            <w:tcW w:w="340" w:type="dxa"/>
            <w:vAlign w:val="bottom"/>
          </w:tcPr>
          <w:p>
            <w:pPr>
              <w:spacing w:after="0"/>
              <w:rPr>
                <w:sz w:val="18"/>
                <w:szCs w:val="18"/>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76,869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33,495</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(109,914)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(69,455)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(37,638)</w:t>
            </w:r>
          </w:p>
        </w:tc>
      </w:tr>
      <w:tr>
        <w:trPr>
          <w:trHeight w:val="230"/>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12,618</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13,386</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39,626</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-736600</wp:posOffset>
            </wp:positionV>
            <wp:extent cx="651764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-462280</wp:posOffset>
            </wp:positionV>
            <wp:extent cx="651764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-179705</wp:posOffset>
            </wp:positionV>
            <wp:extent cx="651764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420"/>
          </w:cols>
          <w:pgMar w:left="240" w:top="877" w:right="259" w:bottom="1440" w:gutter="0" w:footer="0" w:header="0"/>
          <w:type w:val="continuous"/>
        </w:sectPr>
      </w:pPr>
    </w:p>
    <w:p>
      <w:pPr>
        <w:spacing w:after="0" w:line="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on repossessed inventory:</w:t>
      </w:r>
    </w:p>
    <w:p>
      <w:pPr>
        <w:spacing w:after="0" w:line="191"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120" w:type="dxa"/>
            <w:vAlign w:val="bottom"/>
          </w:tcPr>
          <w:p>
            <w:pPr>
              <w:spacing w:after="0"/>
              <w:rPr>
                <w:sz w:val="19"/>
                <w:szCs w:val="19"/>
                <w:color w:val="auto"/>
              </w:rPr>
            </w:pPr>
          </w:p>
        </w:tc>
      </w:tr>
      <w:tr>
        <w:trPr>
          <w:trHeight w:val="210"/>
        </w:trPr>
        <w:tc>
          <w:tcPr>
            <w:tcW w:w="4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11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28,234</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24,743</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(17,829)</w:t>
            </w:r>
          </w:p>
        </w:tc>
        <w:tc>
          <w:tcPr>
            <w:tcW w:w="4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(14,779)</w:t>
            </w:r>
          </w:p>
        </w:tc>
      </w:tr>
      <w:tr>
        <w:trPr>
          <w:trHeight w:val="223"/>
        </w:trPr>
        <w:tc>
          <w:tcPr>
            <w:tcW w:w="44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8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10,405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9,964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b w:val="1"/>
          <w:bCs w:val="1"/>
          <w:i w:val="1"/>
          <w:iCs w:val="1"/>
          <w:color w:val="auto"/>
        </w:rPr>
        <w:t>Finance Receivables Measured at Fair Value</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September 2011 we purchased approximately $217.8 million of finance receivables from Fireside Bank. These receivables are recorded on our Consolidated Balance Sheets at fair value.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type w:val="continuous"/>
        </w:sectPr>
      </w:pPr>
    </w:p>
    <w:bookmarkStart w:id="78" w:name="page79"/>
    <w:bookmarkEnd w:id="78"/>
    <w:p>
      <w:pPr>
        <w:jc w:val="center"/>
        <w:ind w:right="-1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presents the components of finance receivables measured at fair value and includes $1,319 and $120,000 in repossessed inventory at December 31, 2014 and December 31, 2013, respectively:</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120" w:type="dxa"/>
            <w:vAlign w:val="bottom"/>
          </w:tcPr>
          <w:p>
            <w:pPr>
              <w:spacing w:after="0"/>
              <w:rPr>
                <w:sz w:val="19"/>
                <w:szCs w:val="19"/>
                <w:color w:val="auto"/>
              </w:rPr>
            </w:pPr>
          </w:p>
        </w:tc>
      </w:tr>
      <w:tr>
        <w:trPr>
          <w:trHeight w:val="210"/>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w w:val="94"/>
              </w:rPr>
              <w:t>Finance receivables and accrued interest, net of unearned interest</w:t>
            </w:r>
          </w:p>
        </w:tc>
        <w:tc>
          <w:tcPr>
            <w:tcW w:w="124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1,664</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14,786</w:t>
            </w: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Less: Fair value adjustment</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r>
      <w:tr>
        <w:trPr>
          <w:trHeight w:val="223"/>
        </w:trPr>
        <w:tc>
          <w:tcPr>
            <w:tcW w:w="502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Finance receivables measured at fair value</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auto"/>
              <w:bottom w:val="single" w:sz="8" w:color="auto"/>
            </w:tcBorders>
            <w:shd w:val="clear" w:color="auto" w:fill="EEEEEE"/>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1,664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14,476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delinquency status of finance receivables measured at fair value as of December 31, 2014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4920" w:type="dxa"/>
            <w:vAlign w:val="bottom"/>
            <w:vMerge w:val="restart"/>
          </w:tcPr>
          <w:p>
            <w:pPr>
              <w:spacing w:after="0"/>
              <w:rPr>
                <w:sz w:val="20"/>
                <w:szCs w:val="20"/>
                <w:color w:val="auto"/>
              </w:rPr>
            </w:pPr>
            <w:r>
              <w:rPr>
                <w:rFonts w:ascii="Arial" w:cs="Arial" w:eastAsia="Arial" w:hAnsi="Arial"/>
                <w:sz w:val="18"/>
                <w:szCs w:val="18"/>
                <w:color w:val="auto"/>
              </w:rPr>
              <w:t>Delinquency Status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49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Current</w:t>
            </w:r>
          </w:p>
        </w:tc>
        <w:tc>
          <w:tcPr>
            <w:tcW w:w="7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1,266</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13,421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31 - 60 days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262</w:t>
            </w:r>
          </w:p>
        </w:tc>
        <w:tc>
          <w:tcPr>
            <w:tcW w:w="4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61 - 90 days</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74</w:t>
            </w:r>
          </w:p>
        </w:tc>
        <w:tc>
          <w:tcPr>
            <w:tcW w:w="4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91 + days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9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14,786</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(5) Furniture and Equipment</w:t>
            </w: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60" w:type="dxa"/>
            <w:vAlign w:val="bottom"/>
            <w:gridSpan w:val="2"/>
          </w:tcPr>
          <w:p>
            <w:pPr>
              <w:ind w:left="660"/>
              <w:spacing w:after="0"/>
              <w:rPr>
                <w:sz w:val="20"/>
                <w:szCs w:val="20"/>
                <w:color w:val="auto"/>
              </w:rPr>
            </w:pPr>
            <w:r>
              <w:rPr>
                <w:rFonts w:ascii="Arial" w:cs="Arial" w:eastAsia="Arial" w:hAnsi="Arial"/>
                <w:sz w:val="18"/>
                <w:szCs w:val="18"/>
                <w:color w:val="auto"/>
                <w:w w:val="98"/>
              </w:rPr>
              <w:t>The following table presents the components of furniture and equipment: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4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7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1,396</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Computer and telephone equipment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4,424</w:t>
            </w:r>
          </w:p>
        </w:tc>
        <w:tc>
          <w:tcPr>
            <w:tcW w:w="4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871</w:t>
            </w:r>
          </w:p>
        </w:tc>
        <w:tc>
          <w:tcPr>
            <w:tcW w:w="46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6,691</w:t>
            </w: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(5,530)</w:t>
            </w:r>
          </w:p>
        </w:tc>
        <w:tc>
          <w:tcPr>
            <w:tcW w:w="46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totaled $428,000, $437,000 and $543,000 for the years ended December 31, 2014, 2013 and 2012,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Securitization Trust Debt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completed numerous term securitization transactions that are structured as secured borrowings for financial accounting purposes. The debt issued in these transactions is shown on our Consolidated Balance Sheets as “Securitization trust debt,” and the components of such debt are summarized in the following table:</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7" w:right="3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Receivables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Outstanding</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Interest Rate</w:t>
            </w: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8"/>
              </w:rPr>
              <w:t>Final Scheduled</w:t>
            </w: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Pledged at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Principal at</w:t>
            </w:r>
          </w:p>
        </w:tc>
        <w:tc>
          <w:tcPr>
            <w:tcW w:w="12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Principal at</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at December</w:t>
            </w:r>
          </w:p>
        </w:tc>
      </w:tr>
      <w:tr>
        <w:trPr>
          <w:trHeight w:val="230"/>
        </w:trPr>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0"/>
              </w:rPr>
              <w:t>Payment</w:t>
            </w: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9"/>
                <w:szCs w:val="19"/>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Initial</w:t>
            </w:r>
          </w:p>
        </w:tc>
        <w:tc>
          <w:tcPr>
            <w:tcW w:w="120" w:type="dxa"/>
            <w:vAlign w:val="bottom"/>
          </w:tcPr>
          <w:p>
            <w:pPr>
              <w:spacing w:after="0"/>
              <w:rPr>
                <w:sz w:val="19"/>
                <w:szCs w:val="19"/>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9"/>
                <w:szCs w:val="19"/>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19"/>
                <w:szCs w:val="19"/>
                <w:color w:val="auto"/>
              </w:rPr>
            </w:pPr>
          </w:p>
        </w:tc>
      </w:tr>
      <w:tr>
        <w:trPr>
          <w:trHeight w:val="234"/>
        </w:trPr>
        <w:tc>
          <w:tcPr>
            <w:tcW w:w="1700" w:type="dxa"/>
            <w:vAlign w:val="bottom"/>
            <w:gridSpan w:val="2"/>
          </w:tcPr>
          <w:p>
            <w:pPr>
              <w:ind w:left="520"/>
              <w:spacing w:after="0"/>
              <w:rPr>
                <w:sz w:val="20"/>
                <w:szCs w:val="20"/>
                <w:color w:val="auto"/>
              </w:rPr>
            </w:pPr>
            <w:r>
              <w:rPr>
                <w:rFonts w:ascii="Arial" w:cs="Arial" w:eastAsia="Arial" w:hAnsi="Arial"/>
                <w:sz w:val="18"/>
                <w:szCs w:val="18"/>
                <w:b w:val="1"/>
                <w:bCs w:val="1"/>
                <w:color w:val="auto"/>
              </w:rPr>
              <w:t>Series</w:t>
            </w:r>
          </w:p>
        </w:tc>
        <w:tc>
          <w:tcPr>
            <w:tcW w:w="180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3"/>
              </w:rPr>
              <w:t>Date (1)</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 (2)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32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r>
      <w:tr>
        <w:trPr>
          <w:trHeight w:val="210"/>
        </w:trPr>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gridSpan w:val="5"/>
          </w:tcPr>
          <w:p>
            <w:pPr>
              <w:jc w:val="right"/>
              <w:ind w:right="98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Page Five Funding</w:t>
            </w:r>
          </w:p>
        </w:tc>
        <w:tc>
          <w:tcPr>
            <w:tcW w:w="180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January 2018</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46,058</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9,358</w:t>
            </w:r>
          </w:p>
        </w:tc>
        <w:tc>
          <w:tcPr>
            <w:tcW w:w="3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2011-A</w:t>
            </w:r>
          </w:p>
        </w:tc>
        <w:tc>
          <w:tcPr>
            <w:tcW w:w="1800" w:type="dxa"/>
            <w:vAlign w:val="bottom"/>
            <w:gridSpan w:val="3"/>
          </w:tcPr>
          <w:p>
            <w:pPr>
              <w:jc w:val="right"/>
              <w:ind w:right="250"/>
              <w:spacing w:after="0"/>
              <w:rPr>
                <w:sz w:val="20"/>
                <w:szCs w:val="20"/>
                <w:color w:val="auto"/>
              </w:rPr>
            </w:pPr>
            <w:r>
              <w:rPr>
                <w:rFonts w:ascii="Arial" w:cs="Arial" w:eastAsia="Arial" w:hAnsi="Arial"/>
                <w:sz w:val="18"/>
                <w:szCs w:val="18"/>
                <w:color w:val="auto"/>
              </w:rPr>
              <w:t>April 2018</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12,613</w:t>
            </w:r>
          </w:p>
        </w:tc>
        <w:tc>
          <w:tcPr>
            <w:tcW w:w="2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100,364</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8,457</w:t>
            </w: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24,526</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2011-B</w:t>
            </w:r>
          </w:p>
        </w:tc>
        <w:tc>
          <w:tcPr>
            <w:tcW w:w="180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September 2018</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23,569</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109,936</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22,985</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44,433</w:t>
            </w: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4.54%</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2011-C</w:t>
            </w:r>
          </w:p>
        </w:tc>
        <w:tc>
          <w:tcPr>
            <w:tcW w:w="1800" w:type="dxa"/>
            <w:vAlign w:val="bottom"/>
            <w:gridSpan w:val="3"/>
          </w:tcPr>
          <w:p>
            <w:pPr>
              <w:jc w:val="right"/>
              <w:ind w:right="250"/>
              <w:spacing w:after="0"/>
              <w:rPr>
                <w:sz w:val="20"/>
                <w:szCs w:val="20"/>
                <w:color w:val="auto"/>
              </w:rPr>
            </w:pPr>
            <w:r>
              <w:rPr>
                <w:rFonts w:ascii="Arial" w:cs="Arial" w:eastAsia="Arial" w:hAnsi="Arial"/>
                <w:sz w:val="18"/>
                <w:szCs w:val="18"/>
                <w:color w:val="auto"/>
              </w:rPr>
              <w:t>March 2019</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30,662</w:t>
            </w:r>
          </w:p>
        </w:tc>
        <w:tc>
          <w:tcPr>
            <w:tcW w:w="2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119,400</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30,601</w:t>
            </w: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56,271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2012-A</w:t>
            </w:r>
          </w:p>
        </w:tc>
        <w:tc>
          <w:tcPr>
            <w:tcW w:w="180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June 2019</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36,757</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155,000</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35,923</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65,051</w:t>
            </w: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3.41%</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2012-B</w:t>
            </w:r>
          </w:p>
        </w:tc>
        <w:tc>
          <w:tcPr>
            <w:tcW w:w="1800" w:type="dxa"/>
            <w:vAlign w:val="bottom"/>
            <w:gridSpan w:val="3"/>
          </w:tcPr>
          <w:p>
            <w:pPr>
              <w:jc w:val="right"/>
              <w:ind w:right="250"/>
              <w:spacing w:after="0"/>
              <w:rPr>
                <w:sz w:val="20"/>
                <w:szCs w:val="20"/>
                <w:color w:val="auto"/>
              </w:rPr>
            </w:pPr>
            <w:r>
              <w:rPr>
                <w:rFonts w:ascii="Arial" w:cs="Arial" w:eastAsia="Arial" w:hAnsi="Arial"/>
                <w:sz w:val="18"/>
                <w:szCs w:val="18"/>
                <w:color w:val="auto"/>
              </w:rPr>
              <w:t>September 2019</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51,168</w:t>
            </w:r>
          </w:p>
        </w:tc>
        <w:tc>
          <w:tcPr>
            <w:tcW w:w="2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141,500</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50,125</w:t>
            </w: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86,254</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2012-C</w:t>
            </w:r>
          </w:p>
        </w:tc>
        <w:tc>
          <w:tcPr>
            <w:tcW w:w="180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December 2019</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56,717</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147,000</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55,619</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93,006</w:t>
            </w: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2.45%</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2012-D</w:t>
            </w:r>
          </w:p>
        </w:tc>
        <w:tc>
          <w:tcPr>
            <w:tcW w:w="1800" w:type="dxa"/>
            <w:vAlign w:val="bottom"/>
            <w:gridSpan w:val="3"/>
          </w:tcPr>
          <w:p>
            <w:pPr>
              <w:jc w:val="right"/>
              <w:ind w:right="250"/>
              <w:spacing w:after="0"/>
              <w:rPr>
                <w:sz w:val="20"/>
                <w:szCs w:val="20"/>
                <w:color w:val="auto"/>
              </w:rPr>
            </w:pPr>
            <w:r>
              <w:rPr>
                <w:rFonts w:ascii="Arial" w:cs="Arial" w:eastAsia="Arial" w:hAnsi="Arial"/>
                <w:sz w:val="18"/>
                <w:szCs w:val="18"/>
                <w:color w:val="auto"/>
              </w:rPr>
              <w:t>March 2020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68,703</w:t>
            </w:r>
          </w:p>
        </w:tc>
        <w:tc>
          <w:tcPr>
            <w:tcW w:w="2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67,833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108,815</w:t>
            </w:r>
          </w:p>
        </w:tc>
        <w:tc>
          <w:tcPr>
            <w:tcW w:w="3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2013-A</w:t>
            </w:r>
          </w:p>
        </w:tc>
        <w:tc>
          <w:tcPr>
            <w:tcW w:w="180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June 2020</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98,601</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185,000</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97,775</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142,842</w:t>
            </w:r>
          </w:p>
        </w:tc>
        <w:tc>
          <w:tcPr>
            <w:tcW w:w="3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1.97%</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2013-B</w:t>
            </w:r>
          </w:p>
        </w:tc>
        <w:tc>
          <w:tcPr>
            <w:tcW w:w="1800" w:type="dxa"/>
            <w:vAlign w:val="bottom"/>
            <w:gridSpan w:val="3"/>
          </w:tcPr>
          <w:p>
            <w:pPr>
              <w:jc w:val="right"/>
              <w:ind w:right="250"/>
              <w:spacing w:after="0"/>
              <w:rPr>
                <w:sz w:val="20"/>
                <w:szCs w:val="20"/>
                <w:color w:val="auto"/>
              </w:rPr>
            </w:pPr>
            <w:r>
              <w:rPr>
                <w:rFonts w:ascii="Arial" w:cs="Arial" w:eastAsia="Arial" w:hAnsi="Arial"/>
                <w:sz w:val="18"/>
                <w:szCs w:val="18"/>
                <w:color w:val="auto"/>
              </w:rPr>
              <w:t>September 2020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119,537</w:t>
            </w:r>
          </w:p>
        </w:tc>
        <w:tc>
          <w:tcPr>
            <w:tcW w:w="2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205,000</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118,692</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172,499</w:t>
            </w:r>
          </w:p>
        </w:tc>
        <w:tc>
          <w:tcPr>
            <w:tcW w:w="3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2013-C</w:t>
            </w:r>
          </w:p>
        </w:tc>
        <w:tc>
          <w:tcPr>
            <w:tcW w:w="180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December 2020</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135,980</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205,000</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133,628</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191,504</w:t>
            </w:r>
          </w:p>
        </w:tc>
        <w:tc>
          <w:tcPr>
            <w:tcW w:w="3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2.75%</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2013-D</w:t>
            </w:r>
          </w:p>
        </w:tc>
        <w:tc>
          <w:tcPr>
            <w:tcW w:w="1800" w:type="dxa"/>
            <w:vAlign w:val="bottom"/>
            <w:gridSpan w:val="3"/>
          </w:tcPr>
          <w:p>
            <w:pPr>
              <w:jc w:val="right"/>
              <w:ind w:right="250"/>
              <w:spacing w:after="0"/>
              <w:rPr>
                <w:sz w:val="20"/>
                <w:szCs w:val="20"/>
                <w:color w:val="auto"/>
              </w:rPr>
            </w:pPr>
            <w:r>
              <w:rPr>
                <w:rFonts w:ascii="Arial" w:cs="Arial" w:eastAsia="Arial" w:hAnsi="Arial"/>
                <w:sz w:val="18"/>
                <w:szCs w:val="18"/>
                <w:color w:val="auto"/>
              </w:rPr>
              <w:t>March 2021</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134,498</w:t>
            </w:r>
          </w:p>
        </w:tc>
        <w:tc>
          <w:tcPr>
            <w:tcW w:w="2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183,000</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132,150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183,000</w:t>
            </w:r>
          </w:p>
        </w:tc>
        <w:tc>
          <w:tcPr>
            <w:tcW w:w="3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2014-A</w:t>
            </w:r>
          </w:p>
        </w:tc>
        <w:tc>
          <w:tcPr>
            <w:tcW w:w="180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June 2021</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146,784</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180,000</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143,456</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2.05%</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CPS 2014-B</w:t>
            </w:r>
          </w:p>
        </w:tc>
        <w:tc>
          <w:tcPr>
            <w:tcW w:w="1800" w:type="dxa"/>
            <w:vAlign w:val="bottom"/>
            <w:gridSpan w:val="3"/>
          </w:tcPr>
          <w:p>
            <w:pPr>
              <w:jc w:val="right"/>
              <w:ind w:right="250"/>
              <w:spacing w:after="0"/>
              <w:rPr>
                <w:sz w:val="20"/>
                <w:szCs w:val="20"/>
                <w:color w:val="auto"/>
              </w:rPr>
            </w:pPr>
            <w:r>
              <w:rPr>
                <w:rFonts w:ascii="Arial" w:cs="Arial" w:eastAsia="Arial" w:hAnsi="Arial"/>
                <w:sz w:val="18"/>
                <w:szCs w:val="18"/>
                <w:color w:val="auto"/>
              </w:rPr>
              <w:t>September 2021</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180,717</w:t>
            </w:r>
          </w:p>
        </w:tc>
        <w:tc>
          <w:tcPr>
            <w:tcW w:w="2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202,500</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177,601</w:t>
            </w: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r>
      <w:tr>
        <w:trPr>
          <w:trHeight w:val="216"/>
        </w:trPr>
        <w:tc>
          <w:tcPr>
            <w:tcW w:w="1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2014-C</w:t>
            </w:r>
          </w:p>
        </w:tc>
        <w:tc>
          <w:tcPr>
            <w:tcW w:w="180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December 2021</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259,899</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273,000</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256,151</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2.10%</w:t>
            </w: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CPS 2014-D (3)</w:t>
            </w:r>
          </w:p>
        </w:tc>
        <w:tc>
          <w:tcPr>
            <w:tcW w:w="1800" w:type="dxa"/>
            <w:vAlign w:val="bottom"/>
            <w:gridSpan w:val="3"/>
          </w:tcPr>
          <w:p>
            <w:pPr>
              <w:jc w:val="right"/>
              <w:ind w:right="250"/>
              <w:spacing w:after="0"/>
              <w:rPr>
                <w:sz w:val="20"/>
                <w:szCs w:val="20"/>
                <w:color w:val="auto"/>
              </w:rPr>
            </w:pPr>
            <w:r>
              <w:rPr>
                <w:rFonts w:ascii="Arial" w:cs="Arial" w:eastAsia="Arial" w:hAnsi="Arial"/>
                <w:sz w:val="18"/>
                <w:szCs w:val="18"/>
                <w:color w:val="auto"/>
              </w:rPr>
              <w:t>March 2022</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180,449</w:t>
            </w:r>
          </w:p>
        </w:tc>
        <w:tc>
          <w:tcPr>
            <w:tcW w:w="20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267,500</w:t>
            </w:r>
          </w:p>
        </w:tc>
        <w:tc>
          <w:tcPr>
            <w:tcW w:w="12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267,500</w:t>
            </w:r>
          </w:p>
        </w:tc>
        <w:tc>
          <w:tcPr>
            <w:tcW w:w="1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r>
      <w:tr>
        <w:trPr>
          <w:trHeight w:val="223"/>
        </w:trPr>
        <w:tc>
          <w:tcPr>
            <w:tcW w:w="14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1,536,654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2,680,258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1,598,496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1,177,559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13" w:lineRule="exact"/>
        <w:rPr>
          <w:sz w:val="20"/>
          <w:szCs w:val="20"/>
          <w:color w:val="auto"/>
        </w:rPr>
      </w:pPr>
    </w:p>
    <w:p>
      <w:pPr>
        <w:ind w:left="580" w:right="120" w:hanging="248"/>
        <w:spacing w:after="0" w:line="250" w:lineRule="auto"/>
        <w:tabs>
          <w:tab w:leader="none" w:pos="58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$636.5 million in 2015, $468.3 million in 2016, $285.8 million in 2017, $143.2 million in 2018, $56.8 million in 2019, and $7.9 million in 2020.</w:t>
      </w:r>
    </w:p>
    <w:p>
      <w:pPr>
        <w:ind w:left="580" w:hanging="248"/>
        <w:spacing w:after="0"/>
        <w:tabs>
          <w:tab w:leader="none" w:pos="58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Consolidated Balance Sheets.</w:t>
      </w:r>
    </w:p>
    <w:p>
      <w:pPr>
        <w:spacing w:after="0" w:line="9" w:lineRule="exact"/>
        <w:rPr>
          <w:rFonts w:ascii="Arial" w:cs="Arial" w:eastAsia="Arial" w:hAnsi="Arial"/>
          <w:sz w:val="18"/>
          <w:szCs w:val="18"/>
          <w:i w:val="1"/>
          <w:iCs w:val="1"/>
          <w:color w:val="auto"/>
        </w:rPr>
      </w:pPr>
    </w:p>
    <w:p>
      <w:pPr>
        <w:ind w:left="580" w:hanging="248"/>
        <w:spacing w:after="0"/>
        <w:tabs>
          <w:tab w:leader="none" w:pos="58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An additional $85.3 million of receivables were pledged to CPS 2014-D in January 2015.</w:t>
      </w:r>
    </w:p>
    <w:p>
      <w:pPr>
        <w:spacing w:after="0" w:line="211"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All of the securitization trust debt was issued in private placement transactions to qualified institutional investors. The debt was issued by our wholly-owned, bankruptcy remote subsidiaries and is secured by the assets of such subsidiaries, but not by any of our other assets.</w:t>
      </w:r>
    </w:p>
    <w:p>
      <w:pPr>
        <w:spacing w:after="0" w:line="14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were in compliance with all such covenants as of December 31, 2014.</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December 31, 2014, restricted cash under the various agreements totaled approximately $175.4 million. This amount includes $85.3 million in pre-funding proceeds related to CPS 2014-D. Interest expense on the securitization trust debt is composed of the stated rate of interest plus amortization of additional costs of borrowing. Additional costs of borrowing include facility fees, insurance premiums, amortization of transaction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any of our other creditors.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of our debt outstanding at December 31, 2014 and 2013 are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5"/>
          </w:tcPr>
          <w:p>
            <w:pPr>
              <w:ind w:left="42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36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gridSpan w:val="2"/>
            <w:vMerge w:val="restart"/>
          </w:tcPr>
          <w:p>
            <w:pPr>
              <w:ind w:left="1000"/>
              <w:spacing w:after="0"/>
              <w:rPr>
                <w:sz w:val="20"/>
                <w:szCs w:val="20"/>
                <w:color w:val="auto"/>
              </w:rPr>
            </w:pPr>
            <w:r>
              <w:rPr>
                <w:rFonts w:ascii="Arial" w:cs="Arial" w:eastAsia="Arial" w:hAnsi="Arial"/>
                <w:sz w:val="18"/>
                <w:szCs w:val="18"/>
                <w:color w:val="auto"/>
              </w:rPr>
              <w:t>Description</w:t>
            </w:r>
          </w:p>
        </w:tc>
        <w:tc>
          <w:tcPr>
            <w:tcW w:w="24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Interest Rate</w:t>
            </w:r>
          </w:p>
        </w:tc>
        <w:tc>
          <w:tcPr>
            <w:tcW w:w="29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Maturity</w:t>
            </w:r>
          </w:p>
        </w:tc>
        <w:tc>
          <w:tcPr>
            <w:tcW w:w="120" w:type="dxa"/>
            <w:vAlign w:val="bottom"/>
          </w:tcPr>
          <w:p>
            <w:pPr>
              <w:spacing w:after="0"/>
              <w:rPr>
                <w:sz w:val="19"/>
                <w:szCs w:val="19"/>
                <w:color w:val="auto"/>
              </w:rPr>
            </w:pPr>
          </w:p>
        </w:tc>
        <w:tc>
          <w:tcPr>
            <w:tcW w:w="28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2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1"/>
              </w:rPr>
              <w:t>5.73% over one month Libor</w:t>
            </w:r>
          </w:p>
        </w:tc>
        <w:tc>
          <w:tcPr>
            <w:tcW w:w="28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2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6"/>
              </w:rPr>
              <w:t>(Minimum 6.73%)</w:t>
            </w:r>
          </w:p>
        </w:tc>
        <w:tc>
          <w:tcPr>
            <w:tcW w:w="29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2"/>
              </w:rPr>
              <w:t>March 2017</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23,581</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2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1"/>
              </w:rPr>
              <w:t>5.50% over one month Libor</w:t>
            </w:r>
          </w:p>
        </w:tc>
        <w:tc>
          <w:tcPr>
            <w:tcW w:w="28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42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6"/>
              </w:rPr>
              <w:t>(Minimum 6.25%)</w:t>
            </w:r>
          </w:p>
        </w:tc>
        <w:tc>
          <w:tcPr>
            <w:tcW w:w="29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August 2017</w:t>
            </w:r>
          </w:p>
        </w:tc>
        <w:tc>
          <w:tcPr>
            <w:tcW w:w="120" w:type="dxa"/>
            <w:vAlign w:val="bottom"/>
            <w:shd w:val="clear" w:color="auto" w:fill="EEEEEE"/>
          </w:tcPr>
          <w:p>
            <w:pPr>
              <w:spacing w:after="0"/>
              <w:rPr>
                <w:sz w:val="20"/>
                <w:szCs w:val="20"/>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33,258</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2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1"/>
              </w:rPr>
              <w:t>11.75% over one month Libor</w:t>
            </w:r>
          </w:p>
        </w:tc>
        <w:tc>
          <w:tcPr>
            <w:tcW w:w="29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8"/>
              </w:rPr>
              <w:t>April 2018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12,327</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4"/>
              </w:rPr>
              <w:t>Debt secured by receivables measured</w:t>
            </w:r>
          </w:p>
        </w:tc>
        <w:tc>
          <w:tcPr>
            <w:tcW w:w="242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87"/>
              </w:rPr>
              <w:t>n/a</w:t>
            </w:r>
          </w:p>
        </w:tc>
        <w:tc>
          <w:tcPr>
            <w:tcW w:w="298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89"/>
              </w:rPr>
              <w:t>Repayment is based on payments from</w:t>
            </w:r>
          </w:p>
        </w:tc>
        <w:tc>
          <w:tcPr>
            <w:tcW w:w="12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220"/>
              <w:spacing w:after="0" w:line="201" w:lineRule="exact"/>
              <w:rPr>
                <w:sz w:val="20"/>
                <w:szCs w:val="20"/>
                <w:color w:val="auto"/>
              </w:rPr>
            </w:pPr>
            <w:r>
              <w:rPr>
                <w:rFonts w:ascii="Arial" w:cs="Arial" w:eastAsia="Arial" w:hAnsi="Arial"/>
                <w:sz w:val="18"/>
                <w:szCs w:val="18"/>
                <w:color w:val="auto"/>
              </w:rPr>
              <w:t>1,250</w:t>
            </w:r>
          </w:p>
        </w:tc>
        <w:tc>
          <w:tcPr>
            <w:tcW w:w="12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at fair value</w:t>
            </w:r>
          </w:p>
        </w:tc>
        <w:tc>
          <w:tcPr>
            <w:tcW w:w="2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9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2"/>
              </w:rPr>
              <w:t>underlying receivables. Final payment</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9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of the 8.00% loan was made in</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9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9"/>
              </w:rPr>
              <w:t>September 2013. Final residual</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2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9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9"/>
              </w:rPr>
              <w:t>payment was made in January 2015.</w:t>
            </w:r>
          </w:p>
        </w:tc>
        <w:tc>
          <w:tcPr>
            <w:tcW w:w="12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228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EEEEEE"/>
          </w:tcPr>
          <w:p>
            <w:pPr>
              <w:spacing w:after="0"/>
              <w:rPr>
                <w:sz w:val="18"/>
                <w:szCs w:val="18"/>
                <w:color w:val="auto"/>
              </w:rPr>
            </w:pPr>
          </w:p>
        </w:tc>
        <w:tc>
          <w:tcPr>
            <w:tcW w:w="29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7"/>
              </w:rPr>
              <w:t>n/a</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80" w:type="dxa"/>
            <w:vAlign w:val="bottom"/>
            <w:shd w:val="clear" w:color="auto" w:fill="EEEEEE"/>
          </w:tcPr>
          <w:p>
            <w:pPr>
              <w:jc w:val="right"/>
              <w:ind w:right="81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EEEEEE"/>
          </w:tcPr>
          <w:p>
            <w:pPr>
              <w:spacing w:after="0"/>
              <w:rPr>
                <w:sz w:val="18"/>
                <w:szCs w:val="18"/>
                <w:color w:val="auto"/>
              </w:rPr>
            </w:pPr>
          </w:p>
        </w:tc>
        <w:tc>
          <w:tcPr>
            <w:tcW w:w="29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7"/>
              </w:rPr>
              <w:t>n/a</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Subordinated renewable notes</w:t>
            </w:r>
          </w:p>
        </w:tc>
        <w:tc>
          <w:tcPr>
            <w:tcW w:w="242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89"/>
              </w:rPr>
              <w:t>Weighted average rate of</w:t>
            </w:r>
          </w:p>
        </w:tc>
        <w:tc>
          <w:tcPr>
            <w:tcW w:w="298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0"/>
              </w:rPr>
              <w:t>Weighted average maturity of October</w:t>
            </w:r>
          </w:p>
        </w:tc>
        <w:tc>
          <w:tcPr>
            <w:tcW w:w="12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220"/>
              <w:spacing w:after="0" w:line="201" w:lineRule="exact"/>
              <w:rPr>
                <w:sz w:val="20"/>
                <w:szCs w:val="20"/>
                <w:color w:val="auto"/>
              </w:rPr>
            </w:pPr>
            <w:r>
              <w:rPr>
                <w:rFonts w:ascii="Arial" w:cs="Arial" w:eastAsia="Arial" w:hAnsi="Arial"/>
                <w:sz w:val="18"/>
                <w:szCs w:val="18"/>
                <w:color w:val="auto"/>
              </w:rPr>
              <w:t>15,233</w:t>
            </w:r>
          </w:p>
        </w:tc>
        <w:tc>
          <w:tcPr>
            <w:tcW w:w="12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19,142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2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9"/>
              </w:rPr>
              <w:t>10.7% and 12.5% at December</w:t>
            </w:r>
          </w:p>
        </w:tc>
        <w:tc>
          <w:tcPr>
            <w:tcW w:w="29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9"/>
              </w:rPr>
              <w:t>2016 and July 2015 at December 31,</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2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31, 2014 and 2013,</w:t>
            </w:r>
          </w:p>
        </w:tc>
        <w:tc>
          <w:tcPr>
            <w:tcW w:w="29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2014 and 2013, respectively</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42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2"/>
              </w:rPr>
              <w:t>respectively</w:t>
            </w:r>
          </w:p>
        </w:tc>
        <w:tc>
          <w:tcPr>
            <w:tcW w:w="28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2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86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22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286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85,649</w:t>
            </w:r>
          </w:p>
        </w:tc>
        <w:tc>
          <w:tcPr>
            <w:tcW w:w="2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99,366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2013 we renewed our $100 million warehouse credit line with affiliates of Goldman, Sachs &amp; Co. and Fortress Investment Group. The facility is structured to allow us to fund a portion of the purchase price of automobile contracts by borrowing from a credit facility to our consolidated subsidiary Page Six Funding LLC. The facility provides for advances up to 88% of eligible finance receivables and the loans under it accrue interest at a rate of one-month LIBOR plus 5.73% per annum, with a minimum rate of 6.73% per annum. There was $23.6 million outstanding under this facility at December 31, 2014. This facility has a revolving period through March 2015 and an amortization period through March 2017 for any receivables pledged to the facility at the end of the revolving period.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August 2014, we renewed our $100 million warehouse credit line with Citibank, N.A. The facility is structured to allow us to fund a portion of the purchase price of automobile contracts by borrowing from a credit facility to our consolidated subsidiary Page Eight Funding, LLC. The facility provides for effective advances up to 88.0% of eligible finance receivables. The loans under the facility accrue interest at one-month LIBOR plus 5.50% per annum, with a minimum rate of 6.25% per annum. There was $33.3 million outstanding under this facility at December 31, 2014. This facility has a revolving period through August 2016 and an amortization period through August 2017 for any receivables pledged at the end of the revolving period.</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total outstanding debt on our warehouse lines of credit was $56.8 million as of December 31, 2014, compared to $9.5 million outstanding as of December 31, 2013.</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costs incurred in conjunction with the above debt are recorded as deferred financing costs on the accompanying Consolidated Balance Sheets and are more fully described in Note 1.</w:t>
      </w:r>
    </w:p>
    <w:p>
      <w:pPr>
        <w:spacing w:after="0" w:line="170"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We must comply with certain affirmative and negative covenants related to debt facilities, which require, among other things, that we maintain certain financial ratios related to liquidity, net worth and capitalization. Further covenants include matters relating to investments, acquisitions, restricted payments and certain dividend restrictions. See the discussion of financial covenants in Note 1.</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contractual and expected maturity amounts of long term debt as of December 31, 2014:</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Residual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Subordinated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interest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renewable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640" w:type="dxa"/>
            <w:vAlign w:val="bottom"/>
            <w:gridSpan w:val="2"/>
          </w:tcPr>
          <w:p>
            <w:pPr>
              <w:ind w:left="700"/>
              <w:spacing w:after="0"/>
              <w:rPr>
                <w:sz w:val="20"/>
                <w:szCs w:val="20"/>
                <w:color w:val="auto"/>
              </w:rPr>
            </w:pPr>
            <w:r>
              <w:rPr>
                <w:rFonts w:ascii="Arial" w:cs="Arial" w:eastAsia="Arial" w:hAnsi="Arial"/>
                <w:sz w:val="18"/>
                <w:szCs w:val="18"/>
                <w:b w:val="1"/>
                <w:bCs w:val="1"/>
                <w:color w:val="auto"/>
              </w:rPr>
              <w:t>Contractual maturity date</w:t>
            </w:r>
          </w:p>
        </w:tc>
        <w:tc>
          <w:tcPr>
            <w:tcW w:w="14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financing (1)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notes</w:t>
            </w:r>
          </w:p>
        </w:tc>
        <w:tc>
          <w:tcPr>
            <w:tcW w:w="3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r>
      <w:tr>
        <w:trPr>
          <w:trHeight w:val="210"/>
        </w:trPr>
        <w:tc>
          <w:tcPr>
            <w:tcW w:w="3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2,188</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8,171</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10,359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3,833</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5,306</w:t>
            </w:r>
          </w:p>
        </w:tc>
      </w:tr>
      <w:tr>
        <w:trPr>
          <w:trHeight w:val="216"/>
        </w:trPr>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2017</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3,159</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1,142</w:t>
            </w: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4,301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5,507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610</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6,117</w:t>
            </w:r>
          </w:p>
        </w:tc>
      </w:tr>
      <w:tr>
        <w:trPr>
          <w:trHeight w:val="216"/>
        </w:trPr>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EEEEEE"/>
          </w:tcPr>
          <w:p>
            <w:pPr>
              <w:spacing w:after="0"/>
              <w:rPr>
                <w:sz w:val="18"/>
                <w:szCs w:val="18"/>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1,428</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1,428</w:t>
            </w:r>
          </w:p>
        </w:tc>
      </w:tr>
      <w:tr>
        <w:trPr>
          <w:trHeight w:val="223"/>
        </w:trPr>
        <w:tc>
          <w:tcPr>
            <w:tcW w:w="364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12,327</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15,233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27,560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w:t>
      </w:r>
    </w:p>
    <w:p>
      <w:pPr>
        <w:spacing w:after="0" w:line="23" w:lineRule="exact"/>
        <w:rPr>
          <w:sz w:val="20"/>
          <w:szCs w:val="20"/>
          <w:color w:val="auto"/>
        </w:rPr>
      </w:pPr>
    </w:p>
    <w:p>
      <w:pPr>
        <w:ind w:left="580" w:right="40" w:hanging="248"/>
        <w:spacing w:after="0" w:line="250" w:lineRule="auto"/>
        <w:tabs>
          <w:tab w:leader="none" w:pos="580" w:val="left"/>
        </w:tabs>
        <w:numPr>
          <w:ilvl w:val="1"/>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The residual interest financing debt has a contractual maturity date in April 2018. This debt is expected to become due and payable prior to that date, based on the decreasing valuation of the underlying collateral.</w:t>
      </w:r>
    </w:p>
    <w:p>
      <w:pPr>
        <w:ind w:left="580" w:right="480" w:hanging="248"/>
        <w:spacing w:after="0" w:line="261" w:lineRule="auto"/>
        <w:tabs>
          <w:tab w:leader="none" w:pos="580" w:val="left"/>
        </w:tabs>
        <w:numPr>
          <w:ilvl w:val="1"/>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Debt secured by receivables measured at fair value, in the amount of $1.3 million as of December 31, 2014, is omitted from this table because it becomes due as and when the related receivables balance is reduced by payments and charge-offs.</w:t>
      </w:r>
    </w:p>
    <w:p>
      <w:pPr>
        <w:spacing w:after="0" w:line="183" w:lineRule="exact"/>
        <w:rPr>
          <w:rFonts w:ascii="Arial" w:cs="Arial" w:eastAsia="Arial" w:hAnsi="Arial"/>
          <w:sz w:val="18"/>
          <w:szCs w:val="18"/>
          <w:i w:val="1"/>
          <w:iCs w:val="1"/>
          <w:color w:val="auto"/>
        </w:rPr>
      </w:pPr>
    </w:p>
    <w:p>
      <w:pPr>
        <w:ind w:left="260" w:hanging="252"/>
        <w:spacing w:after="0"/>
        <w:tabs>
          <w:tab w:leader="none" w:pos="2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Holders of common stock are entitled to such dividends as our Board of Directors, in its discretion, may declare out of funds available, subject to the terms of any outstanding shares of preferred stock and other restrictions. In the event of liquidation of the Company, holders of common stock are entitled to receive, </w:t>
      </w:r>
      <w:r>
        <w:rPr>
          <w:rFonts w:ascii="Arial" w:cs="Arial" w:eastAsia="Arial" w:hAnsi="Arial"/>
          <w:sz w:val="18"/>
          <w:szCs w:val="18"/>
          <w:i w:val="1"/>
          <w:iCs w:val="1"/>
          <w:color w:val="auto"/>
        </w:rPr>
        <w:t>pro rata</w:t>
      </w:r>
      <w:r>
        <w:rPr>
          <w:rFonts w:ascii="Arial" w:cs="Arial" w:eastAsia="Arial" w:hAnsi="Arial"/>
          <w:sz w:val="18"/>
          <w:szCs w:val="18"/>
          <w:color w:val="auto"/>
        </w:rPr>
        <w:t>, all of the assets of the Company available for distribution, after payment of any liquidation preference to the holders of outstanding shares of preferred stock. Holders of the shares of common stock have no conversion or preemptive or other subscription rights and there are no redemption or sinking fund provisions applicable to the common stock.</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are required to comply with various operating and financial covenants defined in the agreements governing the warehouse lines of credit, senior debt, residual interest financing and subordinated debt. The covenants for the senior debt, residual interest financing and subordinated debt restrict the payment of certain distributions, including dividends (See Note 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At five different times between 2000 and 2011, our Board of Directors has authorized the repurchase of up to $34.5 million of our securities. As of December 31, 2014, we had purchased $5.0 million principal amount of debt securities, and $28.4 million of our common stock, representing 9,800,720 shares. There is approximately $1.0 million remaining under such plans, which have no expiration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Warrants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2006, the Company adopted and its shareholders approved the CPS 2006 Long-Term Equity Incentive Plan (the “2006 Plan”) pursuant to which our Board of Directors, or a duly-authorized committee thereof, may grant stock options, restricted stock, restricted stock units and stock appreciation rights to our employees or employees of our subsidiaries, to directors of the Company, and to individuals acting as consultants to the Company or its subsidiaries. In June 2008, May 2012 and again in April 2013, the shareholders of the Company approved an amendment to the 2006 Plan to increase the maximum number of shares that may be subject to awards under the 2006 Plan to 5,000,000, 7,200,000 and 12,200,000, respectively, in each case plus shares authorized under prior plans and not issued. Options that have been granted under the 2006 Plan and a previous plan approved in 1997 have been granted at an exercise price equal to (or greater than) the stock’s fair market value at the date of the grant, with terms generally of 7-10 years and vesting generally over 4-5 years.</w:t>
      </w:r>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per share weighted-average fair value of stock options granted during the years ended December 31, 2014, 2013 and 2012 was $2.73, $4.79 and $1.15, respectively. That fair value was estimated using the Black-Scholes option pricing model using the weighted average assumptions noted in the following table. We use historical data to estimate the expected term of each option. The volatility estimate is based on the historical and implied volatility of our stock over the period that equals the expected life of the option. Volatility assumptions ranged from 52% to 55% for 2014, 50% to 85% for 2013 and 54% to 82% for 2012. The risk-free interest rate is based on the yield on a U.S. Treasury bond with a maturity comparable to the expected life of the option. The dividend yield is estimated to be zero based on our intention not to issue dividends for the foreseeable future.</w:t>
      </w:r>
    </w:p>
    <w:p>
      <w:pPr>
        <w:spacing w:after="0" w:line="188"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280" w:type="dxa"/>
            <w:vAlign w:val="bottom"/>
            <w:tcBorders>
              <w:bottom w:val="single" w:sz="8" w:color="EEEEEE"/>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EEEEEE"/>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top w:val="single" w:sz="8" w:color="auto"/>
              <w:bottom w:val="single" w:sz="8" w:color="EEEEEE"/>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EEEEEE"/>
            </w:tcBorders>
          </w:tcPr>
          <w:p>
            <w:pPr>
              <w:spacing w:after="0"/>
              <w:rPr>
                <w:sz w:val="19"/>
                <w:szCs w:val="19"/>
                <w:color w:val="auto"/>
              </w:rPr>
            </w:pPr>
          </w:p>
        </w:tc>
      </w:tr>
      <w:tr>
        <w:trPr>
          <w:trHeight w:val="210"/>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9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4.22</w:t>
            </w:r>
          </w:p>
        </w:tc>
        <w:tc>
          <w:tcPr>
            <w:tcW w:w="3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5.41</w:t>
            </w:r>
          </w:p>
        </w:tc>
        <w:tc>
          <w:tcPr>
            <w:tcW w:w="40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EEEEEE"/>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1.43%</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0.73%</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16"/>
        </w:trPr>
        <w:tc>
          <w:tcPr>
            <w:tcW w:w="62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Volatility</w:t>
            </w:r>
          </w:p>
        </w:tc>
        <w:tc>
          <w:tcPr>
            <w:tcW w:w="8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55%</w:t>
            </w:r>
          </w:p>
        </w:tc>
        <w:tc>
          <w:tcPr>
            <w:tcW w:w="1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80%</w:t>
            </w:r>
          </w:p>
        </w:tc>
        <w:tc>
          <w:tcPr>
            <w:tcW w:w="15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79%</w:t>
            </w: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the years ended December 31, 2014, 2013 and 2012, we recorded stock-based compensation costs in the amount of $3.8 million, $3.9 million and $1.1 million, respectively. As of December 31, 2014, the unrecognized stock-based compensation costs to be recognized over future periods was equal to $13.9 million. This amount will be recognized as expense over a weighted-average period of 3.0 years.</w:t>
      </w:r>
    </w:p>
    <w:p>
      <w:pPr>
        <w:spacing w:after="0" w:line="181"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At December 31, 2014 and 2013, the options outstanding and exercisable had intrinsic values of $36.7 million and $61.6 million, respectively. The total intrinsic value of options exercised was $9.1 million and $8.1 million for the years ended December 31, 2014 and 2013, respectively. New shares were issued for all options exercised during the year ended December 2014 and cash of $2.5 million was received. A tax benefit of $1.0 million was recorded for the options exercised in 2014. At December 31, 2014, there were a total of 2.1 million additional shares available for grant under the 2006 Plan.</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for the year ended December 31, 2014 for stock options under the 2006 and 1997 plans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Weighted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Shares (in</w:t>
            </w:r>
          </w:p>
        </w:tc>
        <w:tc>
          <w:tcPr>
            <w:tcW w:w="140" w:type="dxa"/>
            <w:vAlign w:val="bottom"/>
          </w:tcPr>
          <w:p>
            <w:pPr>
              <w:spacing w:after="0"/>
              <w:rPr>
                <w:sz w:val="18"/>
                <w:szCs w:val="18"/>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Average Exercise</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thousands)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10,128</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34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ind w:left="1040"/>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2,030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w:t>
            </w:r>
          </w:p>
        </w:tc>
        <w:tc>
          <w:tcPr>
            <w:tcW w:w="340" w:type="dxa"/>
            <w:vAlign w:val="bottom"/>
          </w:tcPr>
          <w:p>
            <w:pPr>
              <w:spacing w:after="0"/>
              <w:rPr>
                <w:sz w:val="18"/>
                <w:szCs w:val="18"/>
                <w:color w:val="auto"/>
              </w:rPr>
            </w:pP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(1,227)</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2.02</w:t>
            </w:r>
          </w:p>
        </w:tc>
        <w:tc>
          <w:tcPr>
            <w:tcW w:w="3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ind w:left="10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Forfeited/Expired</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19"/>
                <w:szCs w:val="19"/>
                <w:color w:val="auto"/>
              </w:rPr>
            </w:pP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10,828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auto"/>
              <w:bottom w:val="single" w:sz="8" w:color="auto"/>
            </w:tcBorders>
            <w:shd w:val="clear" w:color="auto" w:fill="EEEEEE"/>
          </w:tcPr>
          <w:p>
            <w:pPr>
              <w:ind w:left="600"/>
              <w:spacing w:after="0"/>
              <w:rPr>
                <w:sz w:val="20"/>
                <w:szCs w:val="20"/>
                <w:color w:val="auto"/>
              </w:rPr>
            </w:pPr>
            <w:r>
              <w:rPr>
                <w:rFonts w:ascii="Arial" w:cs="Arial" w:eastAsia="Arial" w:hAnsi="Arial"/>
                <w:sz w:val="18"/>
                <w:szCs w:val="18"/>
                <w:color w:val="auto"/>
                <w:w w:val="90"/>
              </w:rPr>
              <w:t>6.01 years</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5,761</w:t>
            </w:r>
          </w:p>
        </w:tc>
        <w:tc>
          <w:tcPr>
            <w:tcW w:w="200" w:type="dxa"/>
            <w:vAlign w:val="bottom"/>
            <w:shd w:val="clear" w:color="auto" w:fill="EEEEEE"/>
          </w:tcPr>
          <w:p>
            <w:pPr>
              <w:spacing w:after="0"/>
              <w:rPr>
                <w:sz w:val="21"/>
                <w:szCs w:val="21"/>
                <w:color w:val="auto"/>
              </w:rPr>
            </w:pPr>
          </w:p>
        </w:tc>
        <w:tc>
          <w:tcPr>
            <w:tcW w:w="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2.52</w:t>
            </w:r>
          </w:p>
        </w:tc>
        <w:tc>
          <w:tcPr>
            <w:tcW w:w="340" w:type="dxa"/>
            <w:vAlign w:val="bottom"/>
            <w:shd w:val="clear" w:color="auto" w:fill="EEEEEE"/>
          </w:tcPr>
          <w:p>
            <w:pPr>
              <w:spacing w:after="0"/>
              <w:rPr>
                <w:sz w:val="21"/>
                <w:szCs w:val="21"/>
                <w:color w:val="auto"/>
              </w:rPr>
            </w:pPr>
          </w:p>
        </w:tc>
        <w:tc>
          <w:tcPr>
            <w:tcW w:w="1500" w:type="dxa"/>
            <w:vAlign w:val="bottom"/>
            <w:gridSpan w:val="2"/>
            <w:shd w:val="clear" w:color="auto" w:fill="EEEEEE"/>
          </w:tcPr>
          <w:p>
            <w:pPr>
              <w:ind w:left="600"/>
              <w:spacing w:after="0"/>
              <w:rPr>
                <w:sz w:val="20"/>
                <w:szCs w:val="20"/>
                <w:color w:val="auto"/>
              </w:rPr>
            </w:pPr>
            <w:r>
              <w:rPr>
                <w:rFonts w:ascii="Arial" w:cs="Arial" w:eastAsia="Arial" w:hAnsi="Arial"/>
                <w:sz w:val="18"/>
                <w:szCs w:val="18"/>
                <w:color w:val="auto"/>
              </w:rPr>
              <w:t>4.89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per share weighted average exercise price of stock options granted whose exercise price was equal to the market price of the stock on the grant date during the years ended December 31, 2014, 2013 and 2012, was $6.59, $7.43 and $1.72, respectively. We did not issue any stock options with an exercise price above or below the market price of the stock on the grant date for the years ended December 31, 2014, 2013 and 2012.</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June 30, 2008, we entered into a series of agreements pursuant to which a lender purchased a $10 million five-year, fixed rate, senior secured note from us. In July 2008, in conjunction with the amendment of the residual interest financing as discussed above, the lender purchased an additional $15 million note with substantially the same terms as the $10 million note. Pursuant to the June 30, 2008 securities purchase agreement, we issued to the lender 1,225,000 shares of common stock. In addition, we issued the lender two warrants: (i) warrants that we refer to as the FMV Warrants, which were exercisable for 1,611,114 shares of our common stock, at an exercise price of $1.39818 per share, and (ii) warrants that we refer to as the N Warrants, which were exercisable for 285,781 shares of our common stock, at a nominal exercise price. Both the FMV Warrants and the N Warrants were exercised in November 2013.</w:t>
      </w:r>
    </w:p>
    <w:p>
      <w:pPr>
        <w:spacing w:after="0" w:line="18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exercisable for 2,500,000 common shares for $4,071,429. The warrants represent the right to purchase 2,500,000 CPS common shares at a nominal exercise price, at any time prior to July 10, 2018. In March 2010 we repurchased warrants for 500,000 of these shares for $1.0 million. Warrants to purchase 2,000,000 shares remain outstanding as of December 31, 2014.</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warrant to purchase 1,162,270 shares of our common shares at an exercise price of $0.876 per share, which was issued in connection with our $50 million revolving credit facility established in September 2009, was exercised by the lender in April 2013.</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Warrants to purchase 500,000 of our common shares at an exercise price of $1.41 per share were issued to certain note purchasers in our March 2010 $50 million term funding facility. Warrants to purchase 409,390 shares were exercised during 2014 and none remain outstanding as of December 31, 2014.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(9) Interest Income and Interest Expense</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840" w:type="dxa"/>
            <w:vAlign w:val="bottom"/>
          </w:tcPr>
          <w:p>
            <w:pPr>
              <w:ind w:left="80"/>
              <w:spacing w:after="0"/>
              <w:rPr>
                <w:sz w:val="20"/>
                <w:szCs w:val="20"/>
                <w:color w:val="auto"/>
              </w:rPr>
            </w:pPr>
            <w:r>
              <w:rPr>
                <w:rFonts w:ascii="Arial" w:cs="Arial" w:eastAsia="Arial" w:hAnsi="Arial"/>
                <w:sz w:val="18"/>
                <w:szCs w:val="18"/>
                <w:color w:val="auto"/>
                <w:w w:val="93"/>
              </w:rPr>
              <w:t>The following table presents the components of interest income:</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84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286,361</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231,320</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174,019</w:t>
            </w:r>
          </w:p>
        </w:tc>
        <w:tc>
          <w:tcPr>
            <w:tcW w:w="1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Residual interest income</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56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EEEEEE"/>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286,734</w:t>
            </w: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231,330</w:t>
            </w: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9"/>
        </w:trPr>
        <w:tc>
          <w:tcPr>
            <w:tcW w:w="5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305"/>
              <w:spacing w:after="0"/>
              <w:rPr>
                <w:sz w:val="20"/>
                <w:szCs w:val="20"/>
                <w:color w:val="auto"/>
              </w:rPr>
            </w:pPr>
            <w:r>
              <w:rPr>
                <w:rFonts w:ascii="Arial" w:cs="Arial" w:eastAsia="Arial" w:hAnsi="Arial"/>
                <w:sz w:val="18"/>
                <w:szCs w:val="18"/>
                <w:color w:val="auto"/>
              </w:rPr>
              <w:t>F-22</w:t>
            </w: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7"/>
          <w:szCs w:val="17"/>
          <w:b w:val="1"/>
          <w:bCs w:val="1"/>
          <w:color w:val="auto"/>
        </w:rPr>
        <w:t>CONSUMER PORTFOLIO SERVICES,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The following table presents the components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Securitization trust debt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secured debt, related party</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Debt secured by receivables at fair value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Residual interest financing</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Subordinated renewable notes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expense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Current federal tax expense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Current state tax expense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Deferred federal tax expense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Deferred state tax expense (benefit)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Income tax expense (benefit)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40"/>
              <w:spacing w:after="0" w:line="195"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38,558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34,744</w:t>
            </w:r>
          </w:p>
        </w:tc>
        <w:tc>
          <w:tcPr>
            <w:tcW w:w="340" w:type="dxa"/>
            <w:vAlign w:val="bottom"/>
          </w:tcPr>
          <w:p>
            <w:pPr>
              <w:spacing w:after="0"/>
              <w:rPr>
                <w:sz w:val="18"/>
                <w:szCs w:val="18"/>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38,289</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6,874</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8,064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12,314</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3,877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15,877</w:t>
            </w: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3,330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2,629</w:t>
            </w:r>
          </w:p>
        </w:tc>
      </w:tr>
      <w:tr>
        <w:trPr>
          <w:trHeight w:val="230"/>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w:t>
            </w:r>
          </w:p>
        </w:tc>
      </w:tr>
      <w:tr>
        <w:trPr>
          <w:trHeight w:val="223"/>
        </w:trPr>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50,395</w:t>
            </w: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58,179</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79,422</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-1011555</wp:posOffset>
            </wp:positionV>
            <wp:extent cx="651764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-736600</wp:posOffset>
            </wp:positionV>
            <wp:extent cx="651764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-462280</wp:posOffset>
            </wp:positionV>
            <wp:extent cx="651764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-179705</wp:posOffset>
            </wp:positionV>
            <wp:extent cx="651764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440"/>
              <w:spacing w:after="0" w:line="195" w:lineRule="exact"/>
              <w:rPr>
                <w:sz w:val="20"/>
                <w:szCs w:val="20"/>
                <w:color w:val="auto"/>
              </w:rPr>
            </w:pPr>
            <w:r>
              <w:rPr>
                <w:rFonts w:ascii="Arial" w:cs="Arial" w:eastAsia="Arial" w:hAnsi="Arial"/>
                <w:sz w:val="18"/>
                <w:szCs w:val="18"/>
                <w:b w:val="1"/>
                <w:bCs w:val="1"/>
                <w:color w:val="auto"/>
                <w:w w:val="91"/>
              </w:rPr>
              <w:t>(In 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977</w:t>
            </w:r>
          </w:p>
        </w:tc>
        <w:tc>
          <w:tcPr>
            <w:tcW w:w="340" w:type="dxa"/>
            <w:vAlign w:val="bottom"/>
          </w:tcPr>
          <w:p>
            <w:pPr>
              <w:spacing w:after="0"/>
              <w:rPr>
                <w:sz w:val="18"/>
                <w:szCs w:val="18"/>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13,306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(654)</w:t>
            </w: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(62,811)</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16,168</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(60,221</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-874395</wp:posOffset>
            </wp:positionV>
            <wp:extent cx="651764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-599440</wp:posOffset>
            </wp:positionV>
            <wp:extent cx="651764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-325120</wp:posOffset>
            </wp:positionV>
            <wp:extent cx="651764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640"/>
            <w:col w:w="5440"/>
          </w:cols>
          <w:pgMar w:left="240" w:top="877" w:right="239" w:bottom="1440" w:gutter="0" w:footer="0" w:header="0"/>
          <w:type w:val="continuous"/>
        </w:sectPr>
      </w:pPr>
    </w:p>
    <w:p>
      <w:pPr>
        <w:spacing w:after="0" w:line="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Income tax expense/(benefit) for the years ended December 31, 2014, 2013 and 2012 differs from the amount determined by applying the statutory federal rate of 35% to income before income taxes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Expense at federal tax rate</w:t>
            </w:r>
          </w:p>
        </w:tc>
        <w:tc>
          <w:tcPr>
            <w:tcW w:w="2200" w:type="dxa"/>
            <w:vAlign w:val="bottom"/>
            <w:gridSpan w:val="2"/>
            <w:shd w:val="clear" w:color="auto" w:fill="EEEEEE"/>
          </w:tcPr>
          <w:p>
            <w:pPr>
              <w:jc w:val="right"/>
              <w:ind w:right="677"/>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18,285</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13,011</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State taxes, net of federal income tax effect</w:t>
            </w: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Other adjustments to tax reserve</w:t>
            </w:r>
          </w:p>
        </w:tc>
        <w:tc>
          <w:tcPr>
            <w:tcW w:w="13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9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(419)</w:t>
            </w: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(1,153)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Effect of change in state tax rate</w:t>
            </w: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(1,105)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Change in valuation allowance</w:t>
            </w:r>
          </w:p>
        </w:tc>
        <w:tc>
          <w:tcPr>
            <w:tcW w:w="13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(62,811)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Non-deductible expenses</w:t>
            </w:r>
          </w:p>
        </w:tc>
        <w:tc>
          <w:tcPr>
            <w:tcW w:w="13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619</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0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EEEEEE"/>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34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3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EEEEEE"/>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40" w:type="dxa"/>
            <w:vAlign w:val="bottom"/>
            <w:tcBorders>
              <w:bottom w:val="single" w:sz="8" w:color="EEEEEE"/>
            </w:tcBorders>
            <w:shd w:val="clear" w:color="auto" w:fill="EEEEEE"/>
          </w:tcPr>
          <w:p>
            <w:pPr>
              <w:spacing w:after="0"/>
              <w:rPr>
                <w:sz w:val="19"/>
                <w:szCs w:val="19"/>
                <w:color w:val="auto"/>
              </w:rPr>
            </w:pPr>
          </w:p>
        </w:tc>
        <w:tc>
          <w:tcPr>
            <w:tcW w:w="1360" w:type="dxa"/>
            <w:vAlign w:val="bottom"/>
            <w:tcBorders>
              <w:bottom w:val="single" w:sz="8" w:color="EEEEEE"/>
            </w:tcBorders>
            <w:shd w:val="clear" w:color="auto" w:fill="EEEEEE"/>
          </w:tcPr>
          <w:p>
            <w:pPr>
              <w:spacing w:after="0"/>
              <w:rPr>
                <w:sz w:val="19"/>
                <w:szCs w:val="19"/>
                <w:color w:val="auto"/>
              </w:rPr>
            </w:pPr>
          </w:p>
        </w:tc>
        <w:tc>
          <w:tcPr>
            <w:tcW w:w="840" w:type="dxa"/>
            <w:vAlign w:val="bottom"/>
            <w:tcBorders>
              <w:bottom w:val="single" w:sz="8" w:color="auto"/>
            </w:tcBorders>
            <w:shd w:val="clear" w:color="auto" w:fill="EEEEEE"/>
          </w:tcPr>
          <w:p>
            <w:pPr>
              <w:jc w:val="right"/>
              <w:ind w:right="67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22,726</w:t>
            </w:r>
          </w:p>
        </w:tc>
        <w:tc>
          <w:tcPr>
            <w:tcW w:w="3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16,168</w:t>
            </w:r>
          </w:p>
        </w:tc>
        <w:tc>
          <w:tcPr>
            <w:tcW w:w="34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(60,221</w:t>
            </w:r>
          </w:p>
        </w:tc>
        <w:tc>
          <w:tcPr>
            <w:tcW w:w="1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9"/>
        </w:trPr>
        <w:tc>
          <w:tcPr>
            <w:tcW w:w="5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857"/>
              <w:spacing w:after="0"/>
              <w:rPr>
                <w:sz w:val="20"/>
                <w:szCs w:val="20"/>
                <w:color w:val="auto"/>
              </w:rPr>
            </w:pPr>
            <w:r>
              <w:rPr>
                <w:rFonts w:ascii="Arial" w:cs="Arial" w:eastAsia="Arial" w:hAnsi="Arial"/>
                <w:sz w:val="18"/>
                <w:szCs w:val="18"/>
                <w:color w:val="auto"/>
              </w:rPr>
              <w:t>F-23</w:t>
            </w: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type w:val="continuous"/>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effected cumulative temporary differences that give rise to deferred tax assets and liabilities as of December 31, 2014 and 2013 are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(In thousands)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15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Finance receivables</w:t>
            </w:r>
          </w:p>
        </w:tc>
        <w:tc>
          <w:tcPr>
            <w:tcW w:w="24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19,046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17,258</w:t>
            </w: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Accrued liabilities</w:t>
            </w:r>
          </w:p>
        </w:tc>
        <w:tc>
          <w:tcPr>
            <w:tcW w:w="15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2,551</w:t>
            </w:r>
          </w:p>
        </w:tc>
        <w:tc>
          <w:tcPr>
            <w:tcW w:w="4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5,079</w:t>
            </w:r>
          </w:p>
        </w:tc>
        <w:tc>
          <w:tcPr>
            <w:tcW w:w="100" w:type="dxa"/>
            <w:vAlign w:val="bottom"/>
            <w:shd w:val="clear" w:color="auto" w:fill="EEEEEE"/>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NOL carryforwards</w:t>
            </w:r>
          </w:p>
        </w:tc>
        <w:tc>
          <w:tcPr>
            <w:tcW w:w="15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6,922</w:t>
            </w: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23,811</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Built in losses</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11,698</w:t>
            </w:r>
          </w:p>
        </w:tc>
        <w:tc>
          <w:tcPr>
            <w:tcW w:w="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13,074</w:t>
            </w: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Pension accrual</w:t>
            </w:r>
          </w:p>
        </w:tc>
        <w:tc>
          <w:tcPr>
            <w:tcW w:w="15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1,090</w:t>
            </w:r>
          </w:p>
        </w:tc>
        <w:tc>
          <w:tcPr>
            <w:tcW w:w="4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AMT credit carryforward</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2,899</w:t>
            </w:r>
          </w:p>
        </w:tc>
        <w:tc>
          <w:tcPr>
            <w:tcW w:w="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8"/>
                <w:szCs w:val="18"/>
                <w:color w:val="auto"/>
              </w:rPr>
            </w:pPr>
          </w:p>
        </w:tc>
      </w:tr>
      <w:tr>
        <w:trPr>
          <w:trHeight w:val="230"/>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58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941</w:t>
            </w:r>
          </w:p>
        </w:tc>
        <w:tc>
          <w:tcPr>
            <w:tcW w:w="46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EEEEEE"/>
          </w:tcPr>
          <w:p>
            <w:pPr>
              <w:spacing w:after="0"/>
              <w:rPr>
                <w:sz w:val="19"/>
                <w:szCs w:val="19"/>
                <w:color w:val="auto"/>
              </w:rPr>
            </w:pPr>
          </w:p>
        </w:tc>
      </w:tr>
      <w:tr>
        <w:trPr>
          <w:trHeight w:val="210"/>
        </w:trPr>
        <w:tc>
          <w:tcPr>
            <w:tcW w:w="376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deferred tax assets</w:t>
            </w:r>
          </w:p>
        </w:tc>
        <w:tc>
          <w:tcPr>
            <w:tcW w:w="1580" w:type="dxa"/>
            <w:vAlign w:val="bottom"/>
            <w:tcBorders>
              <w:bottom w:val="single" w:sz="8" w:color="EEEEEE"/>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45,163</w:t>
            </w:r>
          </w:p>
        </w:tc>
        <w:tc>
          <w:tcPr>
            <w:tcW w:w="320" w:type="dxa"/>
            <w:vAlign w:val="bottom"/>
            <w:tcBorders>
              <w:bottom w:val="single" w:sz="8" w:color="EEEEEE"/>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62,250</w:t>
            </w:r>
          </w:p>
        </w:tc>
        <w:tc>
          <w:tcPr>
            <w:tcW w:w="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r>
      <w:tr>
        <w:trPr>
          <w:trHeight w:val="210"/>
        </w:trPr>
        <w:tc>
          <w:tcPr>
            <w:tcW w:w="37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FAS 91 deferred costs</w:t>
            </w:r>
          </w:p>
        </w:tc>
        <w:tc>
          <w:tcPr>
            <w:tcW w:w="15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4"/>
              </w:rPr>
              <w:t>(2,316)</w:t>
            </w:r>
          </w:p>
        </w:tc>
        <w:tc>
          <w:tcPr>
            <w:tcW w:w="4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(1,555)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Pension accrual</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(1,136)</w:t>
            </w:r>
          </w:p>
        </w:tc>
      </w:tr>
      <w:tr>
        <w:trPr>
          <w:trHeight w:val="230"/>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Investment residual</w:t>
            </w:r>
          </w:p>
        </w:tc>
        <w:tc>
          <w:tcPr>
            <w:tcW w:w="158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(344)</w:t>
            </w:r>
          </w:p>
        </w:tc>
      </w:tr>
      <w:tr>
        <w:trPr>
          <w:trHeight w:val="210"/>
        </w:trPr>
        <w:tc>
          <w:tcPr>
            <w:tcW w:w="376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deferred tax liabilities</w:t>
            </w:r>
          </w:p>
        </w:tc>
        <w:tc>
          <w:tcPr>
            <w:tcW w:w="1580" w:type="dxa"/>
            <w:vAlign w:val="bottom"/>
            <w:tcBorders>
              <w:bottom w:val="single" w:sz="8" w:color="EEEEEE"/>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(2,316</w:t>
            </w:r>
          </w:p>
        </w:tc>
        <w:tc>
          <w:tcPr>
            <w:tcW w:w="320" w:type="dxa"/>
            <w:vAlign w:val="bottom"/>
            <w:tcBorders>
              <w:bottom w:val="single" w:sz="8" w:color="EEEEEE"/>
            </w:tcBorders>
          </w:tcPr>
          <w:p>
            <w:pPr>
              <w:jc w:val="right"/>
              <w:ind w:right="18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120" w:type="dxa"/>
            <w:vAlign w:val="bottom"/>
            <w:tcBorders>
              <w:bottom w:val="single" w:sz="8" w:color="EEEEEE"/>
            </w:tcBorders>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10"/>
        </w:trPr>
        <w:tc>
          <w:tcPr>
            <w:tcW w:w="37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43"/>
        </w:trPr>
        <w:tc>
          <w:tcPr>
            <w:tcW w:w="3760" w:type="dxa"/>
            <w:vAlign w:val="bottom"/>
          </w:tcPr>
          <w:p>
            <w:pPr>
              <w:ind w:left="180"/>
              <w:spacing w:after="0"/>
              <w:rPr>
                <w:sz w:val="20"/>
                <w:szCs w:val="20"/>
                <w:color w:val="auto"/>
              </w:rPr>
            </w:pPr>
            <w:r>
              <w:rPr>
                <w:rFonts w:ascii="Arial" w:cs="Arial" w:eastAsia="Arial" w:hAnsi="Arial"/>
                <w:sz w:val="18"/>
                <w:szCs w:val="18"/>
                <w:color w:val="auto"/>
              </w:rPr>
              <w:t>Net deferred tax asset</w:t>
            </w:r>
          </w:p>
        </w:tc>
        <w:tc>
          <w:tcPr>
            <w:tcW w:w="24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42,847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59,215</w:t>
            </w:r>
          </w:p>
        </w:tc>
        <w:tc>
          <w:tcPr>
            <w:tcW w:w="100" w:type="dxa"/>
            <w:vAlign w:val="bottom"/>
          </w:tcPr>
          <w:p>
            <w:pPr>
              <w:spacing w:after="0"/>
              <w:rPr>
                <w:sz w:val="21"/>
                <w:szCs w:val="21"/>
                <w:color w:val="auto"/>
              </w:rPr>
            </w:pPr>
          </w:p>
        </w:tc>
      </w:tr>
      <w:tr>
        <w:trPr>
          <w:trHeight w:val="20"/>
        </w:trPr>
        <w:tc>
          <w:tcPr>
            <w:tcW w:w="3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acquired certain net operating losses and built-in loss assets as part of our acquisitions of MFN Financial Corp. (“MFN”) in 2002 and TFC Enterprises, Inc. (“TFC”) in 2003. Moreover, both MFN and TFC have undergone an ownership change for purposes of Internal Revenue Code (“IRC”) Section 382. In general, IRC Section 382 imposes an annual limitation on the ability of a loss corporation (that is, a corporation with a net operating loss (“NOL”) carryforward, credit carryforward, or certain built-in losses (“BILs”)) to utilize its pre-change NOL carryforwards or BILs to offset taxable income arising after an ownership change.</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tax planning strategies that, if necessary, would be implemented to accelerate taxable income into years in which net operating losses might otherwise expire.</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As a result of the unprecedented adverse changes in the market for securitizations, the recession and the resulting high levels of unemployment that occurred in 2008 and 2009, we incurred substantial operating losses from 2009 through 2011 which led us to establish a valuation allowance against a substantial portion of our deferred tax assets. We determined at December 31, 2012 that, based on the weight of the available objective evidence, it was more likely than not that we would generate sufficient future taxable income to utilize our net deferred tax assets. Accordingly, we reversed the related valuation allowance of $62.8 million in the fourth quarter of 2012.</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Although realization is not assured, we believe that the realization of the recognized net deferred tax asset of $42.8 million as of December 31, 2014 is more likely than not based on forecasted future net earnings. Our net deferred tax asset of $42.8 million consists of approximately $32.7 million of net U.S. federal deferred tax assets and $10.1 million of net state deferred tax assets. The major components of the deferred tax asset are $18.6 million in net operating loss carryforwards and built in losses and $24.2 million in net deductions which have not yet been taken on a tax return.</w:t>
      </w:r>
    </w:p>
    <w:p>
      <w:pPr>
        <w:spacing w:after="0" w:line="171"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As of December 31, 2014, we had net operating loss carryforwards for federal and state income tax purposes of $3.5 million and $108.5 million, respectively. The federal net operating losses begin to expire in 2022. The state net operating losses begin to expire in 2015.</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tabular reconciliation of the total amounts of unrecognized tax benefits including interest and penalties for the year:</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12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3"/>
              </w:rPr>
              <w:t>(In thousands)</w:t>
            </w: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Unrecognized tax benefit - opening balance</w:t>
            </w:r>
          </w:p>
        </w:tc>
        <w:tc>
          <w:tcPr>
            <w:tcW w:w="188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1,331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Gross decreases - tax positions in current period</w:t>
            </w:r>
          </w:p>
        </w:tc>
        <w:tc>
          <w:tcPr>
            <w:tcW w:w="9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Gross increases - tax positions in current period</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Settlements</w:t>
            </w:r>
          </w:p>
        </w:tc>
        <w:tc>
          <w:tcPr>
            <w:tcW w:w="9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(686)</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(645)</w:t>
            </w:r>
          </w:p>
        </w:tc>
      </w:tr>
      <w:tr>
        <w:trPr>
          <w:trHeight w:val="223"/>
        </w:trPr>
        <w:tc>
          <w:tcPr>
            <w:tcW w:w="44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Unrecognized tax benefit - ending balance</w:t>
            </w:r>
          </w:p>
        </w:tc>
        <w:tc>
          <w:tcPr>
            <w:tcW w:w="940" w:type="dxa"/>
            <w:vAlign w:val="bottom"/>
            <w:tcBorders>
              <w:top w:val="single" w:sz="8" w:color="EEEEEE"/>
              <w:bottom w:val="single" w:sz="8" w:color="EEEEEE"/>
            </w:tcBorders>
            <w:shd w:val="clear" w:color="auto" w:fill="EEEEEE"/>
          </w:tcPr>
          <w:p>
            <w:pPr>
              <w:spacing w:after="0"/>
              <w:rPr>
                <w:sz w:val="19"/>
                <w:szCs w:val="19"/>
                <w:color w:val="auto"/>
              </w:rPr>
            </w:pPr>
          </w:p>
        </w:tc>
        <w:tc>
          <w:tcPr>
            <w:tcW w:w="940" w:type="dxa"/>
            <w:vAlign w:val="bottom"/>
            <w:tcBorders>
              <w:top w:val="single" w:sz="8" w:color="auto"/>
              <w:bottom w:val="single" w:sz="8" w:color="auto"/>
            </w:tcBorders>
            <w:shd w:val="clear" w:color="auto" w:fill="EEEEEE"/>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EEEEEE"/>
          </w:tcPr>
          <w:p>
            <w:pPr>
              <w:ind w:left="36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recognize a tax position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We recognize potential interest and penalties related to unrecognized tax benefits as income tax expense. At December 31, 2014, we had no unrecognized tax benefits for uncertain tax positions.</w:t>
      </w:r>
    </w:p>
    <w:p>
      <w:pPr>
        <w:spacing w:after="0" w:line="17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are subject to taxation in the US and various state jurisdictions. With few exceptions, we are no longer subject to U.S. federal, state, or local examinations by tax authorities for years before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Related Party Transactions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December 2007, one of our directors purchased a $4.0 million subordinated renewable note pursuant to our ongoing program of issuing such notes to the public. The note was purchased through the registered agent and under the same terms and conditions, including the interest rate, that were offered to other purchasers at the time the note was issued. As of December 31, 2014, $4.0 million remains outstanding on this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Company leases its facilities and certain computer equipment under non-cancelable operating leases, which expire through 2018. Future minimum lease payments at December 31, 2014, under these leases are due during the years ended December 31 as follows:</w:t>
      </w:r>
    </w:p>
    <w:p>
      <w:pPr>
        <w:spacing w:after="0" w:line="156"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Amount</w:t>
            </w:r>
          </w:p>
        </w:tc>
      </w:tr>
      <w:tr>
        <w:trPr>
          <w:trHeight w:val="210"/>
        </w:trPr>
        <w:tc>
          <w:tcPr>
            <w:tcW w:w="3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20" w:type="dxa"/>
            <w:vAlign w:val="bottom"/>
          </w:tcPr>
          <w:p>
            <w:pPr>
              <w:spacing w:after="0"/>
              <w:rPr>
                <w:sz w:val="18"/>
                <w:szCs w:val="18"/>
                <w:color w:val="auto"/>
              </w:rPr>
            </w:pPr>
          </w:p>
        </w:tc>
      </w:tr>
      <w:tr>
        <w:trPr>
          <w:trHeight w:val="216"/>
        </w:trPr>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2015</w:t>
            </w:r>
          </w:p>
        </w:tc>
        <w:tc>
          <w:tcPr>
            <w:tcW w:w="1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3,695</w:t>
            </w:r>
          </w:p>
        </w:tc>
        <w:tc>
          <w:tcPr>
            <w:tcW w:w="120" w:type="dxa"/>
            <w:vAlign w:val="bottom"/>
            <w:shd w:val="clear" w:color="auto" w:fill="EEEEEE"/>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2016</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3,185</w:t>
            </w:r>
          </w:p>
        </w:tc>
        <w:tc>
          <w:tcPr>
            <w:tcW w:w="120" w:type="dxa"/>
            <w:vAlign w:val="bottom"/>
          </w:tcPr>
          <w:p>
            <w:pPr>
              <w:spacing w:after="0"/>
              <w:rPr>
                <w:sz w:val="18"/>
                <w:szCs w:val="18"/>
                <w:color w:val="auto"/>
              </w:rPr>
            </w:pPr>
          </w:p>
        </w:tc>
      </w:tr>
      <w:tr>
        <w:trPr>
          <w:trHeight w:val="216"/>
        </w:trPr>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2017</w:t>
            </w:r>
          </w:p>
        </w:tc>
        <w:tc>
          <w:tcPr>
            <w:tcW w:w="15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1,878</w:t>
            </w:r>
          </w:p>
        </w:tc>
        <w:tc>
          <w:tcPr>
            <w:tcW w:w="120" w:type="dxa"/>
            <w:vAlign w:val="bottom"/>
            <w:shd w:val="clear" w:color="auto" w:fill="EEEEEE"/>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2018</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8"/>
                <w:szCs w:val="18"/>
                <w:color w:val="auto"/>
              </w:rPr>
            </w:pPr>
          </w:p>
        </w:tc>
      </w:tr>
      <w:tr>
        <w:trPr>
          <w:trHeight w:val="216"/>
        </w:trPr>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2019</w:t>
            </w:r>
          </w:p>
        </w:tc>
        <w:tc>
          <w:tcPr>
            <w:tcW w:w="15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EEEEEE"/>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Thereafter</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minimum lease payments</w:t>
            </w:r>
          </w:p>
        </w:tc>
        <w:tc>
          <w:tcPr>
            <w:tcW w:w="15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11,383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for the years ended December 31, 2014, 2013 and 2012, was $3.5 million, $2.6 million and $2.9 million, respectively.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facility leases contain certain rental concessions and escalating rental payments, which are recognized as adjustments to rental expense and are amortized on a straight-line basis over the terms of the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Consumer Litigation. </w:t>
      </w:r>
      <w:r>
        <w:rPr>
          <w:rFonts w:ascii="Arial" w:cs="Arial" w:eastAsia="Arial" w:hAnsi="Arial"/>
          <w:sz w:val="17"/>
          <w:szCs w:val="17"/>
          <w:color w:val="auto"/>
        </w:rPr>
        <w:t>We are routinely involved in various legal proceedings resulting from our consumer finance activities and practices, both</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and discontinued. Consumers can and do initiate lawsuits against us alleging violations of law applicable to collection of receivables, and such lawsuits sometimes allege that resolution as a class action is appropriate. We are currently defending two such purported class actions, one of which has been settled by agreement with the plaintiffs (such settlement remains subject to approval by the court). For the most part, we have legal and factual defenses to such claims, which we routinely contest or settle (for immaterial amounts) depending on the particular circumstances of each case. We have recorded a liability as of December 31, 2014 with respect to such matters, in the aggregate.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FTC Action</w:t>
      </w:r>
      <w:r>
        <w:rPr>
          <w:rFonts w:ascii="Arial" w:cs="Arial" w:eastAsia="Arial" w:hAnsi="Arial"/>
          <w:sz w:val="16"/>
          <w:szCs w:val="16"/>
          <w:color w:val="auto"/>
        </w:rPr>
        <w:t>. In July 2013, the staff of the U.S. Federal Trade Commission (“FTC”) advised us that they were prepared to recommend that the FTC</w:t>
      </w:r>
      <w:r>
        <w:rPr>
          <w:rFonts w:ascii="Arial" w:cs="Arial" w:eastAsia="Arial" w:hAnsi="Arial"/>
          <w:sz w:val="16"/>
          <w:szCs w:val="16"/>
          <w:i w:val="1"/>
          <w:iCs w:val="1"/>
          <w:color w:val="auto"/>
        </w:rPr>
        <w:t xml:space="preserve"> </w:t>
      </w:r>
      <w:r>
        <w:rPr>
          <w:rFonts w:ascii="Arial" w:cs="Arial" w:eastAsia="Arial" w:hAnsi="Arial"/>
          <w:sz w:val="16"/>
          <w:szCs w:val="16"/>
          <w:color w:val="auto"/>
        </w:rPr>
        <w:t>initiate a lawsuit against us relating to allegedly unfair trade practices, and simultaneously advised that settlement of such issues by consent decree might be achieved. On May 29, 2014, the FTC announced its agreement to settle the matter by filing a lawsuit against us, and requesting, with our consent, that the court enter an agreed judgment against us. The lawsuit arose out of the FTC’s inquiry into our business practices. Under the agreed settlement, we made approximately $1.9 million of restitutionary payments and $1.6 million of account adjustments to our customers in September 2014, paid a $2 million penalty to the federal government in June 2014, and implemented procedural changes, all pursuant to a consent decree that was entered by the court in June 2014.</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Department of Justice Subpoena. </w:t>
      </w:r>
      <w:r>
        <w:rPr>
          <w:rFonts w:ascii="Arial" w:cs="Arial" w:eastAsia="Arial" w:hAnsi="Arial"/>
          <w:sz w:val="17"/>
          <w:szCs w:val="17"/>
          <w:color w:val="auto"/>
        </w:rPr>
        <w:t>In January 2015, we were served with a subpoena by the U.S. Department of Justice directing us to produce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Among other matters, the subpoena requests information relating to the underwriting criteria used to originate these automobile contracts and the representations and warranties relating to those underwriting criteria that were made in connection with the securitization of the automobile contracts. We are investigating these matters internally and are cooperating with the request. Such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17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In General</w:t>
      </w:r>
      <w:r>
        <w:rPr>
          <w:rFonts w:ascii="Arial" w:cs="Arial" w:eastAsia="Arial" w:hAnsi="Arial"/>
          <w:sz w:val="17"/>
          <w:szCs w:val="17"/>
          <w:color w:val="auto"/>
        </w:rPr>
        <w:t>. There can be no assurance as to the outcomes of the matters referenced above. We have recorded a liability as of December 31, 2014,</w:t>
      </w:r>
      <w:r>
        <w:rPr>
          <w:rFonts w:ascii="Arial" w:cs="Arial" w:eastAsia="Arial" w:hAnsi="Arial"/>
          <w:sz w:val="17"/>
          <w:szCs w:val="17"/>
          <w:i w:val="1"/>
          <w:iCs w:val="1"/>
          <w:color w:val="auto"/>
        </w:rPr>
        <w:t xml:space="preserve"> </w:t>
      </w:r>
      <w:r>
        <w:rPr>
          <w:rFonts w:ascii="Arial" w:cs="Arial" w:eastAsia="Arial" w:hAnsi="Arial"/>
          <w:sz w:val="17"/>
          <w:szCs w:val="17"/>
          <w:color w:val="auto"/>
        </w:rPr>
        <w:t>which 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December 31, 2014, and in excess of the liability we have recorded, is from $0 to $1.5 million.</w:t>
      </w:r>
    </w:p>
    <w:p>
      <w:pPr>
        <w:spacing w:after="0" w:line="17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 See Note 1 for a discussion of legal contingent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Employee Benefits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sponsor a pretax savings and profit sharing plan (the “401(k) Plan”) qualified under Section 401(k) of the Internal Revenue Code. Under the 401(k) Plan, eligible employees are able to contribute up to 15% of their compensation (subject to stricter limitation in the case of highly compensated employees). We may, at our discretion, match 100% of employees’ contributions up to $1,500 per employee per calendar year. Our contributions to the 401(k) Plan were $642,000 and $471,000 for the year ended December 31, 2014 and 2013. We did not make any matching contributions in 2012.</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sponsor a defined benefit plan, the MFN Financial Corporation Pension Plan (the “Plan”). The Plan benefits were frozen on June 30, 2001.</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represents a reconciliation of the change in the plan’s benefit obligations, fair value of plan assets, and funded status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ind w:left="740"/>
              <w:spacing w:after="0"/>
              <w:rPr>
                <w:sz w:val="20"/>
                <w:szCs w:val="20"/>
                <w:color w:val="auto"/>
              </w:rPr>
            </w:pPr>
            <w:r>
              <w:rPr>
                <w:rFonts w:ascii="Arial" w:cs="Arial" w:eastAsia="Arial" w:hAnsi="Arial"/>
                <w:sz w:val="18"/>
                <w:szCs w:val="18"/>
                <w:b w:val="1"/>
                <w:bCs w:val="1"/>
                <w:color w:val="auto"/>
                <w:w w:val="93"/>
              </w:rPr>
              <w:t>December 31,</w:t>
            </w: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5"/>
          </w:tcPr>
          <w:p>
            <w:pPr>
              <w:ind w:left="72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Projected benefit obligation, beginning of year</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18,841</w:t>
            </w:r>
          </w:p>
        </w:tc>
        <w:tc>
          <w:tcPr>
            <w:tcW w:w="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EEEEEE"/>
          </w:tcPr>
          <w:p>
            <w:pPr>
              <w:spacing w:after="0"/>
              <w:rPr>
                <w:sz w:val="18"/>
                <w:szCs w:val="18"/>
                <w:color w:val="auto"/>
              </w:rPr>
            </w:pPr>
          </w:p>
        </w:tc>
        <w:tc>
          <w:tcPr>
            <w:tcW w:w="146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888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Assumption changes</w:t>
            </w:r>
          </w:p>
        </w:tc>
        <w:tc>
          <w:tcPr>
            <w:tcW w:w="2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3,570</w:t>
            </w: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Actuarial (gain) loss</w:t>
            </w:r>
          </w:p>
        </w:tc>
        <w:tc>
          <w:tcPr>
            <w:tcW w:w="26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Settlements</w:t>
            </w:r>
          </w:p>
        </w:tc>
        <w:tc>
          <w:tcPr>
            <w:tcW w:w="260" w:type="dxa"/>
            <w:vAlign w:val="bottom"/>
            <w:shd w:val="clear" w:color="auto" w:fill="EEEEEE"/>
          </w:tcPr>
          <w:p>
            <w:pPr>
              <w:spacing w:after="0"/>
              <w:rPr>
                <w:sz w:val="18"/>
                <w:szCs w:val="18"/>
                <w:color w:val="auto"/>
              </w:rPr>
            </w:pPr>
          </w:p>
        </w:tc>
        <w:tc>
          <w:tcPr>
            <w:tcW w:w="146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19"/>
                <w:szCs w:val="19"/>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(951)</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EEEEEE"/>
            </w:tcBorders>
            <w:gridSpan w:val="2"/>
            <w:shd w:val="clear" w:color="auto" w:fill="EEEEEE"/>
          </w:tcPr>
          <w:p>
            <w:pPr>
              <w:ind w:left="160"/>
              <w:spacing w:after="0"/>
              <w:rPr>
                <w:sz w:val="20"/>
                <w:szCs w:val="20"/>
                <w:color w:val="auto"/>
              </w:rPr>
            </w:pPr>
            <w:r>
              <w:rPr>
                <w:rFonts w:ascii="Arial" w:cs="Arial" w:eastAsia="Arial" w:hAnsi="Arial"/>
                <w:sz w:val="18"/>
                <w:szCs w:val="18"/>
                <w:color w:val="auto"/>
              </w:rPr>
              <w:t>Projected benefit obligation, end of year</w:t>
            </w:r>
          </w:p>
        </w:tc>
        <w:tc>
          <w:tcPr>
            <w:tcW w:w="260" w:type="dxa"/>
            <w:vAlign w:val="bottom"/>
            <w:tcBorders>
              <w:top w:val="single" w:sz="8" w:color="auto"/>
            </w:tcBorders>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22,559</w:t>
            </w:r>
          </w:p>
        </w:tc>
        <w:tc>
          <w:tcPr>
            <w:tcW w:w="28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18,841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Change in Plan Assets</w:t>
            </w:r>
          </w:p>
        </w:tc>
        <w:tc>
          <w:tcPr>
            <w:tcW w:w="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21,664</w:t>
            </w:r>
          </w:p>
        </w:tc>
        <w:tc>
          <w:tcPr>
            <w:tcW w:w="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Return on assets</w:t>
            </w:r>
          </w:p>
        </w:tc>
        <w:tc>
          <w:tcPr>
            <w:tcW w:w="2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(1,009)</w:t>
            </w: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Employer contribution</w:t>
            </w:r>
          </w:p>
        </w:tc>
        <w:tc>
          <w:tcPr>
            <w:tcW w:w="26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(93)</w:t>
            </w: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18"/>
                <w:szCs w:val="18"/>
                <w:color w:val="auto"/>
              </w:rPr>
            </w:pPr>
          </w:p>
        </w:tc>
        <w:tc>
          <w:tcPr>
            <w:tcW w:w="146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Benefits paid</w:t>
            </w:r>
          </w:p>
        </w:tc>
        <w:tc>
          <w:tcPr>
            <w:tcW w:w="260" w:type="dxa"/>
            <w:vAlign w:val="bottom"/>
            <w:shd w:val="clear" w:color="auto" w:fill="EEEEEE"/>
          </w:tcPr>
          <w:p>
            <w:pPr>
              <w:spacing w:after="0"/>
              <w:rPr>
                <w:sz w:val="19"/>
                <w:szCs w:val="19"/>
                <w:color w:val="auto"/>
              </w:rPr>
            </w:pPr>
          </w:p>
        </w:tc>
        <w:tc>
          <w:tcPr>
            <w:tcW w:w="14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(951)</w:t>
            </w:r>
          </w:p>
        </w:tc>
        <w:tc>
          <w:tcPr>
            <w:tcW w:w="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0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Fair value of plan assets, end of year</w:t>
            </w: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19,848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spacing w:after="0"/>
              <w:rPr>
                <w:sz w:val="19"/>
                <w:szCs w:val="19"/>
                <w:color w:val="auto"/>
              </w:rPr>
            </w:pPr>
          </w:p>
        </w:tc>
        <w:tc>
          <w:tcPr>
            <w:tcW w:w="6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Funded Status at end of year</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(2,711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Additional Information</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940" w:type="dxa"/>
            <w:vAlign w:val="bottom"/>
            <w:gridSpan w:val="7"/>
          </w:tcPr>
          <w:p>
            <w:pPr>
              <w:ind w:left="640"/>
              <w:spacing w:after="0"/>
              <w:rPr>
                <w:sz w:val="20"/>
                <w:szCs w:val="20"/>
                <w:color w:val="auto"/>
              </w:rPr>
            </w:pPr>
            <w:r>
              <w:rPr>
                <w:rFonts w:ascii="Arial" w:cs="Arial" w:eastAsia="Arial" w:hAnsi="Arial"/>
                <w:sz w:val="18"/>
                <w:szCs w:val="18"/>
                <w:color w:val="auto"/>
                <w:w w:val="90"/>
              </w:rPr>
              <w:t>Weighted average assumptions used to determine benefit obligations and cost at December 31, 2014 and 2013 were as follows: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700"/>
              <w:spacing w:after="0"/>
              <w:rPr>
                <w:sz w:val="20"/>
                <w:szCs w:val="20"/>
                <w:color w:val="auto"/>
              </w:rPr>
            </w:pPr>
            <w:r>
              <w:rPr>
                <w:rFonts w:ascii="Arial" w:cs="Arial" w:eastAsia="Arial" w:hAnsi="Arial"/>
                <w:sz w:val="18"/>
                <w:szCs w:val="18"/>
                <w:b w:val="1"/>
                <w:bCs w:val="1"/>
                <w:color w:val="auto"/>
                <w:w w:val="97"/>
              </w:rPr>
              <w:t>December, 31</w:t>
            </w: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EEEEEE"/>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19"/>
                <w:szCs w:val="19"/>
                <w:color w:val="auto"/>
              </w:rPr>
            </w:pPr>
          </w:p>
        </w:tc>
        <w:tc>
          <w:tcPr>
            <w:tcW w:w="280" w:type="dxa"/>
            <w:vAlign w:val="bottom"/>
            <w:tcBorders>
              <w:bottom w:val="single" w:sz="8" w:color="EEEEEE"/>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2013</w:t>
            </w:r>
          </w:p>
        </w:tc>
        <w:tc>
          <w:tcPr>
            <w:tcW w:w="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260" w:type="dxa"/>
            <w:vAlign w:val="bottom"/>
          </w:tcPr>
          <w:p>
            <w:pPr>
              <w:spacing w:after="0"/>
              <w:rPr>
                <w:sz w:val="18"/>
                <w:szCs w:val="18"/>
                <w:color w:val="auto"/>
              </w:rPr>
            </w:pPr>
          </w:p>
        </w:tc>
        <w:tc>
          <w:tcPr>
            <w:tcW w:w="1400" w:type="dxa"/>
            <w:vAlign w:val="bottom"/>
            <w:gridSpan w:val="3"/>
          </w:tcPr>
          <w:p>
            <w:pPr>
              <w:ind w:left="720"/>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Discount rate</w:t>
            </w:r>
          </w:p>
        </w:tc>
        <w:tc>
          <w:tcPr>
            <w:tcW w:w="2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ind w:left="720"/>
              <w:spacing w:after="0"/>
              <w:rPr>
                <w:sz w:val="20"/>
                <w:szCs w:val="20"/>
                <w:color w:val="auto"/>
              </w:rPr>
            </w:pPr>
            <w:r>
              <w:rPr>
                <w:rFonts w:ascii="Arial" w:cs="Arial" w:eastAsia="Arial" w:hAnsi="Arial"/>
                <w:sz w:val="18"/>
                <w:szCs w:val="18"/>
                <w:color w:val="auto"/>
              </w:rPr>
              <w:t>4.75%</w:t>
            </w: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20"/>
                <w:szCs w:val="20"/>
                <w:color w:val="auto"/>
              </w:rPr>
            </w:pPr>
          </w:p>
        </w:tc>
        <w:tc>
          <w:tcPr>
            <w:tcW w:w="1400" w:type="dxa"/>
            <w:vAlign w:val="bottom"/>
            <w:gridSpan w:val="3"/>
          </w:tcPr>
          <w:p>
            <w:pPr>
              <w:ind w:left="720"/>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overall expected long-term rate of return on assets is 8.00% per annum as of December 31, 2014. The expected long-term rate of return is based on the weighted average of historical returns on individual asset categories, which are described in more detail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Amounts recognized on Consolidated Balance Sheet</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assets</w:t>
            </w: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2,823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4"/>
              </w:rPr>
              <w:t>(2,711)</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Net amount recognized</w:t>
            </w: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(2,711</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3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(5,180</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w w:val="99"/>
              </w:rPr>
              <w:t>Amounts recognized in accumulated other comprehensive loss consists of:</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EEEEEE"/>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7,977</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1,367</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8,953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Unrecognized transition asset</w:t>
            </w:r>
          </w:p>
        </w:tc>
        <w:tc>
          <w:tcPr>
            <w:tcW w:w="8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Net amount recognized</w:t>
            </w:r>
          </w:p>
        </w:tc>
        <w:tc>
          <w:tcPr>
            <w:tcW w:w="880" w:type="dxa"/>
            <w:vAlign w:val="bottom"/>
            <w:tcBorders>
              <w:top w:val="single" w:sz="8" w:color="auto"/>
              <w:bottom w:val="single" w:sz="8" w:color="auto"/>
            </w:tcBorders>
            <w:shd w:val="clear" w:color="auto" w:fill="EEEEEE"/>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7,977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1,367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8,953</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cost</w:t>
            </w: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8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4"/>
              </w:rPr>
              <w:t>(1,727)</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(1,335)</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8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loss</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484</w:t>
            </w:r>
          </w:p>
        </w:tc>
        <w:tc>
          <w:tcPr>
            <w:tcW w:w="3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Settlement (gain)/loss</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EEEEEE"/>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Benefit Obligation Recognized in Other Comprehensive Loss (Income)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loss (gain)</w:t>
            </w:r>
          </w:p>
        </w:tc>
        <w:tc>
          <w:tcPr>
            <w:tcW w:w="880" w:type="dxa"/>
            <w:vAlign w:val="bottom"/>
            <w:shd w:val="clear" w:color="auto" w:fill="EEEEEE"/>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6,610</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(7,586)</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8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prior service cost</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Net amount recognized in other comprehensive loss (income)</w:t>
            </w:r>
          </w:p>
        </w:tc>
        <w:tc>
          <w:tcPr>
            <w:tcW w:w="880" w:type="dxa"/>
            <w:vAlign w:val="bottom"/>
            <w:tcBorders>
              <w:top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(7,586</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estimated net loss that will be amortized from accumulated other comprehensive income into net periodic benefit cost in 2015 is $350,000.</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asset allocation of our pension benefits at December 31, 2014 and 2013 were as follows:</w:t>
      </w:r>
    </w:p>
    <w:p>
      <w:pPr>
        <w:spacing w:after="0" w:line="235"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EEEEEE"/>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EEEEEE"/>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8"/>
                <w:szCs w:val="18"/>
                <w:b w:val="1"/>
                <w:bCs w:val="1"/>
                <w:color w:val="auto"/>
              </w:rPr>
              <w:t>2013</w:t>
            </w:r>
          </w:p>
        </w:tc>
      </w:tr>
      <w:tr>
        <w:trPr>
          <w:trHeight w:val="210"/>
        </w:trPr>
        <w:tc>
          <w:tcPr>
            <w:tcW w:w="8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Asset Allocation at Year-End</w:t>
            </w:r>
          </w:p>
        </w:tc>
        <w:tc>
          <w:tcPr>
            <w:tcW w:w="10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securities</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9"/>
                <w:szCs w:val="19"/>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15"/>
                <w:szCs w:val="15"/>
                <w:color w:val="auto"/>
              </w:rPr>
              <w:t>100</w:t>
            </w:r>
            <w:r>
              <w:rPr>
                <w:rFonts w:ascii="Arial" w:cs="Arial" w:eastAsia="Arial" w:hAnsi="Arial"/>
                <w:sz w:val="28"/>
                <w:szCs w:val="28"/>
                <w:color w:val="auto"/>
                <w:vertAlign w:val="superscript"/>
              </w:rPr>
              <w:t>%</w:t>
            </w:r>
          </w:p>
        </w:tc>
        <w:tc>
          <w:tcPr>
            <w:tcW w:w="20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15"/>
                <w:szCs w:val="15"/>
                <w:color w:val="auto"/>
              </w:rPr>
              <w:t>100</w:t>
            </w:r>
            <w:r>
              <w:rPr>
                <w:rFonts w:ascii="Arial" w:cs="Arial" w:eastAsia="Arial" w:hAnsi="Arial"/>
                <w:sz w:val="28"/>
                <w:szCs w:val="28"/>
                <w:color w:val="auto"/>
                <w:vertAlign w:val="superscript"/>
              </w:rPr>
              <w:t>%</w:t>
            </w:r>
          </w:p>
        </w:tc>
      </w:tr>
      <w:tr>
        <w:trPr>
          <w:trHeight w:val="20"/>
        </w:trPr>
        <w:tc>
          <w:tcPr>
            <w:tcW w:w="8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investment policies and strategies for the pension benefits plan utilize a target allocation of 75% equity securities and 25% fixed income securities (excluding Company stock). Our investment goals are to maximize returns subject to specific risk management policies. We address risk management and diversification by the use of a professional investment advisor and several sub-advisors which invest in domestic and international equity securities and domestic fixed income securities. Each sub-advisor focuses its investments within a specific sector of the equity or fixed income market. For the sub-advisors focused on the equity markets, the sectors are differentiated by the market capitalization, the relative valuation and the location of the underlying issuer. For the sub-advisors focused on the fixed income markets, the sectors are differentiated by the credit quality and the maturity of the underlying fixed income investment. The investments made by the sub-advisors are readily marketable and can be sold to fund benefit payment obligations as they become payable.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700" w:type="dxa"/>
            <w:vAlign w:val="bottom"/>
            <w:gridSpan w:val="9"/>
          </w:tcPr>
          <w:p>
            <w:pPr>
              <w:jc w:val="right"/>
              <w:ind w:right="5"/>
              <w:spacing w:after="0"/>
              <w:rPr>
                <w:sz w:val="20"/>
                <w:szCs w:val="20"/>
                <w:color w:val="auto"/>
              </w:rPr>
            </w:pPr>
            <w:r>
              <w:rPr>
                <w:rFonts w:ascii="Arial" w:cs="Arial" w:eastAsia="Arial" w:hAnsi="Arial"/>
                <w:sz w:val="18"/>
                <w:szCs w:val="18"/>
                <w:b w:val="1"/>
                <w:bCs w:val="1"/>
                <w:color w:val="auto"/>
              </w:rPr>
              <w:t>CONSUMER PORTFOLIO SERVICES, INC. AND SUBSIDIARIES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42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rPr>
              <w:t>NOTES TO CONSOLIDATED FINANCIAL STATEMENTS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0" w:type="dxa"/>
            <w:vAlign w:val="bottom"/>
            <w:gridSpan w:val="4"/>
          </w:tcPr>
          <w:p>
            <w:pPr>
              <w:spacing w:after="0"/>
              <w:rPr>
                <w:sz w:val="20"/>
                <w:szCs w:val="20"/>
                <w:color w:val="auto"/>
              </w:rPr>
            </w:pPr>
            <w:r>
              <w:rPr>
                <w:rFonts w:ascii="Arial" w:cs="Arial" w:eastAsia="Arial" w:hAnsi="Arial"/>
                <w:sz w:val="18"/>
                <w:szCs w:val="18"/>
                <w:b w:val="1"/>
                <w:bCs w:val="1"/>
                <w:color w:val="auto"/>
              </w:rPr>
              <w:t>Estimated Future Benefit Payments (In thousands)</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2015</w:t>
            </w: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771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2016</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2017</w:t>
            </w: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2018</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2019</w:t>
            </w: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902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Years 2020 - 2023</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EEEEEE"/>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Anticipated Contributions in 2015</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160" w:type="dxa"/>
            <w:vAlign w:val="bottom"/>
            <w:gridSpan w:val="8"/>
          </w:tcPr>
          <w:p>
            <w:pPr>
              <w:jc w:val="right"/>
              <w:ind w:right="800"/>
              <w:spacing w:after="0"/>
              <w:rPr>
                <w:sz w:val="20"/>
                <w:szCs w:val="20"/>
                <w:color w:val="auto"/>
              </w:rPr>
            </w:pPr>
            <w:r>
              <w:rPr>
                <w:rFonts w:ascii="Arial" w:cs="Arial" w:eastAsia="Arial" w:hAnsi="Arial"/>
                <w:sz w:val="18"/>
                <w:szCs w:val="18"/>
                <w:color w:val="auto"/>
                <w:w w:val="97"/>
              </w:rPr>
              <w:t>The fair value of plan assets at December 31, 2014 and 2013, by asset category, is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December 31, 2014</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 (1)</w:t>
            </w:r>
          </w:p>
        </w:tc>
        <w:tc>
          <w:tcPr>
            <w:tcW w:w="20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Level 2 (2)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 (3)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76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22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6,542</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6,542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Large Cap Value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682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Small Cap Growth</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673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Focus Value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2,383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International Growth</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1,969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High Yield</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Money Market</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6,542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13,306</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EEEEEE"/>
          </w:tcPr>
          <w:p>
            <w:pPr>
              <w:ind w:left="108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19,848</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December 31, 2013</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 (1)</w:t>
            </w:r>
          </w:p>
        </w:tc>
        <w:tc>
          <w:tcPr>
            <w:tcW w:w="20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Level 2 (2)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 (3)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76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22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8,319</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8,319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Fundamental Value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Mid Cap Growth</w:t>
            </w: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709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Focus Value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Small Co. Value</w:t>
            </w: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693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Growth</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International Growth</w:t>
            </w: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2,855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Core Bond</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High Yield</w:t>
            </w:r>
          </w:p>
        </w:tc>
        <w:tc>
          <w:tcPr>
            <w:tcW w:w="2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Inflation Protected Bond</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Money Market</w:t>
            </w:r>
          </w:p>
        </w:tc>
        <w:tc>
          <w:tcPr>
            <w:tcW w:w="20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13" w:lineRule="exact"/>
        <w:rPr>
          <w:sz w:val="20"/>
          <w:szCs w:val="20"/>
          <w:color w:val="auto"/>
        </w:rPr>
      </w:pPr>
    </w:p>
    <w:p>
      <w:pPr>
        <w:ind w:left="740" w:hanging="327"/>
        <w:spacing w:after="0"/>
        <w:tabs>
          <w:tab w:leader="none" w:pos="74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Company common stock is classified as level 1 and valued using quoted prices in active markets for identical assets.</w:t>
      </w:r>
    </w:p>
    <w:p>
      <w:pPr>
        <w:spacing w:after="0" w:line="7" w:lineRule="exact"/>
        <w:rPr>
          <w:rFonts w:ascii="Arial" w:cs="Arial" w:eastAsia="Arial" w:hAnsi="Arial"/>
          <w:sz w:val="18"/>
          <w:szCs w:val="18"/>
          <w:i w:val="1"/>
          <w:iCs w:val="1"/>
          <w:color w:val="auto"/>
        </w:rPr>
      </w:pPr>
    </w:p>
    <w:p>
      <w:pPr>
        <w:ind w:left="740" w:hanging="327"/>
        <w:spacing w:after="0"/>
        <w:tabs>
          <w:tab w:leader="none" w:pos="74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All other plan assets in stock, bond and money market funds are classified as level 2 and valued using significant observable inputs.</w:t>
      </w:r>
    </w:p>
    <w:p>
      <w:pPr>
        <w:spacing w:after="0" w:line="9" w:lineRule="exact"/>
        <w:rPr>
          <w:rFonts w:ascii="Arial" w:cs="Arial" w:eastAsia="Arial" w:hAnsi="Arial"/>
          <w:sz w:val="18"/>
          <w:szCs w:val="18"/>
          <w:i w:val="1"/>
          <w:iCs w:val="1"/>
          <w:color w:val="auto"/>
        </w:rPr>
      </w:pPr>
    </w:p>
    <w:p>
      <w:pPr>
        <w:ind w:left="740" w:hanging="327"/>
        <w:spacing w:after="0"/>
        <w:tabs>
          <w:tab w:leader="none" w:pos="74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There are no plan assets classified as level 3 in the fair value hierarchy as a result of having significant unobservable inputs.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 Value Measurements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93"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 September 2008 we sold automobile contracts in a securitization that was structured as a sale for financial accounting purposes. In that sale, we retained both securities and a residual interest in the transaction that are measured at fair value. In September 2010 we took advantage of improvement in the market for asset-backed securities by re-securitizing the underlying receivables from our unrated September 2008 securitization. We also sold the securities retained from the September 2008 transaction. No gain or loss was recorded as a result of the re-securitization transaction described above. We describe below the valuation methodologies we use for the securities retained and the residual interest in the cash flows of the transaction, as well as the general classification of such instruments pursuant to the valuation hierarchy. The residual interest in such securitization is $68,000 as of December 31, 2014 and $854,000 as of December 31, 2013 and is classified as level 3 in the fair value hierarchy. We determine the value of that residual interest using a discounted cash flow model that includes estimates for prepayments and losses. We used a discount rate of 20% per annum and a cumulative net loss rate of 15% at December 31, 2014 and 2013. The assumptions we used are based on historical performance of automobile contracts we have originated and serviced in the past, adjusted for current market conditions.</w:t>
      </w:r>
    </w:p>
    <w:p>
      <w:pPr>
        <w:spacing w:after="0" w:line="178"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September 2011, we acquired $217.8 million of finance receivables from Fireside Bank for a purchase price of $199.6 million. The receivables were acquired by our wholly-owned special purpose subsidiary, CPS Fender Receivables, LLC, which issued a note for $197.3 million, with a fair value of $196.5 million.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Interest income from the receivables and interest expense on the note are included in interest income and interest expense, respectively. Changes to the fair value of the receivables and debt are included in other income. Our level 3, unobservable inputs reflect our own assumptions about the factors that market participants use in pricing similar receivables and debt, and are based on the best information available in the circumstances. They include such inputs as estimated net charge-offs and timing of the amortization of the portfolio of finance receivables. Our estimate of the fair value of the Fireside receivables is performed on a pool basis, rather than separately on each individual receivable.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table below presents a reconciliation of the acquired finance receivables and related debt measured at fair value on a recurring basis using significant unobservable inputs: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Receivables Measured at Fair Value: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14,476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59,668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Payments on finance receivables at fair value</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(12,276)</w:t>
            </w:r>
          </w:p>
        </w:tc>
        <w:tc>
          <w:tcPr>
            <w:tcW w:w="4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Charge-offs on finance receivables at fair value</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(846)</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Discount accretion</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283</w:t>
            </w:r>
          </w:p>
        </w:tc>
        <w:tc>
          <w:tcPr>
            <w:tcW w:w="4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1,421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Mark to fair value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year</w:t>
            </w: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14,476</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Debt Secured by Finance Receivables Measured at Fair Value: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13,117</w:t>
            </w:r>
          </w:p>
        </w:tc>
        <w:tc>
          <w:tcPr>
            <w:tcW w:w="3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57,107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Principal payments on debt at fair value</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(12,456)</w:t>
            </w:r>
          </w:p>
        </w:tc>
        <w:tc>
          <w:tcPr>
            <w:tcW w:w="4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Premium accretion</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712</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(123)</w:t>
            </w:r>
          </w:p>
        </w:tc>
        <w:tc>
          <w:tcPr>
            <w:tcW w:w="42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Reduction for payments collected and payable</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Adjusted balance at end of year</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3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compares the fair values of the Fireside receivables and the related secured debt to their contractual balances for the periods shown: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December 31, 2014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4"/>
          </w:tcPr>
          <w:p>
            <w:pPr>
              <w:ind w:left="64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310"/>
              <w:spacing w:after="0" w:line="205" w:lineRule="exact"/>
              <w:rPr>
                <w:sz w:val="20"/>
                <w:szCs w:val="20"/>
                <w:color w:val="auto"/>
              </w:rPr>
            </w:pPr>
            <w:r>
              <w:rPr>
                <w:rFonts w:ascii="Arial" w:cs="Arial" w:eastAsia="Arial" w:hAnsi="Arial"/>
                <w:sz w:val="18"/>
                <w:szCs w:val="18"/>
                <w:b w:val="1"/>
                <w:bCs w:val="1"/>
                <w:color w:val="auto"/>
                <w:w w:val="95"/>
              </w:rPr>
              <w:t>Contractual</w:t>
            </w:r>
          </w:p>
        </w:tc>
        <w:tc>
          <w:tcPr>
            <w:tcW w:w="1120" w:type="dxa"/>
            <w:vAlign w:val="bottom"/>
            <w:tcBorders>
              <w:top w:val="single" w:sz="8" w:color="auto"/>
            </w:tcBorders>
          </w:tcPr>
          <w:p>
            <w:pPr>
              <w:jc w:val="center"/>
              <w:ind w:left="530"/>
              <w:spacing w:after="0" w:line="205" w:lineRule="exact"/>
              <w:rPr>
                <w:sz w:val="20"/>
                <w:szCs w:val="20"/>
                <w:color w:val="auto"/>
              </w:rPr>
            </w:pPr>
            <w:r>
              <w:rPr>
                <w:rFonts w:ascii="Arial" w:cs="Arial" w:eastAsia="Arial" w:hAnsi="Arial"/>
                <w:sz w:val="18"/>
                <w:szCs w:val="18"/>
                <w:b w:val="1"/>
                <w:bCs w:val="1"/>
                <w:color w:val="auto"/>
              </w:rPr>
              <w:t>Fair</w:t>
            </w: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90"/>
              <w:spacing w:after="0" w:line="205" w:lineRule="exact"/>
              <w:rPr>
                <w:sz w:val="20"/>
                <w:szCs w:val="20"/>
                <w:color w:val="auto"/>
              </w:rPr>
            </w:pPr>
            <w:r>
              <w:rPr>
                <w:rFonts w:ascii="Arial" w:cs="Arial" w:eastAsia="Arial" w:hAnsi="Arial"/>
                <w:sz w:val="18"/>
                <w:szCs w:val="18"/>
                <w:b w:val="1"/>
                <w:bCs w:val="1"/>
                <w:color w:val="auto"/>
                <w:w w:val="97"/>
              </w:rPr>
              <w:t>Contractual</w:t>
            </w:r>
          </w:p>
        </w:tc>
        <w:tc>
          <w:tcPr>
            <w:tcW w:w="4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Balance</w:t>
            </w:r>
          </w:p>
        </w:tc>
        <w:tc>
          <w:tcPr>
            <w:tcW w:w="112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Value</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Balance</w:t>
            </w:r>
          </w:p>
        </w:tc>
        <w:tc>
          <w:tcPr>
            <w:tcW w:w="44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Fireside receivables portfolio</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1,664</w:t>
            </w:r>
          </w:p>
        </w:tc>
        <w:tc>
          <w:tcPr>
            <w:tcW w:w="1120" w:type="dxa"/>
            <w:vAlign w:val="bottom"/>
            <w:shd w:val="clear" w:color="auto" w:fill="EEEEEE"/>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1,664</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14,786</w:t>
            </w:r>
          </w:p>
        </w:tc>
        <w:tc>
          <w:tcPr>
            <w:tcW w:w="4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Fireside receivables portfolio</w:t>
            </w:r>
          </w:p>
        </w:tc>
        <w:tc>
          <w:tcPr>
            <w:tcW w:w="16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fair value of the debt secured by the Fireside receivables portfolio represents the discounted value of future cash flows that we estimate will become due to the lender in accordance with the terms of our financing for the Fireside portfolio. The terms of the debt provide for the lenders to receive a share of residual cash flows from the underlying receivables after the contractual balance of the debt is repaid and the Company’s investment in the Fireside portfolio is returned.</w:t>
      </w:r>
    </w:p>
    <w:p>
      <w:pPr>
        <w:spacing w:after="0" w:line="18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Repossessed vehicle inventory, which is included in Other Assets on our Consolidated Balance Sheet, is measured at fair value using level 2 assumptions based on our actual loss experience on sale of repossessed vehicles. At December 31, 2014, the finance receivables related to the repossessed vehicles in inventory totaled $28.2 million. We have applied a valuation adjustment, or loss allowance, of $17.8 million, which is based on a recovery rate of approximately 37%, resulting in an estimated fair value and carrying amount of $10.4 million. The fair value and carrying amount of the repossessed inventory at December 31, 2013 was $10.0 million after applying a valuation adjustment of $14.8 million.</w:t>
      </w:r>
    </w:p>
    <w:p>
      <w:pPr>
        <w:spacing w:after="0" w:line="173"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There were no transfers in or out of level 1 or level 2 assets and liabilities for 2014 and 2013. We have no level 3 assets that are measured at fair value on a non-recurring basis. The table below presents a reconciliation for level 3 assets measured at fair value on a recurring basis using significant unobservable inputs: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120" w:type="dxa"/>
            <w:vAlign w:val="bottom"/>
          </w:tcPr>
          <w:p>
            <w:pPr>
              <w:spacing w:after="0"/>
              <w:rPr>
                <w:sz w:val="19"/>
                <w:szCs w:val="19"/>
                <w:color w:val="auto"/>
              </w:rPr>
            </w:pPr>
          </w:p>
        </w:tc>
      </w:tr>
      <w:tr>
        <w:trPr>
          <w:trHeight w:val="210"/>
        </w:trPr>
        <w:tc>
          <w:tcPr>
            <w:tcW w:w="4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in Securitizations:</w:t>
            </w:r>
          </w:p>
        </w:tc>
        <w:tc>
          <w:tcPr>
            <w:tcW w:w="13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22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854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4,824</w:t>
            </w:r>
          </w:p>
        </w:tc>
      </w:tr>
      <w:tr>
        <w:trPr>
          <w:trHeight w:val="216"/>
        </w:trPr>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Cash received during year</w:t>
            </w:r>
          </w:p>
        </w:tc>
        <w:tc>
          <w:tcPr>
            <w:tcW w:w="13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1"/>
              </w:rPr>
              <w:t>(1,158)</w:t>
            </w:r>
          </w:p>
        </w:tc>
        <w:tc>
          <w:tcPr>
            <w:tcW w:w="4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(3,970)</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Included in earnings</w:t>
            </w: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372</w:t>
            </w:r>
          </w:p>
        </w:tc>
        <w:tc>
          <w:tcPr>
            <w:tcW w:w="4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year</w:t>
            </w:r>
          </w:p>
        </w:tc>
        <w:tc>
          <w:tcPr>
            <w:tcW w:w="130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certain qualitative information about our level 3 fair value measurements for assets and liabilities carried at fair value:</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gridSpan w:val="4"/>
          </w:tcPr>
          <w:p>
            <w:pPr>
              <w:spacing w:after="0"/>
              <w:rPr>
                <w:sz w:val="20"/>
                <w:szCs w:val="20"/>
                <w:color w:val="auto"/>
              </w:rPr>
            </w:pPr>
            <w:r>
              <w:rPr>
                <w:rFonts w:ascii="Arial" w:cs="Arial" w:eastAsia="Arial" w:hAnsi="Arial"/>
                <w:sz w:val="18"/>
                <w:szCs w:val="18"/>
                <w:b w:val="1"/>
                <w:bCs w:val="1"/>
                <w:color w:val="auto"/>
              </w:rPr>
              <w:t>Financial Instrument</w:t>
            </w:r>
          </w:p>
        </w:tc>
        <w:tc>
          <w:tcPr>
            <w:tcW w:w="22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Fair Values as of</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Inputs as of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3"/>
          </w:tcPr>
          <w:p>
            <w:pPr>
              <w:jc w:val="center"/>
              <w:ind w:right="11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top w:val="single" w:sz="8" w:color="auto"/>
            </w:tcBorders>
            <w:gridSpan w:val="3"/>
          </w:tcPr>
          <w:p>
            <w:pPr>
              <w:jc w:val="center"/>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360" w:type="dxa"/>
            <w:vAlign w:val="bottom"/>
            <w:gridSpan w:val="2"/>
          </w:tcPr>
          <w:p>
            <w:pPr>
              <w:ind w:left="300"/>
              <w:spacing w:after="0"/>
              <w:rPr>
                <w:sz w:val="20"/>
                <w:szCs w:val="20"/>
                <w:color w:val="auto"/>
              </w:rPr>
            </w:pPr>
            <w:r>
              <w:rPr>
                <w:rFonts w:ascii="Arial" w:cs="Arial" w:eastAsia="Arial" w:hAnsi="Arial"/>
                <w:sz w:val="18"/>
                <w:szCs w:val="18"/>
                <w:b w:val="1"/>
                <w:bCs w:val="1"/>
                <w:color w:val="auto"/>
              </w:rPr>
              <w:t>Valuation Techniques</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Unobservable Inputs</w:t>
            </w: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3"/>
          </w:tcPr>
          <w:p>
            <w:pPr>
              <w:jc w:val="center"/>
              <w:ind w:right="11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6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15.4%</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88"/>
              </w:rPr>
              <w:t>Finance receivables measured</w:t>
            </w: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ind w:right="10"/>
              <w:spacing w:after="0" w:line="201" w:lineRule="exact"/>
              <w:rPr>
                <w:sz w:val="20"/>
                <w:szCs w:val="20"/>
                <w:color w:val="auto"/>
              </w:rPr>
            </w:pPr>
            <w:r>
              <w:rPr>
                <w:rFonts w:ascii="Arial" w:cs="Arial" w:eastAsia="Arial" w:hAnsi="Arial"/>
                <w:sz w:val="18"/>
                <w:szCs w:val="18"/>
                <w:color w:val="auto"/>
              </w:rPr>
              <w:t>1,664</w:t>
            </w:r>
          </w:p>
        </w:tc>
        <w:tc>
          <w:tcPr>
            <w:tcW w:w="320" w:type="dxa"/>
            <w:vAlign w:val="bottom"/>
            <w:shd w:val="clear" w:color="auto" w:fill="EEEEEE"/>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220"/>
              <w:spacing w:after="0" w:line="201" w:lineRule="exact"/>
              <w:rPr>
                <w:sz w:val="20"/>
                <w:szCs w:val="20"/>
                <w:color w:val="auto"/>
              </w:rPr>
            </w:pPr>
            <w:r>
              <w:rPr>
                <w:rFonts w:ascii="Arial" w:cs="Arial" w:eastAsia="Arial" w:hAnsi="Arial"/>
                <w:sz w:val="18"/>
                <w:szCs w:val="18"/>
                <w:color w:val="auto"/>
              </w:rPr>
              <w:t>14,476</w:t>
            </w:r>
          </w:p>
        </w:tc>
        <w:tc>
          <w:tcPr>
            <w:tcW w:w="2360" w:type="dxa"/>
            <w:vAlign w:val="bottom"/>
            <w:gridSpan w:val="2"/>
            <w:shd w:val="clear" w:color="auto" w:fill="EEEEEE"/>
          </w:tcPr>
          <w:p>
            <w:pPr>
              <w:ind w:left="300"/>
              <w:spacing w:after="0" w:line="201" w:lineRule="exact"/>
              <w:rPr>
                <w:sz w:val="20"/>
                <w:szCs w:val="20"/>
                <w:color w:val="auto"/>
              </w:rPr>
            </w:pPr>
            <w:r>
              <w:rPr>
                <w:rFonts w:ascii="Arial" w:cs="Arial" w:eastAsia="Arial" w:hAnsi="Arial"/>
                <w:sz w:val="18"/>
                <w:szCs w:val="18"/>
                <w:color w:val="auto"/>
              </w:rPr>
              <w:t>Discounted cash flows</w:t>
            </w:r>
          </w:p>
        </w:tc>
        <w:tc>
          <w:tcPr>
            <w:tcW w:w="236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89"/>
              </w:rPr>
              <w:t>Cumulative net losses</w:t>
            </w:r>
          </w:p>
        </w:tc>
        <w:tc>
          <w:tcPr>
            <w:tcW w:w="1160" w:type="dxa"/>
            <w:vAlign w:val="bottom"/>
            <w:gridSpan w:val="2"/>
            <w:shd w:val="clear" w:color="auto" w:fill="EEEEEE"/>
          </w:tcPr>
          <w:p>
            <w:pPr>
              <w:jc w:val="right"/>
              <w:ind w:right="120"/>
              <w:spacing w:after="0" w:line="201" w:lineRule="exact"/>
              <w:rPr>
                <w:sz w:val="20"/>
                <w:szCs w:val="20"/>
                <w:color w:val="auto"/>
              </w:rPr>
            </w:pPr>
            <w:r>
              <w:rPr>
                <w:rFonts w:ascii="Arial" w:cs="Arial" w:eastAsia="Arial" w:hAnsi="Arial"/>
                <w:sz w:val="18"/>
                <w:szCs w:val="18"/>
                <w:color w:val="auto"/>
              </w:rPr>
              <w:t>5.0%</w:t>
            </w:r>
          </w:p>
        </w:tc>
        <w:tc>
          <w:tcPr>
            <w:tcW w:w="780" w:type="dxa"/>
            <w:vAlign w:val="bottom"/>
            <w:gridSpan w:val="2"/>
            <w:shd w:val="clear" w:color="auto" w:fill="EEEEEE"/>
          </w:tcPr>
          <w:p>
            <w:pPr>
              <w:jc w:val="right"/>
              <w:ind w:right="20"/>
              <w:spacing w:after="0" w:line="201"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EEEEEE"/>
          </w:tcPr>
          <w:p>
            <w:pPr>
              <w:spacing w:after="0"/>
              <w:rPr>
                <w:sz w:val="20"/>
                <w:szCs w:val="20"/>
                <w:color w:val="auto"/>
              </w:rPr>
            </w:pPr>
            <w:r>
              <w:rPr>
                <w:rFonts w:ascii="Arial" w:cs="Arial" w:eastAsia="Arial" w:hAnsi="Arial"/>
                <w:sz w:val="18"/>
                <w:szCs w:val="18"/>
                <w:color w:val="auto"/>
              </w:rPr>
              <w:t>at fair value</w:t>
            </w: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7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360" w:type="dxa"/>
            <w:vAlign w:val="bottom"/>
            <w:gridSpan w:val="2"/>
            <w:vMerge w:val="restart"/>
            <w:shd w:val="clear" w:color="auto" w:fill="EEEEEE"/>
          </w:tcPr>
          <w:p>
            <w:pPr>
              <w:jc w:val="center"/>
              <w:ind w:right="120"/>
              <w:spacing w:after="0"/>
              <w:rPr>
                <w:sz w:val="20"/>
                <w:szCs w:val="20"/>
                <w:color w:val="auto"/>
              </w:rPr>
            </w:pPr>
            <w:r>
              <w:rPr>
                <w:rFonts w:ascii="Arial" w:cs="Arial" w:eastAsia="Arial" w:hAnsi="Arial"/>
                <w:sz w:val="18"/>
                <w:szCs w:val="18"/>
                <w:color w:val="auto"/>
                <w:w w:val="90"/>
              </w:rPr>
              <w:t>Monthly average prepayments</w:t>
            </w:r>
          </w:p>
        </w:tc>
        <w:tc>
          <w:tcPr>
            <w:tcW w:w="116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8"/>
                <w:szCs w:val="18"/>
                <w:color w:val="auto"/>
              </w:rPr>
              <w:t>0.5%</w:t>
            </w:r>
          </w:p>
        </w:tc>
        <w:tc>
          <w:tcPr>
            <w:tcW w:w="780" w:type="dxa"/>
            <w:vAlign w:val="bottom"/>
            <w:gridSpan w:val="2"/>
            <w:vMerge w:val="restart"/>
            <w:shd w:val="clear" w:color="auto" w:fill="EEEEEE"/>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60" w:type="dxa"/>
            <w:vAlign w:val="bottom"/>
            <w:gridSpan w:val="2"/>
            <w:vMerge w:val="continue"/>
            <w:shd w:val="clear" w:color="auto" w:fill="EEEEEE"/>
          </w:tcPr>
          <w:p>
            <w:pPr>
              <w:spacing w:after="0"/>
              <w:rPr>
                <w:sz w:val="18"/>
                <w:szCs w:val="18"/>
                <w:color w:val="auto"/>
              </w:rPr>
            </w:pPr>
          </w:p>
        </w:tc>
        <w:tc>
          <w:tcPr>
            <w:tcW w:w="1160" w:type="dxa"/>
            <w:vAlign w:val="bottom"/>
            <w:gridSpan w:val="2"/>
            <w:vMerge w:val="continue"/>
            <w:shd w:val="clear" w:color="auto" w:fill="EEEEEE"/>
          </w:tcPr>
          <w:p>
            <w:pPr>
              <w:spacing w:after="0"/>
              <w:rPr>
                <w:sz w:val="18"/>
                <w:szCs w:val="18"/>
                <w:color w:val="auto"/>
              </w:rPr>
            </w:pPr>
          </w:p>
        </w:tc>
        <w:tc>
          <w:tcPr>
            <w:tcW w:w="780" w:type="dxa"/>
            <w:vAlign w:val="bottom"/>
            <w:gridSpan w:val="2"/>
            <w:vMerge w:val="continue"/>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6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20.0%</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Residual interest in</w:t>
            </w: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00" w:type="dxa"/>
            <w:vAlign w:val="bottom"/>
            <w:shd w:val="clear" w:color="auto" w:fill="EEEEEE"/>
          </w:tcPr>
          <w:p>
            <w:pPr>
              <w:jc w:val="right"/>
              <w:ind w:right="10"/>
              <w:spacing w:after="0" w:line="201" w:lineRule="exact"/>
              <w:rPr>
                <w:sz w:val="20"/>
                <w:szCs w:val="20"/>
                <w:color w:val="auto"/>
              </w:rPr>
            </w:pPr>
            <w:r>
              <w:rPr>
                <w:rFonts w:ascii="Arial" w:cs="Arial" w:eastAsia="Arial" w:hAnsi="Arial"/>
                <w:sz w:val="18"/>
                <w:szCs w:val="18"/>
                <w:color w:val="auto"/>
              </w:rPr>
              <w:t>68</w:t>
            </w:r>
          </w:p>
        </w:tc>
        <w:tc>
          <w:tcPr>
            <w:tcW w:w="320" w:type="dxa"/>
            <w:vAlign w:val="bottom"/>
            <w:shd w:val="clear" w:color="auto" w:fill="EEEEEE"/>
          </w:tcPr>
          <w:p>
            <w:pPr>
              <w:spacing w:after="0"/>
              <w:rPr>
                <w:sz w:val="17"/>
                <w:szCs w:val="17"/>
                <w:color w:val="auto"/>
              </w:rPr>
            </w:pPr>
          </w:p>
        </w:tc>
        <w:tc>
          <w:tcPr>
            <w:tcW w:w="1000" w:type="dxa"/>
            <w:vAlign w:val="bottom"/>
            <w:gridSpan w:val="2"/>
            <w:shd w:val="clear" w:color="auto" w:fill="EEEEEE"/>
          </w:tcPr>
          <w:p>
            <w:pPr>
              <w:jc w:val="right"/>
              <w:ind w:right="220"/>
              <w:spacing w:after="0" w:line="201" w:lineRule="exact"/>
              <w:rPr>
                <w:sz w:val="20"/>
                <w:szCs w:val="20"/>
                <w:color w:val="auto"/>
              </w:rPr>
            </w:pPr>
            <w:r>
              <w:rPr>
                <w:rFonts w:ascii="Arial" w:cs="Arial" w:eastAsia="Arial" w:hAnsi="Arial"/>
                <w:sz w:val="18"/>
                <w:szCs w:val="18"/>
                <w:color w:val="auto"/>
              </w:rPr>
              <w:t>854</w:t>
            </w:r>
          </w:p>
        </w:tc>
        <w:tc>
          <w:tcPr>
            <w:tcW w:w="2360" w:type="dxa"/>
            <w:vAlign w:val="bottom"/>
            <w:gridSpan w:val="2"/>
            <w:shd w:val="clear" w:color="auto" w:fill="EEEEEE"/>
          </w:tcPr>
          <w:p>
            <w:pPr>
              <w:ind w:left="300"/>
              <w:spacing w:after="0" w:line="201" w:lineRule="exact"/>
              <w:rPr>
                <w:sz w:val="20"/>
                <w:szCs w:val="20"/>
                <w:color w:val="auto"/>
              </w:rPr>
            </w:pPr>
            <w:r>
              <w:rPr>
                <w:rFonts w:ascii="Arial" w:cs="Arial" w:eastAsia="Arial" w:hAnsi="Arial"/>
                <w:sz w:val="18"/>
                <w:szCs w:val="18"/>
                <w:color w:val="auto"/>
              </w:rPr>
              <w:t>Discounted cash flows</w:t>
            </w:r>
          </w:p>
        </w:tc>
        <w:tc>
          <w:tcPr>
            <w:tcW w:w="236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89"/>
              </w:rPr>
              <w:t>Cumulative net losses</w:t>
            </w:r>
          </w:p>
        </w:tc>
        <w:tc>
          <w:tcPr>
            <w:tcW w:w="1160" w:type="dxa"/>
            <w:vAlign w:val="bottom"/>
            <w:gridSpan w:val="2"/>
            <w:shd w:val="clear" w:color="auto" w:fill="EEEEEE"/>
          </w:tcPr>
          <w:p>
            <w:pPr>
              <w:jc w:val="right"/>
              <w:ind w:right="120"/>
              <w:spacing w:after="0" w:line="201" w:lineRule="exact"/>
              <w:rPr>
                <w:sz w:val="20"/>
                <w:szCs w:val="20"/>
                <w:color w:val="auto"/>
              </w:rPr>
            </w:pPr>
            <w:r>
              <w:rPr>
                <w:rFonts w:ascii="Arial" w:cs="Arial" w:eastAsia="Arial" w:hAnsi="Arial"/>
                <w:sz w:val="18"/>
                <w:szCs w:val="18"/>
                <w:color w:val="auto"/>
              </w:rPr>
              <w:t>15.0%</w:t>
            </w:r>
          </w:p>
        </w:tc>
        <w:tc>
          <w:tcPr>
            <w:tcW w:w="780" w:type="dxa"/>
            <w:vAlign w:val="bottom"/>
            <w:gridSpan w:val="2"/>
            <w:shd w:val="clear" w:color="auto" w:fill="EEEEEE"/>
          </w:tcPr>
          <w:p>
            <w:pPr>
              <w:jc w:val="right"/>
              <w:ind w:right="20"/>
              <w:spacing w:after="0" w:line="201"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EEEEEE"/>
          </w:tcPr>
          <w:p>
            <w:pPr>
              <w:spacing w:after="0"/>
              <w:rPr>
                <w:sz w:val="20"/>
                <w:szCs w:val="20"/>
                <w:color w:val="auto"/>
              </w:rPr>
            </w:pPr>
            <w:r>
              <w:rPr>
                <w:rFonts w:ascii="Arial" w:cs="Arial" w:eastAsia="Arial" w:hAnsi="Arial"/>
                <w:sz w:val="18"/>
                <w:szCs w:val="18"/>
                <w:color w:val="auto"/>
              </w:rPr>
              <w:t>securitizations</w:t>
            </w: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7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360" w:type="dxa"/>
            <w:vAlign w:val="bottom"/>
            <w:gridSpan w:val="2"/>
            <w:vMerge w:val="restart"/>
            <w:shd w:val="clear" w:color="auto" w:fill="EEEEEE"/>
          </w:tcPr>
          <w:p>
            <w:pPr>
              <w:jc w:val="center"/>
              <w:ind w:right="120"/>
              <w:spacing w:after="0"/>
              <w:rPr>
                <w:sz w:val="20"/>
                <w:szCs w:val="20"/>
                <w:color w:val="auto"/>
              </w:rPr>
            </w:pPr>
            <w:r>
              <w:rPr>
                <w:rFonts w:ascii="Arial" w:cs="Arial" w:eastAsia="Arial" w:hAnsi="Arial"/>
                <w:sz w:val="18"/>
                <w:szCs w:val="18"/>
                <w:color w:val="auto"/>
                <w:w w:val="90"/>
              </w:rPr>
              <w:t>Monthly average prepayments</w:t>
            </w:r>
          </w:p>
        </w:tc>
        <w:tc>
          <w:tcPr>
            <w:tcW w:w="116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8"/>
                <w:szCs w:val="18"/>
                <w:color w:val="auto"/>
              </w:rPr>
              <w:t>0.5%</w:t>
            </w:r>
          </w:p>
        </w:tc>
        <w:tc>
          <w:tcPr>
            <w:tcW w:w="780" w:type="dxa"/>
            <w:vAlign w:val="bottom"/>
            <w:gridSpan w:val="2"/>
            <w:vMerge w:val="restart"/>
            <w:shd w:val="clear" w:color="auto" w:fill="EEEEEE"/>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60" w:type="dxa"/>
            <w:vAlign w:val="bottom"/>
            <w:gridSpan w:val="2"/>
            <w:vMerge w:val="continue"/>
            <w:shd w:val="clear" w:color="auto" w:fill="EEEEEE"/>
          </w:tcPr>
          <w:p>
            <w:pPr>
              <w:spacing w:after="0"/>
              <w:rPr>
                <w:sz w:val="18"/>
                <w:szCs w:val="18"/>
                <w:color w:val="auto"/>
              </w:rPr>
            </w:pPr>
          </w:p>
        </w:tc>
        <w:tc>
          <w:tcPr>
            <w:tcW w:w="1160" w:type="dxa"/>
            <w:vAlign w:val="bottom"/>
            <w:gridSpan w:val="2"/>
            <w:vMerge w:val="continue"/>
            <w:shd w:val="clear" w:color="auto" w:fill="EEEEEE"/>
          </w:tcPr>
          <w:p>
            <w:pPr>
              <w:spacing w:after="0"/>
              <w:rPr>
                <w:sz w:val="18"/>
                <w:szCs w:val="18"/>
                <w:color w:val="auto"/>
              </w:rPr>
            </w:pPr>
          </w:p>
        </w:tc>
        <w:tc>
          <w:tcPr>
            <w:tcW w:w="780" w:type="dxa"/>
            <w:vAlign w:val="bottom"/>
            <w:gridSpan w:val="2"/>
            <w:vMerge w:val="continue"/>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gridSpan w:val="3"/>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gridSpan w:val="3"/>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Debt secured by receivables</w:t>
            </w:r>
          </w:p>
        </w:tc>
        <w:tc>
          <w:tcPr>
            <w:tcW w:w="900" w:type="dxa"/>
            <w:vAlign w:val="bottom"/>
            <w:shd w:val="clear" w:color="auto" w:fill="EEEEEE"/>
          </w:tcPr>
          <w:p>
            <w:pPr>
              <w:jc w:val="right"/>
              <w:ind w:right="10"/>
              <w:spacing w:after="0" w:line="201" w:lineRule="exact"/>
              <w:rPr>
                <w:sz w:val="20"/>
                <w:szCs w:val="20"/>
                <w:color w:val="auto"/>
              </w:rPr>
            </w:pPr>
            <w:r>
              <w:rPr>
                <w:rFonts w:ascii="Arial" w:cs="Arial" w:eastAsia="Arial" w:hAnsi="Arial"/>
                <w:sz w:val="18"/>
                <w:szCs w:val="18"/>
                <w:color w:val="auto"/>
              </w:rPr>
              <w:t>1,250</w:t>
            </w:r>
          </w:p>
        </w:tc>
        <w:tc>
          <w:tcPr>
            <w:tcW w:w="320" w:type="dxa"/>
            <w:vAlign w:val="bottom"/>
            <w:shd w:val="clear" w:color="auto" w:fill="EEEEEE"/>
          </w:tcPr>
          <w:p>
            <w:pPr>
              <w:spacing w:after="0"/>
              <w:rPr>
                <w:sz w:val="17"/>
                <w:szCs w:val="17"/>
                <w:color w:val="auto"/>
              </w:rPr>
            </w:pPr>
          </w:p>
        </w:tc>
        <w:tc>
          <w:tcPr>
            <w:tcW w:w="1000" w:type="dxa"/>
            <w:vAlign w:val="bottom"/>
            <w:gridSpan w:val="2"/>
            <w:shd w:val="clear" w:color="auto" w:fill="EEEEEE"/>
          </w:tcPr>
          <w:p>
            <w:pPr>
              <w:jc w:val="right"/>
              <w:ind w:right="220"/>
              <w:spacing w:after="0" w:line="201" w:lineRule="exact"/>
              <w:rPr>
                <w:sz w:val="20"/>
                <w:szCs w:val="20"/>
                <w:color w:val="auto"/>
              </w:rPr>
            </w:pPr>
            <w:r>
              <w:rPr>
                <w:rFonts w:ascii="Arial" w:cs="Arial" w:eastAsia="Arial" w:hAnsi="Arial"/>
                <w:sz w:val="18"/>
                <w:szCs w:val="18"/>
                <w:color w:val="auto"/>
              </w:rPr>
              <w:t>13,117</w:t>
            </w:r>
          </w:p>
        </w:tc>
        <w:tc>
          <w:tcPr>
            <w:tcW w:w="2360" w:type="dxa"/>
            <w:vAlign w:val="bottom"/>
            <w:gridSpan w:val="2"/>
            <w:shd w:val="clear" w:color="auto" w:fill="EEEEEE"/>
          </w:tcPr>
          <w:p>
            <w:pPr>
              <w:ind w:left="300"/>
              <w:spacing w:after="0" w:line="201" w:lineRule="exact"/>
              <w:rPr>
                <w:sz w:val="20"/>
                <w:szCs w:val="20"/>
                <w:color w:val="auto"/>
              </w:rPr>
            </w:pPr>
            <w:r>
              <w:rPr>
                <w:rFonts w:ascii="Arial" w:cs="Arial" w:eastAsia="Arial" w:hAnsi="Arial"/>
                <w:sz w:val="18"/>
                <w:szCs w:val="18"/>
                <w:color w:val="auto"/>
              </w:rPr>
              <w:t>Discounted cash flows</w:t>
            </w:r>
          </w:p>
        </w:tc>
        <w:tc>
          <w:tcPr>
            <w:tcW w:w="236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0"/>
              </w:rPr>
              <w:t>Discount rate</w:t>
            </w:r>
          </w:p>
        </w:tc>
        <w:tc>
          <w:tcPr>
            <w:tcW w:w="1160" w:type="dxa"/>
            <w:vAlign w:val="bottom"/>
            <w:gridSpan w:val="2"/>
            <w:shd w:val="clear" w:color="auto" w:fill="EEEEEE"/>
          </w:tcPr>
          <w:p>
            <w:pPr>
              <w:jc w:val="right"/>
              <w:ind w:right="120"/>
              <w:spacing w:after="0" w:line="201" w:lineRule="exact"/>
              <w:rPr>
                <w:sz w:val="20"/>
                <w:szCs w:val="20"/>
                <w:color w:val="auto"/>
              </w:rPr>
            </w:pPr>
            <w:r>
              <w:rPr>
                <w:rFonts w:ascii="Arial" w:cs="Arial" w:eastAsia="Arial" w:hAnsi="Arial"/>
                <w:sz w:val="18"/>
                <w:szCs w:val="18"/>
                <w:color w:val="auto"/>
              </w:rPr>
              <w:t>12.2%</w:t>
            </w:r>
          </w:p>
        </w:tc>
        <w:tc>
          <w:tcPr>
            <w:tcW w:w="780" w:type="dxa"/>
            <w:vAlign w:val="bottom"/>
            <w:gridSpan w:val="2"/>
            <w:shd w:val="clear" w:color="auto" w:fill="EEEEEE"/>
          </w:tcPr>
          <w:p>
            <w:pPr>
              <w:jc w:val="right"/>
              <w:ind w:right="20"/>
              <w:spacing w:after="0" w:line="201"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measured at fair value</w:t>
            </w:r>
          </w:p>
        </w:tc>
        <w:tc>
          <w:tcPr>
            <w:tcW w:w="9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7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2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F-32</w:t>
            </w: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estimated fair values of financial assets and liabilities at December 31, 2014 and 2013,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9"/>
              </w:rPr>
              <w:t>As of December 31, 2014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Pr>
          <w:p>
            <w:pPr>
              <w:spacing w:after="0"/>
              <w:rPr>
                <w:sz w:val="19"/>
                <w:szCs w:val="19"/>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17,859</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17,859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175,382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175,382</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175,382</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1,534,496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1,512,567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1,512,567</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1,664</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1,664</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23,372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23,372</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23,372</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56,839</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56,839</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2,613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2,613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12,327</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12,327</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at fair value</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1,598,496</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1,619,742</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1,619,742</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15,233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15,233</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647"/>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9"/>
              </w:rPr>
              <w:t>As of December 31, 2013</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Pr>
          <w:p>
            <w:pPr>
              <w:spacing w:after="0"/>
              <w:rPr>
                <w:sz w:val="19"/>
                <w:szCs w:val="19"/>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22,112</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22,112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22,112</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132,284</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132,284</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132,284</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1,115,437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1,100,153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1,100,153</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14,476</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14,476</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854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18,670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18,670</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18,670</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9,452</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9,452</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2,908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2,908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19,096</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19,096</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at fair value</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13,117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13,117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1,177,559</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1,189,086</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1,189,086</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Senior secured debt, related party</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38,559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38,559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38,559</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19,142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19,142</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19,142</w:t>
            </w:r>
          </w:p>
        </w:tc>
        <w:tc>
          <w:tcPr>
            <w:tcW w:w="0" w:type="dxa"/>
            <w:vAlign w:val="bottom"/>
          </w:tcPr>
          <w:p>
            <w:pPr>
              <w:spacing w:after="0"/>
              <w:rPr>
                <w:sz w:val="1"/>
                <w:szCs w:val="1"/>
                <w:color w:val="auto"/>
              </w:rPr>
            </w:pPr>
          </w:p>
        </w:tc>
      </w:tr>
      <w:tr>
        <w:trPr>
          <w:trHeight w:val="648"/>
        </w:trPr>
        <w:tc>
          <w:tcPr>
            <w:tcW w:w="2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F-33</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95" w:name="page96"/>
    <w:bookmarkEnd w:id="95"/>
    <w:p>
      <w:pPr>
        <w:jc w:val="center"/>
        <w:ind w:right="-7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December 31, 2014 and 2013,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 and Debt Secured by Receivables Measured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 in Securitizations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is estimated by discounting future cash flows using credit and discount rates that we believe reflect the estimated credit, interest rate and prepayment risks associated with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Senior Secured Debt, Related Party and Subordinated Renewable Notes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(15) Quarterly Financial Data (unaudited)</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Quarter Ended</w:t>
            </w:r>
          </w:p>
        </w:tc>
        <w:tc>
          <w:tcPr>
            <w:tcW w:w="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1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2014</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68,146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71,594</w:t>
            </w:r>
          </w:p>
        </w:tc>
        <w:tc>
          <w:tcPr>
            <w:tcW w:w="800" w:type="dxa"/>
            <w:vAlign w:val="bottom"/>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77,050</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11,764</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12,329</w:t>
            </w: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13,804</w:t>
            </w:r>
          </w:p>
        </w:tc>
        <w:tc>
          <w:tcPr>
            <w:tcW w:w="6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6,705</w:t>
            </w:r>
          </w:p>
        </w:tc>
        <w:tc>
          <w:tcPr>
            <w:tcW w:w="28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7,026</w:t>
            </w:r>
          </w:p>
        </w:tc>
        <w:tc>
          <w:tcPr>
            <w:tcW w:w="8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7,776</w:t>
            </w:r>
          </w:p>
        </w:tc>
        <w:tc>
          <w:tcPr>
            <w:tcW w:w="6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0.28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0.28</w:t>
            </w:r>
          </w:p>
        </w:tc>
        <w:tc>
          <w:tcPr>
            <w:tcW w:w="800" w:type="dxa"/>
            <w:vAlign w:val="bottom"/>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0.31</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0.22</w:t>
            </w: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0.24</w:t>
            </w:r>
          </w:p>
        </w:tc>
        <w:tc>
          <w:tcPr>
            <w:tcW w:w="6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2013</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54,594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70,482</w:t>
            </w:r>
          </w:p>
        </w:tc>
        <w:tc>
          <w:tcPr>
            <w:tcW w:w="800" w:type="dxa"/>
            <w:vAlign w:val="bottom"/>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64,066</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6,528</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8,546</w:t>
            </w: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10,559</w:t>
            </w:r>
          </w:p>
        </w:tc>
        <w:tc>
          <w:tcPr>
            <w:tcW w:w="6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3,785</w:t>
            </w:r>
          </w:p>
        </w:tc>
        <w:tc>
          <w:tcPr>
            <w:tcW w:w="28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4,825</w:t>
            </w:r>
          </w:p>
        </w:tc>
        <w:tc>
          <w:tcPr>
            <w:tcW w:w="8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5,873</w:t>
            </w:r>
          </w:p>
        </w:tc>
        <w:tc>
          <w:tcPr>
            <w:tcW w:w="6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0.23</w:t>
            </w:r>
          </w:p>
        </w:tc>
        <w:tc>
          <w:tcPr>
            <w:tcW w:w="800" w:type="dxa"/>
            <w:vAlign w:val="bottom"/>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0.27</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0.12</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0.15</w:t>
            </w: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0.19</w:t>
            </w:r>
          </w:p>
        </w:tc>
        <w:tc>
          <w:tcPr>
            <w:tcW w:w="6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2012</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44,518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44,151</w:t>
            </w:r>
          </w:p>
        </w:tc>
        <w:tc>
          <w:tcPr>
            <w:tcW w:w="800" w:type="dxa"/>
            <w:vAlign w:val="bottom"/>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47,920</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512</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1,341</w:t>
            </w: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2,728</w:t>
            </w:r>
          </w:p>
        </w:tc>
        <w:tc>
          <w:tcPr>
            <w:tcW w:w="6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512</w:t>
            </w:r>
          </w:p>
        </w:tc>
        <w:tc>
          <w:tcPr>
            <w:tcW w:w="28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1,341</w:t>
            </w:r>
          </w:p>
        </w:tc>
        <w:tc>
          <w:tcPr>
            <w:tcW w:w="8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2,728</w:t>
            </w:r>
          </w:p>
        </w:tc>
        <w:tc>
          <w:tcPr>
            <w:tcW w:w="6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0.03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0.07</w:t>
            </w:r>
          </w:p>
        </w:tc>
        <w:tc>
          <w:tcPr>
            <w:tcW w:w="800" w:type="dxa"/>
            <w:vAlign w:val="bottom"/>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0.14</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0.05</w:t>
            </w:r>
          </w:p>
        </w:tc>
        <w:tc>
          <w:tcPr>
            <w:tcW w:w="8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0.11</w:t>
            </w:r>
          </w:p>
        </w:tc>
        <w:tc>
          <w:tcPr>
            <w:tcW w:w="6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F-35</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Nos. 333-190766 and 333-168976 on Form S-1, No. 333-152969 on Form S-3 and Nos. 333-58199, 333-35758, 333-75594, 333-115622, 333-135907, 333-161448, 333-166892, and 333-193926 on Form S-8 of Consumer Portfolio Services, Inc. of our report dated February 25, 2015 relating to the consolidated financial statements and effectiveness of internal control over financial reporting of Consumer Portfolio Services, Inc. appearing in this Annual Report on Form 10-K.</w:t>
      </w:r>
    </w:p>
    <w:p>
      <w:pPr>
        <w:spacing w:after="0" w:line="18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Crowe Horwath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ectPr>
          <w:pgSz w:w="11900" w:h="16838" w:orient="portrait"/>
          <w:cols w:equalWidth="0" w:num="1">
            <w:col w:w="11420"/>
          </w:cols>
          <w:pgMar w:left="240" w:top="118"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387" w:lineRule="exact"/>
        <w:rPr>
          <w:sz w:val="20"/>
          <w:szCs w:val="20"/>
          <w:color w:val="auto"/>
        </w:rPr>
      </w:pPr>
    </w:p>
    <w:p>
      <w:pPr>
        <w:ind w:left="820" w:hanging="812"/>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2014 of Consumer Portfolio Services, Inc.;</w:t>
      </w:r>
    </w:p>
    <w:p>
      <w:pPr>
        <w:spacing w:after="0" w:line="398" w:lineRule="exact"/>
        <w:rPr>
          <w:rFonts w:ascii="Arial" w:cs="Arial" w:eastAsia="Arial" w:hAnsi="Arial"/>
          <w:sz w:val="17"/>
          <w:szCs w:val="17"/>
          <w:color w:val="auto"/>
        </w:rPr>
      </w:pPr>
    </w:p>
    <w:p>
      <w:pPr>
        <w:jc w:val="both"/>
        <w:ind w:left="820" w:right="80" w:hanging="812"/>
        <w:spacing w:after="0" w:line="264"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rFonts w:ascii="Arial" w:cs="Arial" w:eastAsia="Arial" w:hAnsi="Arial"/>
          <w:sz w:val="18"/>
          <w:szCs w:val="18"/>
          <w:color w:val="auto"/>
        </w:rPr>
      </w:pPr>
    </w:p>
    <w:p>
      <w:pPr>
        <w:ind w:left="820" w:right="40" w:hanging="812"/>
        <w:spacing w:after="0" w:line="308" w:lineRule="auto"/>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8" w:lineRule="exact"/>
        <w:rPr>
          <w:rFonts w:ascii="Arial" w:cs="Arial" w:eastAsia="Arial" w:hAnsi="Arial"/>
          <w:sz w:val="17"/>
          <w:szCs w:val="17"/>
          <w:color w:val="auto"/>
        </w:rPr>
      </w:pPr>
    </w:p>
    <w:p>
      <w:pPr>
        <w:jc w:val="both"/>
        <w:ind w:left="820" w:right="60" w:hanging="812"/>
        <w:spacing w:after="0" w:line="264"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ectPr>
          <w:pgSz w:w="11900" w:h="16838" w:orient="portrait"/>
          <w:cols w:equalWidth="0" w:num="1">
            <w:col w:w="11360"/>
          </w:cols>
          <w:pgMar w:left="240" w:top="125" w:right="29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43" w:lineRule="exact"/>
        <w:rPr>
          <w:sz w:val="20"/>
          <w:szCs w:val="20"/>
          <w:color w:val="auto"/>
        </w:rPr>
      </w:pPr>
    </w:p>
    <w:p>
      <w:pPr>
        <w:ind w:left="820" w:right="40" w:hanging="812"/>
        <w:spacing w:after="0" w:line="342" w:lineRule="auto"/>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360"/>
          </w:cols>
          <w:pgMar w:left="240" w:top="125" w:right="29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Date: February 25, 2015</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E. Bradley, Jr.</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360"/>
          </w:cols>
          <w:pgMar w:left="240" w:top="125" w:right="29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Jr., certify that:</w:t>
      </w:r>
    </w:p>
    <w:p>
      <w:pPr>
        <w:spacing w:after="0" w:line="387" w:lineRule="exact"/>
        <w:rPr>
          <w:sz w:val="20"/>
          <w:szCs w:val="20"/>
          <w:color w:val="auto"/>
        </w:rPr>
      </w:pPr>
    </w:p>
    <w:p>
      <w:pPr>
        <w:ind w:left="820" w:hanging="812"/>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2014 of Consumer Portfolio Services, Inc.;</w:t>
      </w:r>
    </w:p>
    <w:p>
      <w:pPr>
        <w:spacing w:after="0" w:line="398" w:lineRule="exact"/>
        <w:rPr>
          <w:rFonts w:ascii="Arial" w:cs="Arial" w:eastAsia="Arial" w:hAnsi="Arial"/>
          <w:sz w:val="17"/>
          <w:szCs w:val="17"/>
          <w:color w:val="auto"/>
        </w:rPr>
      </w:pPr>
    </w:p>
    <w:p>
      <w:pPr>
        <w:jc w:val="both"/>
        <w:ind w:left="820" w:right="80" w:hanging="812"/>
        <w:spacing w:after="0" w:line="264"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rFonts w:ascii="Arial" w:cs="Arial" w:eastAsia="Arial" w:hAnsi="Arial"/>
          <w:sz w:val="18"/>
          <w:szCs w:val="18"/>
          <w:color w:val="auto"/>
        </w:rPr>
      </w:pPr>
    </w:p>
    <w:p>
      <w:pPr>
        <w:ind w:left="820" w:right="40" w:hanging="812"/>
        <w:spacing w:after="0" w:line="308" w:lineRule="auto"/>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8" w:lineRule="exact"/>
        <w:rPr>
          <w:rFonts w:ascii="Arial" w:cs="Arial" w:eastAsia="Arial" w:hAnsi="Arial"/>
          <w:sz w:val="17"/>
          <w:szCs w:val="17"/>
          <w:color w:val="auto"/>
        </w:rPr>
      </w:pPr>
    </w:p>
    <w:p>
      <w:pPr>
        <w:jc w:val="both"/>
        <w:ind w:left="820" w:right="60" w:hanging="812"/>
        <w:spacing w:after="0" w:line="264"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ectPr>
          <w:pgSz w:w="11900" w:h="16838" w:orient="portrait"/>
          <w:cols w:equalWidth="0" w:num="1">
            <w:col w:w="11360"/>
          </w:cols>
          <w:pgMar w:left="240" w:top="125" w:right="29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43" w:lineRule="exact"/>
        <w:rPr>
          <w:sz w:val="20"/>
          <w:szCs w:val="20"/>
          <w:color w:val="auto"/>
        </w:rPr>
      </w:pPr>
    </w:p>
    <w:p>
      <w:pPr>
        <w:ind w:left="820" w:right="40" w:hanging="812"/>
        <w:spacing w:after="0" w:line="342" w:lineRule="auto"/>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360"/>
          </w:cols>
          <w:pgMar w:left="240" w:top="125" w:right="29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2015</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Jeffrey P. Fritz</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360"/>
          </w:cols>
          <w:pgMar w:left="240" w:top="125" w:right="29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 PURSUANT TO 18 U.S.C. SECTION 1350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of Consumer Portfolio Services, Inc. (“Registrant”) on Form 10-K for the fiscal year ended December 31, 2014, as filed with the Securities and Exchange Commission on February 25, 2015 (the “Report”), Charles E. Bradley, Jr., chairman, president and chief executive officer, and Jeffrey P. Fritz , chief financial officer and executive vice president, each hereby certifies, pursuant to 18 U.S.C. Section 1350, as adopted pursuant to Section 906 of the Sarbanes-Oxley Act of 2002, that, to his knowledge:</w:t>
      </w:r>
    </w:p>
    <w:p>
      <w:pPr>
        <w:spacing w:after="0" w:line="200" w:lineRule="exact"/>
        <w:rPr>
          <w:sz w:val="20"/>
          <w:szCs w:val="20"/>
          <w:color w:val="auto"/>
        </w:rPr>
      </w:pPr>
    </w:p>
    <w:p>
      <w:pPr>
        <w:spacing w:after="0" w:line="203" w:lineRule="exact"/>
        <w:rPr>
          <w:sz w:val="20"/>
          <w:szCs w:val="20"/>
          <w:color w:val="auto"/>
        </w:rPr>
      </w:pPr>
    </w:p>
    <w:p>
      <w:pPr>
        <w:ind w:left="820" w:hanging="812"/>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87"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as of December 31,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E. Bradley, Jr.</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00" w:lineRule="exact"/>
        <w:rPr>
          <w:sz w:val="20"/>
          <w:szCs w:val="20"/>
          <w:color w:val="auto"/>
        </w:rPr>
      </w:pPr>
    </w:p>
    <w:p>
      <w:pPr>
        <w:spacing w:after="0" w:line="25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Jeffrey P. Fritz</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 and Executive Vice President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lvl w:ilvl="1">
      <w:lvlJc w:val="left"/>
      <w:lvlText w:val="(%2)"/>
      <w:numFmt w:val="decimal"/>
      <w:start w:val="1"/>
    </w:lvl>
  </w:abstractNum>
  <w:abstractNum w:abstractNumId="5">
    <w:nsid w:val="2D1D5AE9"/>
    <w:multiLevelType w:val="hybridMultilevel"/>
    <w:lvl w:ilvl="0">
      <w:lvlJc w:val="left"/>
      <w:lvlText w:val="(%1)"/>
      <w:numFmt w:val="decimal"/>
      <w:start w:val="3"/>
    </w:lvl>
    <w:lvl w:ilvl="1">
      <w:lvlJc w:val="left"/>
      <w:lvlText w:val="%2"/>
      <w:numFmt w:val="decimal"/>
      <w:start w:val="1"/>
    </w:lvl>
  </w:abstractNum>
  <w:abstractNum w:abstractNumId="6">
    <w:nsid w:val="6763845E"/>
    <w:multiLevelType w:val="hybridMultilevel"/>
    <w:lvl w:ilvl="0">
      <w:lvlJc w:val="left"/>
      <w:lvlText w:val="(%1)"/>
      <w:numFmt w:val="decimal"/>
      <w:start w:val="1"/>
    </w:lvl>
    <w:lvl w:ilvl="1">
      <w:lvlJc w:val="left"/>
      <w:lvlText w:val="(%2)"/>
      <w:numFmt w:val="decimal"/>
      <w:start w:val="2"/>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lowerRoman"/>
      <w:start w:val="4"/>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lowerRoman"/>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lowerRoman"/>
      <w:start w:val="2"/>
    </w:lvl>
  </w:abstractNum>
  <w:abstractNum w:abstractNumId="30">
    <w:nsid w:val="440BADFC"/>
    <w:multiLevelType w:val="hybridMultilevel"/>
    <w:lvl w:ilvl="0">
      <w:lvlJc w:val="left"/>
      <w:lvlText w:val="%1."/>
      <w:numFmt w:val="decimal"/>
      <w:start w:val="4"/>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lvl w:ilvl="1">
      <w:lvlJc w:val="left"/>
      <w:lvlText w:val="(%2)"/>
      <w:numFmt w:val="decimal"/>
      <w:start w:val="1"/>
    </w:lvl>
  </w:abstractNum>
  <w:abstractNum w:abstractNumId="33">
    <w:nsid w:val="77465F01"/>
    <w:multiLevelType w:val="hybridMultilevel"/>
    <w:lvl w:ilvl="0">
      <w:lvlJc w:val="left"/>
      <w:lvlText w:val="(%1)"/>
      <w:numFmt w:val="decimal"/>
      <w:start w:val="8"/>
    </w:lvl>
    <w:lvl w:ilvl="1">
      <w:lvlJc w:val="left"/>
      <w:lvlText w:val="%2"/>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5"/>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5"/>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2019-12-06T08:05:26Z</dcterms:created>
  <dcterms:modified xsi:type="dcterms:W3CDTF">2019-12-06T08:05:26Z</dcterms:modified>
</cp:coreProperties>
</file>