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color w:val="auto"/>
        </w:rPr>
        <w:t>UNITED STATES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CURRENT REPORT</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207"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8"/>
          <w:szCs w:val="18"/>
          <w:color w:val="auto"/>
        </w:rPr>
        <w:t>Date of Report (Date of earliest event reported) April 22, 2026</w:t>
      </w:r>
    </w:p>
    <w:p>
      <w:pPr>
        <w:spacing w:after="0" w:line="2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CONSUMER PORTFOLIO SERVICES,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365125</wp:posOffset>
            </wp:positionH>
            <wp:positionV relativeFrom="paragraph">
              <wp:posOffset>13335</wp:posOffset>
            </wp:positionV>
            <wp:extent cx="642048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20485" cy="8255"/>
                    </a:xfrm>
                    <a:prstGeom prst="rect">
                      <a:avLst/>
                    </a:prstGeom>
                    <a:noFill/>
                  </pic:spPr>
                </pic:pic>
              </a:graphicData>
            </a:graphic>
          </wp:anchor>
        </w:drawing>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195" w:lineRule="exact"/>
        <w:rPr>
          <w:sz w:val="24"/>
          <w:szCs w:val="24"/>
          <w:color w:val="auto"/>
        </w:rPr>
      </w:pPr>
    </w:p>
    <w:tbl>
      <w:tblPr>
        <w:tblLayout w:type="fixed"/>
        <w:tblInd w:w="580" w:type="dxa"/>
        <w:tblCellMar>
          <w:top w:w="0" w:type="dxa"/>
          <w:left w:w="0" w:type="dxa"/>
          <w:bottom w:w="0" w:type="dxa"/>
          <w:right w:w="0" w:type="dxa"/>
        </w:tblCellMar>
      </w:tblPr>
      <w:tr>
        <w:trPr>
          <w:trHeight w:val="207"/>
        </w:trPr>
        <w:tc>
          <w:tcPr>
            <w:tcW w:w="680" w:type="dxa"/>
            <w:vAlign w:val="bottom"/>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CALIFORNIA</w:t>
            </w:r>
          </w:p>
        </w:tc>
        <w:tc>
          <w:tcPr>
            <w:tcW w:w="64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1-11416</w:t>
            </w:r>
          </w:p>
        </w:tc>
        <w:tc>
          <w:tcPr>
            <w:tcW w:w="2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33-0459135</w:t>
            </w:r>
          </w:p>
        </w:tc>
        <w:tc>
          <w:tcPr>
            <w:tcW w:w="800" w:type="dxa"/>
            <w:vAlign w:val="bottom"/>
          </w:tcPr>
          <w:p>
            <w:pPr>
              <w:spacing w:after="0"/>
              <w:rPr>
                <w:sz w:val="17"/>
                <w:szCs w:val="17"/>
                <w:color w:val="auto"/>
              </w:rPr>
            </w:pPr>
          </w:p>
        </w:tc>
      </w:tr>
      <w:tr>
        <w:trPr>
          <w:trHeight w:val="218"/>
        </w:trPr>
        <w:tc>
          <w:tcPr>
            <w:tcW w:w="24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w:t>
            </w:r>
          </w:p>
        </w:tc>
        <w:tc>
          <w:tcPr>
            <w:tcW w:w="542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8"/>
              </w:rPr>
              <w:t>(Commission</w:t>
            </w:r>
          </w:p>
        </w:tc>
        <w:tc>
          <w:tcPr>
            <w:tcW w:w="22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4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of Incorporation)</w:t>
            </w:r>
          </w:p>
        </w:tc>
        <w:tc>
          <w:tcPr>
            <w:tcW w:w="542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8"/>
              </w:rPr>
              <w:t>File Number)</w:t>
            </w:r>
          </w:p>
        </w:tc>
        <w:tc>
          <w:tcPr>
            <w:tcW w:w="22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2"/>
        </w:trPr>
        <w:tc>
          <w:tcPr>
            <w:tcW w:w="6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5420" w:type="dxa"/>
            <w:vAlign w:val="bottom"/>
            <w:tcBorders>
              <w:bottom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9"/>
              </w:rPr>
              <w:t>3800 Howard Hughes Pkwy, Suite 1400, Las Vegas, NV 89169</w:t>
            </w:r>
          </w:p>
        </w:tc>
        <w:tc>
          <w:tcPr>
            <w:tcW w:w="5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r>
      <w:tr>
        <w:trPr>
          <w:trHeight w:val="228"/>
        </w:trPr>
        <w:tc>
          <w:tcPr>
            <w:tcW w:w="6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2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5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414"/>
        </w:trPr>
        <w:tc>
          <w:tcPr>
            <w:tcW w:w="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2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 (949) 753-6800</w:t>
            </w: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432"/>
        </w:trPr>
        <w:tc>
          <w:tcPr>
            <w:tcW w:w="6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5420" w:type="dxa"/>
            <w:vAlign w:val="bottom"/>
            <w:tcBorders>
              <w:bottom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9"/>
              </w:rPr>
              <w:t>Not Applicable</w:t>
            </w:r>
          </w:p>
        </w:tc>
        <w:tc>
          <w:tcPr>
            <w:tcW w:w="5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r>
      <w:tr>
        <w:trPr>
          <w:trHeight w:val="228"/>
        </w:trPr>
        <w:tc>
          <w:tcPr>
            <w:tcW w:w="6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2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5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r>
    </w:tbl>
    <w:p>
      <w:pPr>
        <w:spacing w:after="0" w:line="17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980" w:firstLine="8"/>
        <w:spacing w:after="0" w:line="500" w:lineRule="auto"/>
        <w:tabs>
          <w:tab w:leader="none" w:pos="20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86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780" w:type="dxa"/>
            <w:vAlign w:val="bottom"/>
            <w:tcBorders>
              <w:bottom w:val="single" w:sz="8" w:color="auto"/>
            </w:tcBorders>
          </w:tcPr>
          <w:p>
            <w:pPr>
              <w:jc w:val="center"/>
              <w:ind w:left="13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60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8"/>
        </w:trPr>
        <w:tc>
          <w:tcPr>
            <w:tcW w:w="38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Common Stock, no par value</w:t>
            </w:r>
          </w:p>
        </w:tc>
        <w:tc>
          <w:tcPr>
            <w:tcW w:w="278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CPSS</w:t>
            </w:r>
          </w:p>
        </w:tc>
        <w:tc>
          <w:tcPr>
            <w:tcW w:w="46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The Nasdaq Stock Market LLC (Global Market)</w:t>
            </w:r>
          </w:p>
        </w:tc>
      </w:tr>
    </w:tbl>
    <w:p>
      <w:pPr>
        <w:spacing w:after="0" w:line="179" w:lineRule="exact"/>
        <w:rPr>
          <w:sz w:val="24"/>
          <w:szCs w:val="24"/>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23"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600075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information contained in Item 2.03 of this report is hereby incorporated by reference into this Item 1.01. The registrant disclaims any implication that the agreements relating to the transactions described in this report are other than agreements entered into in the ordinary course of its business.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Securitization of Receivables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22, 2026, the registrant Consumer Portfolio Services, Inc. (“CPS”) and its wholly owned subsidiary CPS Receivables Five LLC (“Subsidiary”) entered into a series of agreements under which Subsidiary purchased from CPS, and sold to CPS Auto Receivables Trust 2026-B (the “Trust”), approximately $526.17 million of subprime automotive receivables (the “Receivables”).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Securitization of Receivables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CPS, Subsidiary, the Trust and others on April 22, 2026, entered into a series of agreements that, among other things, created long-term obligations that are material to CPS, Subsidiary and the Trust. Under these agreements (i) CPS sold the Receivables to Subsidiary (ii) Subsidiary sold the Receivables to the Trust (iii) the Trust deposited the Receivables with Computershare Trust Company, N.A. (“CTCNA”), as trustee of a grantor trust, receiving in return a certificate of beneficial interest (“CBI”) representing beneficial ownership of the Receivables, (iv) the Trust pledged the CBI to CTCNA as indenture trustee for benefit of the holders of the Notes (as defined below), (v) the Trust issued and sold $514.07 million of asset-backed Notes, in five classes (such Notes collectively, the “Notes”), and (vi) a cash deposit (the “Reserve Account”) in the amount of 1.00% of the aggregate balance of the Receivables was pledged for the benefit of the holders of the Notes.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Security for the repayment of the Notes consists of the Receivables and the rights to payments relating to the Receivables. CPS will act as the servicer of the Receivables. Credit enhancement for the Notes consists of over-collateralization and the Reserve Account. CTCNA will act as collateral agent and trustee on behalf of the secured parties, and is the backup servicer.</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Notes are obligations only of the Trust, and not of Subsidiary nor of CPS. Nevertheless, the Notes are properly treated as long-term debt obligations of CPS. The sale and issuance of the Notes, treated as secured financings for accounting and tax purposes, are treated as sales for all other purposes, including legal and bankruptcy purposes. None of the assets of the Trust or Subsidiary are available to pay other creditors of CPS or its affiliates.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Trust holds a fixed pool of amortizing assets. The Trust is obligated to pay principal and interest on the Notes on a monthly basis. Interest is payable at fixed rates on the outstanding principal balance of each of the five classes of the Notes, and principal is payable by reference to the aggregate principal balance of the Receivables (adjusted for chargeoffs and prepayments, among other things) and agreed required over-collateralization. The following table sets forth the interest rates and initial principal amounts of the five classes of Notes:</w:t>
      </w:r>
    </w:p>
    <w:p>
      <w:pPr>
        <w:spacing w:after="0" w:line="178"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3740" w:type="dxa"/>
            <w:vAlign w:val="bottom"/>
            <w:tcBorders>
              <w:top w:val="single" w:sz="8" w:color="BFBFBF"/>
              <w:left w:val="single" w:sz="8" w:color="BFBFBF"/>
              <w:bottom w:val="single" w:sz="8" w:color="BFBFBF"/>
              <w:right w:val="single" w:sz="8" w:color="BFBFBF"/>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Note Class</w:t>
            </w:r>
          </w:p>
        </w:tc>
        <w:tc>
          <w:tcPr>
            <w:tcW w:w="3800" w:type="dxa"/>
            <w:vAlign w:val="bottom"/>
            <w:tcBorders>
              <w:top w:val="single" w:sz="8" w:color="BFBFBF"/>
              <w:bottom w:val="single" w:sz="8" w:color="BFBFBF"/>
              <w:right w:val="single" w:sz="8" w:color="BFBFBF"/>
            </w:tcBorders>
          </w:tcPr>
          <w:p>
            <w:pPr>
              <w:ind w:left="1400"/>
              <w:spacing w:after="0"/>
              <w:rPr>
                <w:sz w:val="20"/>
                <w:szCs w:val="20"/>
                <w:color w:val="auto"/>
              </w:rPr>
            </w:pPr>
            <w:r>
              <w:rPr>
                <w:rFonts w:ascii="Times New Roman" w:cs="Times New Roman" w:eastAsia="Times New Roman" w:hAnsi="Times New Roman"/>
                <w:sz w:val="18"/>
                <w:szCs w:val="18"/>
                <w:b w:val="1"/>
                <w:bCs w:val="1"/>
                <w:color w:val="auto"/>
              </w:rPr>
              <w:t>Interest Rate</w:t>
            </w:r>
          </w:p>
        </w:tc>
        <w:tc>
          <w:tcPr>
            <w:tcW w:w="3700" w:type="dxa"/>
            <w:vAlign w:val="bottom"/>
            <w:tcBorders>
              <w:top w:val="single" w:sz="8" w:color="BFBFBF"/>
              <w:bottom w:val="single" w:sz="8" w:color="BFBFBF"/>
              <w:right w:val="single" w:sz="8" w:color="BFBFBF"/>
            </w:tcBorders>
          </w:tcPr>
          <w:p>
            <w:pPr>
              <w:ind w:left="152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0"/>
        </w:trPr>
        <w:tc>
          <w:tcPr>
            <w:tcW w:w="3740" w:type="dxa"/>
            <w:vAlign w:val="bottom"/>
            <w:tcBorders>
              <w:left w:val="single" w:sz="8" w:color="BFBFBF"/>
              <w:bottom w:val="single" w:sz="8" w:color="BFBFBF"/>
              <w:right w:val="single" w:sz="8" w:color="BFBFBF"/>
            </w:tcBorders>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rPr>
              <w:t>Class A</w:t>
            </w:r>
          </w:p>
        </w:tc>
        <w:tc>
          <w:tcPr>
            <w:tcW w:w="3800" w:type="dxa"/>
            <w:vAlign w:val="bottom"/>
            <w:tcBorders>
              <w:bottom w:val="single" w:sz="8" w:color="BFBFBF"/>
              <w:right w:val="single" w:sz="8" w:color="BFBFBF"/>
            </w:tcBorders>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8"/>
              </w:rPr>
              <w:t>4.35%</w:t>
            </w:r>
          </w:p>
        </w:tc>
        <w:tc>
          <w:tcPr>
            <w:tcW w:w="3700" w:type="dxa"/>
            <w:vAlign w:val="bottom"/>
            <w:tcBorders>
              <w:bottom w:val="single" w:sz="8" w:color="BFBFBF"/>
              <w:right w:val="single" w:sz="8" w:color="BFBFBF"/>
            </w:tcBorders>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rPr>
              <w:t>$ 237,620,000</w:t>
            </w:r>
          </w:p>
        </w:tc>
      </w:tr>
      <w:tr>
        <w:trPr>
          <w:trHeight w:val="210"/>
        </w:trPr>
        <w:tc>
          <w:tcPr>
            <w:tcW w:w="3740" w:type="dxa"/>
            <w:vAlign w:val="bottom"/>
            <w:tcBorders>
              <w:left w:val="single" w:sz="8" w:color="BFBFBF"/>
              <w:bottom w:val="single" w:sz="8" w:color="BFBFBF"/>
              <w:right w:val="single" w:sz="8" w:color="BFBFBF"/>
            </w:tcBorders>
          </w:tcPr>
          <w:p>
            <w:pPr>
              <w:jc w:val="center"/>
              <w:spacing w:after="0"/>
              <w:rPr>
                <w:sz w:val="20"/>
                <w:szCs w:val="20"/>
                <w:color w:val="auto"/>
              </w:rPr>
            </w:pPr>
            <w:r>
              <w:rPr>
                <w:rFonts w:ascii="Times New Roman" w:cs="Times New Roman" w:eastAsia="Times New Roman" w:hAnsi="Times New Roman"/>
                <w:sz w:val="18"/>
                <w:szCs w:val="18"/>
                <w:color w:val="auto"/>
                <w:w w:val="97"/>
              </w:rPr>
              <w:t>Class B</w:t>
            </w:r>
          </w:p>
        </w:tc>
        <w:tc>
          <w:tcPr>
            <w:tcW w:w="3800" w:type="dxa"/>
            <w:vAlign w:val="bottom"/>
            <w:tcBorders>
              <w:bottom w:val="single" w:sz="8" w:color="BFBFBF"/>
              <w:right w:val="single" w:sz="8" w:color="BFBFBF"/>
            </w:tcBorders>
          </w:tcPr>
          <w:p>
            <w:pPr>
              <w:jc w:val="center"/>
              <w:spacing w:after="0"/>
              <w:rPr>
                <w:sz w:val="20"/>
                <w:szCs w:val="20"/>
                <w:color w:val="auto"/>
              </w:rPr>
            </w:pPr>
            <w:r>
              <w:rPr>
                <w:rFonts w:ascii="Times New Roman" w:cs="Times New Roman" w:eastAsia="Times New Roman" w:hAnsi="Times New Roman"/>
                <w:sz w:val="18"/>
                <w:szCs w:val="18"/>
                <w:color w:val="auto"/>
                <w:w w:val="98"/>
              </w:rPr>
              <w:t>4.59%</w:t>
            </w:r>
          </w:p>
        </w:tc>
        <w:tc>
          <w:tcPr>
            <w:tcW w:w="3700" w:type="dxa"/>
            <w:vAlign w:val="bottom"/>
            <w:tcBorders>
              <w:bottom w:val="single" w:sz="8" w:color="BFBFBF"/>
              <w:right w:val="single" w:sz="8" w:color="BFBFBF"/>
            </w:tcBorders>
          </w:tcPr>
          <w:p>
            <w:pPr>
              <w:jc w:val="center"/>
              <w:spacing w:after="0"/>
              <w:rPr>
                <w:sz w:val="20"/>
                <w:szCs w:val="20"/>
                <w:color w:val="auto"/>
              </w:rPr>
            </w:pPr>
            <w:r>
              <w:rPr>
                <w:rFonts w:ascii="Times New Roman" w:cs="Times New Roman" w:eastAsia="Times New Roman" w:hAnsi="Times New Roman"/>
                <w:sz w:val="18"/>
                <w:szCs w:val="18"/>
                <w:color w:val="auto"/>
                <w:w w:val="99"/>
              </w:rPr>
              <w:t>$ 76,400,000</w:t>
            </w:r>
          </w:p>
        </w:tc>
      </w:tr>
      <w:tr>
        <w:trPr>
          <w:trHeight w:val="210"/>
        </w:trPr>
        <w:tc>
          <w:tcPr>
            <w:tcW w:w="3740" w:type="dxa"/>
            <w:vAlign w:val="bottom"/>
            <w:tcBorders>
              <w:left w:val="single" w:sz="8" w:color="BFBFBF"/>
              <w:bottom w:val="single" w:sz="8" w:color="BFBFBF"/>
              <w:right w:val="single" w:sz="8" w:color="BFBFBF"/>
            </w:tcBorders>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7"/>
              </w:rPr>
              <w:t>Class C</w:t>
            </w:r>
          </w:p>
        </w:tc>
        <w:tc>
          <w:tcPr>
            <w:tcW w:w="3800" w:type="dxa"/>
            <w:vAlign w:val="bottom"/>
            <w:tcBorders>
              <w:bottom w:val="single" w:sz="8" w:color="BFBFBF"/>
              <w:right w:val="single" w:sz="8" w:color="BFBFBF"/>
            </w:tcBorders>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8"/>
              </w:rPr>
              <w:t>4.93%</w:t>
            </w:r>
          </w:p>
        </w:tc>
        <w:tc>
          <w:tcPr>
            <w:tcW w:w="3700" w:type="dxa"/>
            <w:vAlign w:val="bottom"/>
            <w:tcBorders>
              <w:bottom w:val="single" w:sz="8" w:color="BFBFBF"/>
              <w:right w:val="single" w:sz="8" w:color="BFBFBF"/>
            </w:tcBorders>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$ 78,660,000</w:t>
            </w:r>
          </w:p>
        </w:tc>
      </w:tr>
      <w:tr>
        <w:trPr>
          <w:trHeight w:val="209"/>
        </w:trPr>
        <w:tc>
          <w:tcPr>
            <w:tcW w:w="3740" w:type="dxa"/>
            <w:vAlign w:val="bottom"/>
            <w:tcBorders>
              <w:left w:val="single" w:sz="8" w:color="BFBFBF"/>
              <w:bottom w:val="single" w:sz="8" w:color="BFBFBF"/>
              <w:right w:val="single" w:sz="8" w:color="BFBFBF"/>
            </w:tcBorders>
          </w:tcPr>
          <w:p>
            <w:pPr>
              <w:jc w:val="center"/>
              <w:spacing w:after="0"/>
              <w:rPr>
                <w:sz w:val="20"/>
                <w:szCs w:val="20"/>
                <w:color w:val="auto"/>
              </w:rPr>
            </w:pPr>
            <w:r>
              <w:rPr>
                <w:rFonts w:ascii="Times New Roman" w:cs="Times New Roman" w:eastAsia="Times New Roman" w:hAnsi="Times New Roman"/>
                <w:sz w:val="18"/>
                <w:szCs w:val="18"/>
                <w:color w:val="auto"/>
              </w:rPr>
              <w:t>Class D</w:t>
            </w:r>
          </w:p>
        </w:tc>
        <w:tc>
          <w:tcPr>
            <w:tcW w:w="3800" w:type="dxa"/>
            <w:vAlign w:val="bottom"/>
            <w:tcBorders>
              <w:bottom w:val="single" w:sz="8" w:color="BFBFBF"/>
              <w:right w:val="single" w:sz="8" w:color="BFBFBF"/>
            </w:tcBorders>
          </w:tcPr>
          <w:p>
            <w:pPr>
              <w:jc w:val="center"/>
              <w:spacing w:after="0"/>
              <w:rPr>
                <w:sz w:val="20"/>
                <w:szCs w:val="20"/>
                <w:color w:val="auto"/>
              </w:rPr>
            </w:pPr>
            <w:r>
              <w:rPr>
                <w:rFonts w:ascii="Times New Roman" w:cs="Times New Roman" w:eastAsia="Times New Roman" w:hAnsi="Times New Roman"/>
                <w:sz w:val="18"/>
                <w:szCs w:val="18"/>
                <w:color w:val="auto"/>
                <w:w w:val="98"/>
              </w:rPr>
              <w:t>5.20%</w:t>
            </w:r>
          </w:p>
        </w:tc>
        <w:tc>
          <w:tcPr>
            <w:tcW w:w="3700" w:type="dxa"/>
            <w:vAlign w:val="bottom"/>
            <w:tcBorders>
              <w:bottom w:val="single" w:sz="8" w:color="BFBFBF"/>
              <w:right w:val="single" w:sz="8" w:color="BFBFBF"/>
            </w:tcBorders>
          </w:tcPr>
          <w:p>
            <w:pPr>
              <w:jc w:val="center"/>
              <w:spacing w:after="0"/>
              <w:rPr>
                <w:sz w:val="20"/>
                <w:szCs w:val="20"/>
                <w:color w:val="auto"/>
              </w:rPr>
            </w:pPr>
            <w:r>
              <w:rPr>
                <w:rFonts w:ascii="Times New Roman" w:cs="Times New Roman" w:eastAsia="Times New Roman" w:hAnsi="Times New Roman"/>
                <w:sz w:val="18"/>
                <w:szCs w:val="18"/>
                <w:color w:val="auto"/>
                <w:w w:val="99"/>
              </w:rPr>
              <w:t>$ 48,670,000</w:t>
            </w:r>
          </w:p>
        </w:tc>
      </w:tr>
      <w:tr>
        <w:trPr>
          <w:trHeight w:val="210"/>
        </w:trPr>
        <w:tc>
          <w:tcPr>
            <w:tcW w:w="3740" w:type="dxa"/>
            <w:vAlign w:val="bottom"/>
            <w:tcBorders>
              <w:left w:val="single" w:sz="8" w:color="BFBFBF"/>
              <w:bottom w:val="single" w:sz="8" w:color="BFBFBF"/>
              <w:right w:val="single" w:sz="8" w:color="BFBFBF"/>
            </w:tcBorders>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8"/>
              </w:rPr>
              <w:t>Class E</w:t>
            </w:r>
          </w:p>
        </w:tc>
        <w:tc>
          <w:tcPr>
            <w:tcW w:w="3800" w:type="dxa"/>
            <w:vAlign w:val="bottom"/>
            <w:tcBorders>
              <w:bottom w:val="single" w:sz="8" w:color="BFBFBF"/>
              <w:right w:val="single" w:sz="8" w:color="BFBFBF"/>
            </w:tcBorders>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8"/>
              </w:rPr>
              <w:t>7.14%</w:t>
            </w:r>
          </w:p>
        </w:tc>
        <w:tc>
          <w:tcPr>
            <w:tcW w:w="3700" w:type="dxa"/>
            <w:vAlign w:val="bottom"/>
            <w:tcBorders>
              <w:bottom w:val="single" w:sz="8" w:color="BFBFBF"/>
              <w:right w:val="single" w:sz="8" w:color="BFBFBF"/>
            </w:tcBorders>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$ 72,720,000</w:t>
            </w:r>
          </w:p>
        </w:tc>
      </w:tr>
      <w:tr>
        <w:trPr>
          <w:trHeight w:val="965"/>
        </w:trPr>
        <w:tc>
          <w:tcPr>
            <w:tcW w:w="374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3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2" w:right="339" w:bottom="1440" w:gutter="0" w:footer="0" w:header="0"/>
        </w:sectPr>
      </w:pPr>
    </w:p>
    <w:bookmarkStart w:id="2" w:name="page3"/>
    <w:bookmarkEnd w:id="2"/>
    <w:p>
      <w:pPr>
        <w:jc w:val="both"/>
        <w:spacing w:after="0" w:line="261" w:lineRule="auto"/>
        <w:rPr>
          <w:sz w:val="20"/>
          <w:szCs w:val="20"/>
          <w:color w:val="auto"/>
        </w:rPr>
      </w:pPr>
      <w:r>
        <w:rPr>
          <w:rFonts w:ascii="Times New Roman" w:cs="Times New Roman" w:eastAsia="Times New Roman" w:hAnsi="Times New Roman"/>
          <w:sz w:val="18"/>
          <w:szCs w:val="18"/>
          <w:color w:val="auto"/>
        </w:rPr>
        <w:t>The 2026-B transaction has initial credit enhancement consisting of a cash deposit equal to 1.00% of the original Receivable pool balance and overcollateralization of 2.30%. The final enhancement level requires accelerated payment of principal on the Notes to reach overcollateralization of the lesser of 7.70% of the original Receivables pool balance, or 19.20% of the then outstanding pool balance, but in no event less than 1.50% of the original receivable pool balance.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an event of default were to occur under the agreements, the Trustee would have the right to accelerate the maturity of the Notes, in which event the cash proceeds of the Receivables that otherwise would be released to Subsidiary would instead be directed entirely toward repayment of the Notes. Events of default include such events as failure to make required payments on the Notes, breaches of warranties, representations or covenants under any of the agreements or specified bankruptcy-related events.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such time as the aggregate outstanding principal balance of the Receivables is less than 10% of the initial aggregate balance of $526.17 million, CPS will have the option to purchase the Trust estate at fair market value, provided that such purchase price is sufficient to cause the Notes to be redeemed and paid in full, and to cause other obligations of the Trust to be met.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exhibit is included with this report:</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News release re securitization transaction</w:t>
      </w:r>
      <w:r>
        <w:rPr>
          <w:rFonts w:ascii="Times New Roman" w:cs="Times New Roman" w:eastAsia="Times New Roman" w:hAnsi="Times New Roman"/>
          <w:sz w:val="17"/>
          <w:szCs w:val="17"/>
          <w:color w:val="000000"/>
        </w:rPr>
        <w:t>.</w:t>
      </w:r>
    </w:p>
    <w:p>
      <w:pPr>
        <w:spacing w:after="0" w:line="2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00" w:type="dxa"/>
            <w:vAlign w:val="bottom"/>
          </w:tcPr>
          <w:p>
            <w:pPr>
              <w:spacing w:after="0"/>
              <w:rPr>
                <w:sz w:val="20"/>
                <w:szCs w:val="20"/>
                <w:color w:val="auto"/>
              </w:rPr>
            </w:pPr>
          </w:p>
        </w:tc>
        <w:tc>
          <w:tcPr>
            <w:tcW w:w="6220" w:type="dxa"/>
            <w:vAlign w:val="bottom"/>
            <w:gridSpan w:val="3"/>
          </w:tcPr>
          <w:p>
            <w:pPr>
              <w:ind w:left="2020"/>
              <w:spacing w:after="0"/>
              <w:rPr>
                <w:sz w:val="20"/>
                <w:szCs w:val="20"/>
                <w:color w:val="auto"/>
              </w:rPr>
            </w:pPr>
            <w:r>
              <w:rPr>
                <w:rFonts w:ascii="Times New Roman" w:cs="Times New Roman" w:eastAsia="Times New Roman" w:hAnsi="Times New Roman"/>
                <w:sz w:val="18"/>
                <w:szCs w:val="18"/>
                <w:b w:val="1"/>
                <w:bCs w:val="1"/>
                <w:color w:val="auto"/>
              </w:rPr>
              <w:t>CONSUMER PORTFOLIO SERVICES, INC.</w:t>
            </w:r>
          </w:p>
        </w:tc>
      </w:tr>
      <w:tr>
        <w:trPr>
          <w:trHeight w:val="607"/>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Dated: April 24, 2026</w:t>
            </w:r>
          </w:p>
        </w:tc>
        <w:tc>
          <w:tcPr>
            <w:tcW w:w="6220" w:type="dxa"/>
            <w:vAlign w:val="bottom"/>
            <w:gridSpan w:val="3"/>
          </w:tcPr>
          <w:p>
            <w:pPr>
              <w:ind w:left="2020"/>
              <w:spacing w:after="0"/>
              <w:rPr>
                <w:sz w:val="20"/>
                <w:szCs w:val="20"/>
                <w:color w:val="auto"/>
              </w:rPr>
            </w:pPr>
            <w:r>
              <w:rPr>
                <w:rFonts w:ascii="Times New Roman" w:cs="Times New Roman" w:eastAsia="Times New Roman" w:hAnsi="Times New Roman"/>
                <w:sz w:val="18"/>
                <w:szCs w:val="18"/>
                <w:color w:val="auto"/>
              </w:rPr>
              <w:t>By: /s/ Denesh Bharwani</w:t>
            </w:r>
          </w:p>
        </w:tc>
      </w:tr>
      <w:tr>
        <w:trPr>
          <w:trHeight w:val="218"/>
        </w:trPr>
        <w:tc>
          <w:tcPr>
            <w:tcW w:w="36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82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Denesh Bharwani</w:t>
            </w:r>
          </w:p>
        </w:tc>
        <w:tc>
          <w:tcPr>
            <w:tcW w:w="1080" w:type="dxa"/>
            <w:vAlign w:val="bottom"/>
          </w:tcPr>
          <w:p>
            <w:pPr>
              <w:spacing w:after="0"/>
              <w:rPr>
                <w:sz w:val="18"/>
                <w:szCs w:val="18"/>
                <w:color w:val="auto"/>
              </w:rPr>
            </w:pPr>
          </w:p>
        </w:tc>
      </w:tr>
      <w:tr>
        <w:trPr>
          <w:trHeight w:val="216"/>
        </w:trPr>
        <w:tc>
          <w:tcPr>
            <w:tcW w:w="36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9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9"/>
              </w:rPr>
              <w:t>Executive Vice President and Chief Financial Officer</w:t>
            </w:r>
          </w:p>
        </w:tc>
      </w:tr>
      <w:tr>
        <w:trPr>
          <w:trHeight w:val="234"/>
        </w:trPr>
        <w:tc>
          <w:tcPr>
            <w:tcW w:w="36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39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Signing on behalf of the registrant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168275</wp:posOffset>
            </wp:positionV>
            <wp:extent cx="1285875" cy="4800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32"/>
          <w:szCs w:val="32"/>
          <w:b w:val="1"/>
          <w:bCs w:val="1"/>
          <w:i w:val="1"/>
          <w:iCs w:val="1"/>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CPS Announces $514.07 Million Senior Subordinate Asset-Backed Securitization</w:t>
      </w:r>
    </w:p>
    <w:p>
      <w:pPr>
        <w:spacing w:after="0" w:line="22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LAS VEGAS, Nevada, April 22, 2026, (GlobeNewswire) </w:t>
      </w:r>
      <w:r>
        <w:rPr>
          <w:rFonts w:ascii="Times New Roman" w:cs="Times New Roman" w:eastAsia="Times New Roman" w:hAnsi="Times New Roman"/>
          <w:sz w:val="18"/>
          <w:szCs w:val="18"/>
          <w:color w:val="auto"/>
        </w:rPr>
        <w:t>– Consumer Portfolio Services, Inc. (Nasdaq: CPSS) (“CPS” or the “Company”) announced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closing of its second term securitization in 2026 on Wednesday April 22, 2026. The transaction is CPS's 59th senior subordinate securitization since the beginning of 2011 and the 42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consecutive securitization to receive a triple “A” rating from at least two rating agencies on the senior class of notes.</w:t>
      </w:r>
    </w:p>
    <w:p>
      <w:pPr>
        <w:spacing w:after="0" w:line="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transaction, qualified institutional buyers purchased $514.07 million of asset-backed notes secured by $526.17 million in automobile receivables originated by CPS. The sold notes, issued by CPS Auto Receivables Trust 2026-B, consist of five classes. Ratings of the notes were provided by Moody’s and DBRS Morningstar, and were based on the structure of the transaction, the historical performance of similar receivables and CPS’s experience as a servicer. This transaction is the largest of the 109 securitizations in the company’s history and marks the first transaction of over $500 million of notes sold.</w:t>
      </w:r>
    </w:p>
    <w:p>
      <w:pPr>
        <w:spacing w:after="0" w:line="166"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7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color w:val="auto"/>
                <w:w w:val="98"/>
              </w:rPr>
              <w:t>Amount</w:t>
            </w: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20" w:type="dxa"/>
            <w:vAlign w:val="bottom"/>
            <w:gridSpan w:val="5"/>
          </w:tcPr>
          <w:p>
            <w:pPr>
              <w:jc w:val="center"/>
              <w:ind w:right="40"/>
              <w:spacing w:after="0"/>
              <w:rPr>
                <w:sz w:val="20"/>
                <w:szCs w:val="20"/>
                <w:color w:val="auto"/>
              </w:rPr>
            </w:pPr>
            <w:r>
              <w:rPr>
                <w:rFonts w:ascii="Times New Roman" w:cs="Times New Roman" w:eastAsia="Times New Roman" w:hAnsi="Times New Roman"/>
                <w:sz w:val="18"/>
                <w:szCs w:val="18"/>
                <w:color w:val="auto"/>
                <w:w w:val="98"/>
              </w:rPr>
              <w:t>Average Life</w:t>
            </w: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
        </w:trPr>
        <w:tc>
          <w:tcPr>
            <w:tcW w:w="16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640" w:type="dxa"/>
            <w:vAlign w:val="bottom"/>
            <w:gridSpan w:val="2"/>
          </w:tcPr>
          <w:p>
            <w:pPr>
              <w:jc w:val="center"/>
              <w:ind w:right="860"/>
              <w:spacing w:after="0" w:line="196" w:lineRule="exact"/>
              <w:rPr>
                <w:sz w:val="20"/>
                <w:szCs w:val="20"/>
                <w:color w:val="auto"/>
              </w:rPr>
            </w:pPr>
            <w:r>
              <w:rPr>
                <w:rFonts w:ascii="Times New Roman" w:cs="Times New Roman" w:eastAsia="Times New Roman" w:hAnsi="Times New Roman"/>
                <w:sz w:val="18"/>
                <w:szCs w:val="18"/>
                <w:color w:val="auto"/>
                <w:w w:val="99"/>
              </w:rPr>
              <w:t>Note Class</w:t>
            </w:r>
          </w:p>
        </w:tc>
        <w:tc>
          <w:tcPr>
            <w:tcW w:w="1560" w:type="dxa"/>
            <w:vAlign w:val="bottom"/>
            <w:gridSpan w:val="4"/>
          </w:tcPr>
          <w:p>
            <w:pPr>
              <w:jc w:val="center"/>
              <w:ind w:right="660"/>
              <w:spacing w:after="0" w:line="196" w:lineRule="exact"/>
              <w:rPr>
                <w:sz w:val="20"/>
                <w:szCs w:val="20"/>
                <w:color w:val="auto"/>
              </w:rPr>
            </w:pPr>
            <w:r>
              <w:rPr>
                <w:rFonts w:ascii="Times New Roman" w:cs="Times New Roman" w:eastAsia="Times New Roman" w:hAnsi="Times New Roman"/>
                <w:sz w:val="18"/>
                <w:szCs w:val="18"/>
                <w:color w:val="auto"/>
              </w:rPr>
              <w:t>(in millions)</w:t>
            </w:r>
          </w:p>
        </w:tc>
        <w:tc>
          <w:tcPr>
            <w:tcW w:w="1240" w:type="dxa"/>
            <w:vAlign w:val="bottom"/>
            <w:gridSpan w:val="2"/>
          </w:tcPr>
          <w:p>
            <w:pPr>
              <w:jc w:val="center"/>
              <w:ind w:right="320"/>
              <w:spacing w:after="0" w:line="196" w:lineRule="exact"/>
              <w:rPr>
                <w:sz w:val="20"/>
                <w:szCs w:val="20"/>
                <w:color w:val="auto"/>
              </w:rPr>
            </w:pPr>
            <w:r>
              <w:rPr>
                <w:rFonts w:ascii="Times New Roman" w:cs="Times New Roman" w:eastAsia="Times New Roman" w:hAnsi="Times New Roman"/>
                <w:sz w:val="18"/>
                <w:szCs w:val="18"/>
                <w:color w:val="auto"/>
              </w:rPr>
              <w:t>Interest Rate</w:t>
            </w:r>
          </w:p>
        </w:tc>
        <w:tc>
          <w:tcPr>
            <w:tcW w:w="320" w:type="dxa"/>
            <w:vAlign w:val="bottom"/>
          </w:tcPr>
          <w:p>
            <w:pPr>
              <w:spacing w:after="0"/>
              <w:rPr>
                <w:sz w:val="17"/>
                <w:szCs w:val="17"/>
                <w:color w:val="auto"/>
              </w:rPr>
            </w:pPr>
          </w:p>
        </w:tc>
        <w:tc>
          <w:tcPr>
            <w:tcW w:w="1300" w:type="dxa"/>
            <w:vAlign w:val="bottom"/>
            <w:gridSpan w:val="4"/>
          </w:tcPr>
          <w:p>
            <w:pPr>
              <w:jc w:val="center"/>
              <w:ind w:right="360"/>
              <w:spacing w:after="0" w:line="196" w:lineRule="exact"/>
              <w:rPr>
                <w:sz w:val="20"/>
                <w:szCs w:val="20"/>
                <w:color w:val="auto"/>
              </w:rPr>
            </w:pPr>
            <w:r>
              <w:rPr>
                <w:rFonts w:ascii="Times New Roman" w:cs="Times New Roman" w:eastAsia="Times New Roman" w:hAnsi="Times New Roman"/>
                <w:sz w:val="18"/>
                <w:szCs w:val="18"/>
                <w:color w:val="auto"/>
                <w:w w:val="99"/>
              </w:rPr>
              <w:t>(years)</w:t>
            </w:r>
          </w:p>
        </w:tc>
        <w:tc>
          <w:tcPr>
            <w:tcW w:w="1440" w:type="dxa"/>
            <w:vAlign w:val="bottom"/>
            <w:gridSpan w:val="3"/>
          </w:tcPr>
          <w:p>
            <w:pPr>
              <w:jc w:val="center"/>
              <w:spacing w:after="0" w:line="196" w:lineRule="exact"/>
              <w:rPr>
                <w:sz w:val="20"/>
                <w:szCs w:val="20"/>
                <w:color w:val="auto"/>
              </w:rPr>
            </w:pPr>
            <w:r>
              <w:rPr>
                <w:rFonts w:ascii="Times New Roman" w:cs="Times New Roman" w:eastAsia="Times New Roman" w:hAnsi="Times New Roman"/>
                <w:sz w:val="18"/>
                <w:szCs w:val="18"/>
                <w:color w:val="auto"/>
              </w:rPr>
              <w:t>Price</w:t>
            </w:r>
          </w:p>
        </w:tc>
        <w:tc>
          <w:tcPr>
            <w:tcW w:w="1700" w:type="dxa"/>
            <w:vAlign w:val="bottom"/>
            <w:gridSpan w:val="3"/>
          </w:tcPr>
          <w:p>
            <w:pPr>
              <w:jc w:val="center"/>
              <w:spacing w:after="0" w:line="196" w:lineRule="exact"/>
              <w:rPr>
                <w:sz w:val="20"/>
                <w:szCs w:val="20"/>
                <w:color w:val="auto"/>
              </w:rPr>
            </w:pPr>
            <w:r>
              <w:rPr>
                <w:rFonts w:ascii="Times New Roman" w:cs="Times New Roman" w:eastAsia="Times New Roman" w:hAnsi="Times New Roman"/>
                <w:sz w:val="18"/>
                <w:szCs w:val="18"/>
                <w:color w:val="auto"/>
              </w:rPr>
              <w:t>Moody’s Rating</w:t>
            </w:r>
          </w:p>
        </w:tc>
        <w:tc>
          <w:tcPr>
            <w:tcW w:w="1240" w:type="dxa"/>
            <w:vAlign w:val="bottom"/>
            <w:gridSpan w:val="2"/>
          </w:tcPr>
          <w:p>
            <w:pPr>
              <w:jc w:val="center"/>
              <w:ind w:left="150"/>
              <w:spacing w:after="0" w:line="196" w:lineRule="exact"/>
              <w:rPr>
                <w:sz w:val="20"/>
                <w:szCs w:val="20"/>
                <w:color w:val="auto"/>
              </w:rPr>
            </w:pPr>
            <w:r>
              <w:rPr>
                <w:rFonts w:ascii="Times New Roman" w:cs="Times New Roman" w:eastAsia="Times New Roman" w:hAnsi="Times New Roman"/>
                <w:sz w:val="18"/>
                <w:szCs w:val="18"/>
                <w:color w:val="auto"/>
              </w:rPr>
              <w:t>DBRS Rating</w:t>
            </w:r>
          </w:p>
        </w:tc>
      </w:tr>
      <w:tr>
        <w:trPr>
          <w:trHeight w:val="20"/>
        </w:trPr>
        <w:tc>
          <w:tcPr>
            <w:tcW w:w="7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r>
      <w:tr>
        <w:trPr>
          <w:trHeight w:val="218"/>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w:t>
            </w:r>
          </w:p>
        </w:tc>
        <w:tc>
          <w:tcPr>
            <w:tcW w:w="860" w:type="dxa"/>
            <w:vAlign w:val="bottom"/>
          </w:tcPr>
          <w:p>
            <w:pPr>
              <w:spacing w:after="0"/>
              <w:rPr>
                <w:sz w:val="18"/>
                <w:szCs w:val="18"/>
                <w:color w:val="auto"/>
              </w:rPr>
            </w:pPr>
          </w:p>
        </w:tc>
        <w:tc>
          <w:tcPr>
            <w:tcW w:w="90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$ 237.620</w:t>
            </w:r>
          </w:p>
        </w:tc>
        <w:tc>
          <w:tcPr>
            <w:tcW w:w="66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4.35%</w:t>
            </w:r>
          </w:p>
        </w:tc>
        <w:tc>
          <w:tcPr>
            <w:tcW w:w="320" w:type="dxa"/>
            <w:vAlign w:val="bottom"/>
          </w:tcPr>
          <w:p>
            <w:pPr>
              <w:spacing w:after="0"/>
              <w:rPr>
                <w:sz w:val="18"/>
                <w:szCs w:val="18"/>
                <w:color w:val="auto"/>
              </w:rPr>
            </w:pPr>
          </w:p>
        </w:tc>
        <w:tc>
          <w:tcPr>
            <w:tcW w:w="540" w:type="dxa"/>
            <w:vAlign w:val="bottom"/>
            <w:gridSpan w:val="2"/>
          </w:tcPr>
          <w:p>
            <w:pPr>
              <w:spacing w:after="0"/>
              <w:rPr>
                <w:sz w:val="18"/>
                <w:szCs w:val="18"/>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0.68</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99.99986%</w:t>
            </w:r>
          </w:p>
        </w:tc>
        <w:tc>
          <w:tcPr>
            <w:tcW w:w="28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Aaa</w:t>
            </w:r>
          </w:p>
        </w:tc>
        <w:tc>
          <w:tcPr>
            <w:tcW w:w="2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AAA</w:t>
            </w:r>
          </w:p>
        </w:tc>
      </w:tr>
      <w:tr>
        <w:trPr>
          <w:trHeight w:val="216"/>
        </w:trPr>
        <w:tc>
          <w:tcPr>
            <w:tcW w:w="1640" w:type="dxa"/>
            <w:vAlign w:val="bottom"/>
            <w:gridSpan w:val="2"/>
          </w:tcPr>
          <w:p>
            <w:pPr>
              <w:jc w:val="center"/>
              <w:ind w:right="840"/>
              <w:spacing w:after="0"/>
              <w:rPr>
                <w:sz w:val="20"/>
                <w:szCs w:val="20"/>
                <w:color w:val="auto"/>
              </w:rPr>
            </w:pPr>
            <w:r>
              <w:rPr>
                <w:rFonts w:ascii="Times New Roman" w:cs="Times New Roman" w:eastAsia="Times New Roman" w:hAnsi="Times New Roman"/>
                <w:sz w:val="18"/>
                <w:szCs w:val="18"/>
                <w:color w:val="auto"/>
                <w:w w:val="99"/>
              </w:rPr>
              <w:t>B</w:t>
            </w: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$ 76.400</w:t>
            </w:r>
          </w:p>
        </w:tc>
        <w:tc>
          <w:tcPr>
            <w:tcW w:w="66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4.59%</w:t>
            </w:r>
          </w:p>
        </w:tc>
        <w:tc>
          <w:tcPr>
            <w:tcW w:w="320" w:type="dxa"/>
            <w:vAlign w:val="bottom"/>
          </w:tcPr>
          <w:p>
            <w:pPr>
              <w:spacing w:after="0"/>
              <w:rPr>
                <w:sz w:val="18"/>
                <w:szCs w:val="18"/>
                <w:color w:val="auto"/>
              </w:rPr>
            </w:pPr>
          </w:p>
        </w:tc>
        <w:tc>
          <w:tcPr>
            <w:tcW w:w="1040" w:type="dxa"/>
            <w:vAlign w:val="bottom"/>
            <w:gridSpan w:val="3"/>
          </w:tcPr>
          <w:p>
            <w:pPr>
              <w:jc w:val="center"/>
              <w:ind w:left="470"/>
              <w:spacing w:after="0"/>
              <w:rPr>
                <w:sz w:val="20"/>
                <w:szCs w:val="20"/>
                <w:color w:val="auto"/>
              </w:rPr>
            </w:pPr>
            <w:r>
              <w:rPr>
                <w:rFonts w:ascii="Times New Roman" w:cs="Times New Roman" w:eastAsia="Times New Roman" w:hAnsi="Times New Roman"/>
                <w:sz w:val="18"/>
                <w:szCs w:val="18"/>
                <w:color w:val="auto"/>
              </w:rPr>
              <w:t>1.81</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99.98841%</w:t>
            </w:r>
          </w:p>
        </w:tc>
        <w:tc>
          <w:tcPr>
            <w:tcW w:w="28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Aaa</w:t>
            </w:r>
          </w:p>
        </w:tc>
        <w:tc>
          <w:tcPr>
            <w:tcW w:w="2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AA</w:t>
            </w:r>
          </w:p>
        </w:tc>
      </w:tr>
      <w:tr>
        <w:trPr>
          <w:trHeight w:val="216"/>
        </w:trPr>
        <w:tc>
          <w:tcPr>
            <w:tcW w:w="1640" w:type="dxa"/>
            <w:vAlign w:val="bottom"/>
            <w:gridSpan w:val="2"/>
          </w:tcPr>
          <w:p>
            <w:pPr>
              <w:jc w:val="center"/>
              <w:ind w:right="840"/>
              <w:spacing w:after="0"/>
              <w:rPr>
                <w:sz w:val="20"/>
                <w:szCs w:val="20"/>
                <w:color w:val="auto"/>
              </w:rPr>
            </w:pPr>
            <w:r>
              <w:rPr>
                <w:rFonts w:ascii="Times New Roman" w:cs="Times New Roman" w:eastAsia="Times New Roman" w:hAnsi="Times New Roman"/>
                <w:sz w:val="18"/>
                <w:szCs w:val="18"/>
                <w:color w:val="auto"/>
                <w:w w:val="99"/>
              </w:rPr>
              <w:t>C</w:t>
            </w: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$ 78.660</w:t>
            </w:r>
          </w:p>
        </w:tc>
        <w:tc>
          <w:tcPr>
            <w:tcW w:w="66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4.93%</w:t>
            </w:r>
          </w:p>
        </w:tc>
        <w:tc>
          <w:tcPr>
            <w:tcW w:w="320" w:type="dxa"/>
            <w:vAlign w:val="bottom"/>
          </w:tcPr>
          <w:p>
            <w:pPr>
              <w:spacing w:after="0"/>
              <w:rPr>
                <w:sz w:val="18"/>
                <w:szCs w:val="18"/>
                <w:color w:val="auto"/>
              </w:rPr>
            </w:pPr>
          </w:p>
        </w:tc>
        <w:tc>
          <w:tcPr>
            <w:tcW w:w="1040" w:type="dxa"/>
            <w:vAlign w:val="bottom"/>
            <w:gridSpan w:val="3"/>
          </w:tcPr>
          <w:p>
            <w:pPr>
              <w:jc w:val="center"/>
              <w:ind w:left="470"/>
              <w:spacing w:after="0"/>
              <w:rPr>
                <w:sz w:val="20"/>
                <w:szCs w:val="20"/>
                <w:color w:val="auto"/>
              </w:rPr>
            </w:pPr>
            <w:r>
              <w:rPr>
                <w:rFonts w:ascii="Times New Roman" w:cs="Times New Roman" w:eastAsia="Times New Roman" w:hAnsi="Times New Roman"/>
                <w:sz w:val="18"/>
                <w:szCs w:val="18"/>
                <w:color w:val="auto"/>
              </w:rPr>
              <w:t>2.52</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99.98836%</w:t>
            </w:r>
          </w:p>
        </w:tc>
        <w:tc>
          <w:tcPr>
            <w:tcW w:w="28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Aa3</w:t>
            </w:r>
          </w:p>
        </w:tc>
        <w:tc>
          <w:tcPr>
            <w:tcW w:w="2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A</w:t>
            </w:r>
          </w:p>
        </w:tc>
      </w:tr>
      <w:tr>
        <w:trPr>
          <w:trHeight w:val="216"/>
        </w:trPr>
        <w:tc>
          <w:tcPr>
            <w:tcW w:w="1640" w:type="dxa"/>
            <w:vAlign w:val="bottom"/>
            <w:gridSpan w:val="2"/>
          </w:tcPr>
          <w:p>
            <w:pPr>
              <w:jc w:val="center"/>
              <w:ind w:right="860"/>
              <w:spacing w:after="0"/>
              <w:rPr>
                <w:sz w:val="20"/>
                <w:szCs w:val="20"/>
                <w:color w:val="auto"/>
              </w:rPr>
            </w:pPr>
            <w:r>
              <w:rPr>
                <w:rFonts w:ascii="Times New Roman" w:cs="Times New Roman" w:eastAsia="Times New Roman" w:hAnsi="Times New Roman"/>
                <w:sz w:val="18"/>
                <w:szCs w:val="18"/>
                <w:color w:val="auto"/>
              </w:rPr>
              <w:t>D</w:t>
            </w: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$ 48.670</w:t>
            </w:r>
          </w:p>
        </w:tc>
        <w:tc>
          <w:tcPr>
            <w:tcW w:w="66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5.20%</w:t>
            </w:r>
          </w:p>
        </w:tc>
        <w:tc>
          <w:tcPr>
            <w:tcW w:w="320" w:type="dxa"/>
            <w:vAlign w:val="bottom"/>
          </w:tcPr>
          <w:p>
            <w:pPr>
              <w:spacing w:after="0"/>
              <w:rPr>
                <w:sz w:val="18"/>
                <w:szCs w:val="18"/>
                <w:color w:val="auto"/>
              </w:rPr>
            </w:pPr>
          </w:p>
        </w:tc>
        <w:tc>
          <w:tcPr>
            <w:tcW w:w="1040" w:type="dxa"/>
            <w:vAlign w:val="bottom"/>
            <w:gridSpan w:val="3"/>
          </w:tcPr>
          <w:p>
            <w:pPr>
              <w:jc w:val="center"/>
              <w:ind w:left="470"/>
              <w:spacing w:after="0"/>
              <w:rPr>
                <w:sz w:val="20"/>
                <w:szCs w:val="20"/>
                <w:color w:val="auto"/>
              </w:rPr>
            </w:pPr>
            <w:r>
              <w:rPr>
                <w:rFonts w:ascii="Times New Roman" w:cs="Times New Roman" w:eastAsia="Times New Roman" w:hAnsi="Times New Roman"/>
                <w:sz w:val="18"/>
                <w:szCs w:val="18"/>
                <w:color w:val="auto"/>
              </w:rPr>
              <w:t>3.30</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99.98141%</w:t>
            </w:r>
          </w:p>
        </w:tc>
        <w:tc>
          <w:tcPr>
            <w:tcW w:w="28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Baa2</w:t>
            </w:r>
          </w:p>
        </w:tc>
        <w:tc>
          <w:tcPr>
            <w:tcW w:w="2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BBB</w:t>
            </w:r>
          </w:p>
        </w:tc>
      </w:tr>
      <w:tr>
        <w:trPr>
          <w:trHeight w:val="234"/>
        </w:trPr>
        <w:tc>
          <w:tcPr>
            <w:tcW w:w="1640" w:type="dxa"/>
            <w:vAlign w:val="bottom"/>
            <w:gridSpan w:val="2"/>
          </w:tcPr>
          <w:p>
            <w:pPr>
              <w:jc w:val="center"/>
              <w:ind w:right="860"/>
              <w:spacing w:after="0"/>
              <w:rPr>
                <w:sz w:val="20"/>
                <w:szCs w:val="20"/>
                <w:color w:val="auto"/>
              </w:rPr>
            </w:pPr>
            <w:r>
              <w:rPr>
                <w:rFonts w:ascii="Times New Roman" w:cs="Times New Roman" w:eastAsia="Times New Roman" w:hAnsi="Times New Roman"/>
                <w:sz w:val="18"/>
                <w:szCs w:val="18"/>
                <w:color w:val="auto"/>
                <w:w w:val="90"/>
              </w:rPr>
              <w:t>E</w:t>
            </w: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$ 72.720</w:t>
            </w:r>
          </w:p>
        </w:tc>
        <w:tc>
          <w:tcPr>
            <w:tcW w:w="66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7.14%</w:t>
            </w:r>
          </w:p>
        </w:tc>
        <w:tc>
          <w:tcPr>
            <w:tcW w:w="320" w:type="dxa"/>
            <w:vAlign w:val="bottom"/>
          </w:tcPr>
          <w:p>
            <w:pPr>
              <w:spacing w:after="0"/>
              <w:rPr>
                <w:sz w:val="20"/>
                <w:szCs w:val="20"/>
                <w:color w:val="auto"/>
              </w:rPr>
            </w:pPr>
          </w:p>
        </w:tc>
        <w:tc>
          <w:tcPr>
            <w:tcW w:w="1040" w:type="dxa"/>
            <w:vAlign w:val="bottom"/>
            <w:gridSpan w:val="3"/>
          </w:tcPr>
          <w:p>
            <w:pPr>
              <w:jc w:val="center"/>
              <w:ind w:left="470"/>
              <w:spacing w:after="0"/>
              <w:rPr>
                <w:sz w:val="20"/>
                <w:szCs w:val="20"/>
                <w:color w:val="auto"/>
              </w:rPr>
            </w:pPr>
            <w:r>
              <w:rPr>
                <w:rFonts w:ascii="Times New Roman" w:cs="Times New Roman" w:eastAsia="Times New Roman" w:hAnsi="Times New Roman"/>
                <w:sz w:val="18"/>
                <w:szCs w:val="18"/>
                <w:color w:val="auto"/>
              </w:rPr>
              <w:t>4.04</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99.96652%</w:t>
            </w:r>
          </w:p>
        </w:tc>
        <w:tc>
          <w:tcPr>
            <w:tcW w:w="280" w:type="dxa"/>
            <w:vAlign w:val="bottom"/>
          </w:tcPr>
          <w:p>
            <w:pPr>
              <w:spacing w:after="0"/>
              <w:rPr>
                <w:sz w:val="20"/>
                <w:szCs w:val="20"/>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NR</w:t>
            </w:r>
          </w:p>
        </w:tc>
        <w:tc>
          <w:tcPr>
            <w:tcW w:w="24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BB</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coupon on the notes is approximately 5.51%.</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2026-B transaction has initial credit enhancement consisting of a cash deposit equal to 1.00% of the original receivable pool balance and overcollateralization of 2.30%. The transaction agreements require accelerated payment of principal on the notes to reach overcollateralization of the lesser of 7.70% of the original receivable pool balance, or 19.20% of the then outstanding pool balance.</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transaction was a private offering of securities, not registered under the Securities Act of 1933, or any state securities law. All such securities having been sold, this announcement of their sale appears as a matter of record only.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About Consumer Portfolio Services, Inc.</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Consumer Portfolio Services, Inc. is an independent specialty finance company that provides indirect automobile financing to individuals with past credit problems or limited credit histories. We purchase retail installment sales contracts primarily from franchised automobile dealerships secured by late model used vehicles and, to a lesser extent, new vehicles. We fund these contract purchases on a long-term basis primarily through the securitization markets and service the contracts over their lives.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Investor Relations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Danny Bharwani, Chief Financial Officer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949-753-6811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2026-04-24T16:25:53Z</dcterms:created>
  <dcterms:modified xsi:type="dcterms:W3CDTF">2026-04-24T16:25:53Z</dcterms:modified>
</cp:coreProperties>
</file>