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cps_idef14a.htm"/>
      <w:bookmarkStart w:id="1" w:name="kscps_idef14a"/>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xdx_902_edei--DocumentType_dxL_c20250101"/>
      <w:bookmarkEnd w:id="2"/>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165"/>
        <w:gridCol w:w="3635"/>
      </w:tblGrid>
      <w:tr>
        <w:trPr/>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 240.14a-12</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3" w:name="xdx_908_edei--EntityRegistrantName_c2025"/>
      <w:bookmarkEnd w:id="3"/>
      <w:r>
        <w:rPr>
          <w:rFonts w:ascii="Times New Roman;Times;Serif" w:hAnsi="Times New Roman;Times;Serif"/>
          <w:b/>
          <w:i w:val="false"/>
          <w:caps w:val="false"/>
          <w:smallCaps w:val="false"/>
          <w:sz w:val="36"/>
        </w:rPr>
        <w:t>CONSUMER PORTFOLIO SERVICES,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bl>
    <w:p>
      <w:pPr>
        <w:pStyle w:val="TextBody"/>
        <w:bidi w:val="0"/>
        <w:ind w:left="2029" w:right="2049" w:hanging="0"/>
        <w:jc w:val="center"/>
        <w:rPr>
          <w:caps w:val="false"/>
          <w:smallCaps w:val="false"/>
        </w:rPr>
      </w:pPr>
      <w:r>
        <w:rPr>
          <w:caps w:val="false"/>
          <w:smallCaps w:val="false"/>
        </w:rPr>
        <w:t> </w:t>
      </w:r>
    </w:p>
    <w:p>
      <w:pPr>
        <w:pStyle w:val="TextBody"/>
        <w:bidi w:val="0"/>
        <w:ind w:left="2029" w:right="2049" w:hanging="0"/>
        <w:jc w:val="center"/>
        <w:rPr>
          <w:caps w:val="false"/>
          <w:smallCaps w:val="false"/>
        </w:rPr>
      </w:pPr>
      <w:r>
        <w:rPr>
          <w:caps w:val="false"/>
          <w:smallCaps w:val="false"/>
        </w:rPr>
        <w:t> </w:t>
      </w:r>
    </w:p>
    <w:p>
      <w:pPr>
        <w:pStyle w:val="TextBody"/>
        <w:bidi w:val="0"/>
        <w:ind w:left="2029" w:right="2049" w:hanging="0"/>
        <w:jc w:val="center"/>
        <w:rPr>
          <w:caps w:val="false"/>
          <w:smallCaps w:val="false"/>
        </w:rPr>
      </w:pPr>
      <w:r>
        <w:rPr>
          <w:caps w:val="false"/>
          <w:smallCaps w:val="false"/>
        </w:rPr>
        <w:t> </w:t>
      </w:r>
    </w:p>
    <w:p>
      <w:pPr>
        <w:pStyle w:val="TextBody"/>
        <w:bidi w:val="0"/>
        <w:ind w:left="2029" w:right="2049"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2029" w:right="2049" w:hanging="0"/>
        <w:jc w:val="center"/>
        <w:rPr>
          <w:caps w:val="false"/>
          <w:smallCaps w:val="false"/>
        </w:rPr>
      </w:pPr>
      <w:r>
        <w:rPr>
          <w:caps w:val="false"/>
          <w:smallCaps w:val="false"/>
        </w:rPr>
        <w:t> </w:t>
      </w:r>
    </w:p>
    <w:p>
      <w:pPr>
        <w:pStyle w:val="TextBody"/>
        <w:bidi w:val="0"/>
        <w:ind w:left="2029" w:right="204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 OF</w:t>
      </w:r>
    </w:p>
    <w:p>
      <w:pPr>
        <w:pStyle w:val="TextBody"/>
        <w:bidi w:val="0"/>
        <w:ind w:left="2679" w:right="269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ind w:left="2028" w:right="204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 Howard Hughes Parkway, Suite 1400, Las Vegas, Nevada 89169</w:t>
      </w:r>
    </w:p>
    <w:p>
      <w:pPr>
        <w:pStyle w:val="TextBody"/>
        <w:bidi w:val="0"/>
        <w:ind w:left="2028" w:right="204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949-753-6800</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of the shareholders of Consumer Portfolio Services, Inc. (the “Company”) will be held at 10:00 a.m., local time, on </w:t>
      </w:r>
      <w:r>
        <w:rPr>
          <w:rFonts w:ascii="Times New Roman;Times;Serif" w:hAnsi="Times New Roman;Times;Serif"/>
          <w:b/>
          <w:i w:val="false"/>
          <w:caps w:val="false"/>
          <w:smallCaps w:val="false"/>
          <w:sz w:val="20"/>
        </w:rPr>
        <w:t>Tuesday, October 27, 2026,</w:t>
      </w:r>
      <w:r>
        <w:rPr>
          <w:rFonts w:ascii="Times New Roman;Times;Serif" w:hAnsi="Times New Roman;Times;Serif"/>
          <w:b w:val="false"/>
          <w:i w:val="false"/>
          <w:caps w:val="false"/>
          <w:smallCaps w:val="false"/>
          <w:sz w:val="20"/>
        </w:rPr>
        <w:t xml:space="preserve"> at the Company’s Nevada office at 3800 Howard Hughes Parkway, Suite 1400, Las Vegas, Nevada 89169, for the following purposes:</w:t>
      </w:r>
    </w:p>
    <w:p>
      <w:pPr>
        <w:pStyle w:val="TextBody"/>
        <w:bidi w:val="0"/>
        <w:ind w:left="399" w:right="416"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elect directors named in the accompanying proxy statement to the Company’s Board of Directors each for a one-year term.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ratify the appointment of Crowe LLP as the Company’s independent auditors for the fiscal year ending December 31, 2026.</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approve an advisory resolution on named executive officer compensation.</w:t>
            </w:r>
          </w:p>
        </w:tc>
      </w:tr>
    </w:tbl>
    <w:p>
      <w:pPr>
        <w:pStyle w:val="TextBody"/>
        <w:bidi w:val="0"/>
        <w:ind w:left="400" w:right="595" w:hanging="0"/>
        <w:jc w:val="left"/>
        <w:rPr>
          <w:caps w:val="false"/>
          <w:smallCaps w:val="false"/>
        </w:rPr>
      </w:pPr>
      <w:r>
        <w:rPr>
          <w:caps w:val="false"/>
          <w:smallCaps w:val="false"/>
        </w:rPr>
        <w:t> </w:t>
      </w:r>
    </w:p>
    <w:p>
      <w:pPr>
        <w:pStyle w:val="TextBody"/>
        <w:bidi w:val="0"/>
        <w:ind w:left="595" w:right="5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will also transact such other business as may properly come before the Company’s 2026 annual meeting of shareholders. Only shareholders of record at the close of business on Monday, September 21, 2026 are entitled to notice of and to vote at the meeting.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attend the meeting in person, please complete, date, and sign the enclosed proxy exactly as your name appears thereon and promptly return it in the envelope provided, which requires no postage if mailed in the United States. Proxies may be revoked at any time and, if you attend the meeting in person, your executed proxy will be returned to you upon request.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Rayhill, Secretary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30,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ANNUAL MEETING OF SHAREHOLDERS TO BE HELD ON OCTOBER 27,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Proxy Statement and Annual Report to Shareholders for the fiscal year ended December 31, 2025 are available at www.consumerportfolio.com/AnnualMeeting2026.html.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REGARDLESS OF THE NUMBER OF SHARES YOU OWN. WHETHER OR NOT YOU PLAN TO ATTEND THE ANNUAL MEETING, YOU ARE URGED TO VOTE BY COMPLETING, SIGNING, DATING AND RETURNING THE PROXY CARD IN THE PRE-ADDRESSED RETURN ENVELOPE PROVIDED. IF GIVEN, YOU MAY REVOKE YOUR PROXY BY FOLLOWING THE INSTRUCTIONS IN THE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 Howard Hughes Parkway, Suite 1400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89169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949-753-6800</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MEETING OF SHAREHOLDERS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OCTOBER 27,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ind w:left="2029" w:right="2049" w:hanging="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in connection with the solicitation of proxies by the Board of Directors (the “Board”) of Consumer Portfolio Services, Inc. (the “Company” or “CPS”) for use at the annual meeting of the shareholders and any adjournments or postponements thereof (the “Annual Meeting”) scheduled to be held at 10:00 A.M. local time on Tuesday, October 27, 2026 at the Company’s office at 3800 Howard Hughes Parkway, Suite 1400, Las Vegas, Nevada 89169.</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represented by properly executed proxies received in time will be voted at the Annual Meeting and, where the manner of voting is specified on the proxy, will be voted in accordance with such specifications. Any shareholder who executes and returns a proxy may revoke it at any time prior to the voting of the proxy by giving written notice to the Secretary of the Company, by executing a later-dated proxy, or by attending the meeting and giving oral notice of revocation to the Secretary of the Company.</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Monday, September 21, 2026, as the record date (“Record Date”) for determining the holders of outstanding shares of the Company’s Common Stock, without par value (“CPS Common Stock”) entitled to notice of, and to vote at the Annual Meeting. On that date, there were 21,905,185 shares of CPS Common Stock issued and outstanding. Each such share of CPS Common Stock is entitled to one vote on all matters to be voted upon at the meeting, except that holders of CPS Common Stock have the right to cumulative voting in the election of directors, as described herein under the heading “Voting of Shares.”</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Annual Meeting, this proxy statement, the 2025 Annual Report and the form of proxy are first being mailed to shareholders of the Company on or about October 1, 2026. The Company will pay the expenses incurred in connection with the solicitation of proxies. The proxies are being solicited principally by mail. In addition, directors, officers and regular employees of the Company may solicit proxies personally or by telephone, for which they will receive no payment other than their regular compensation. The Company will also request brokerage houses, nominees, custodians and fiduciaries to forward soliciting material to the beneficial owners of CPS Common Stock and will reimburse such persons for their expenses so incurred.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ANSWERS ABOUT THIS PROXY STATEMENT AND ANNUAL MEETING</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IS THIS PROXY STATEMENT AND WHY AM I RECEIVING IT?</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are receiving this proxy statement in connection with an annual meeting of shareholders called by our Board in connection with soliciting shareholder votes for the purpose of (i) electing directors named in this proxy to the Board, each for a one-year term; (ii) ratifying the appointment of Crowe LLP as the Company’s independent auditors for the fiscal year ending December 31, 2026; and (iii) approving an advisory resolution on named executive officer compensation, in each case, as more fully described in this proxy statement. Shareholders may also transact such other business as may properly come before the Annual Meeting. You have been sent this proxy statement and the enclosed proxy card because our Board is soliciting your proxy to vote at the Annual Meeting called for the purpose of voting on the foregoing matters.</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INFORMATION IS CONTAINED IN THIS PROXY STATEMENT?</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information included in this proxy statement relates to the proposals to be voted on at the Annual Meeting, the voting process, compensation of our directors and most highly paid executive officers, and certain other information required under the Securities and Exchange Act of 1934, as amended (the “Exchange Act”).</w:t>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WHO IS ENTITLED TO VOTE AT THE ANNUAL MEETING, AND WHAT VOTE IS REQUIRED TO APPROVE THE PROPOSALS?</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has fixed the close of business on September 21, 2026, as the Record Date for determining the holders of outstanding shares of CPS Common Stock entitled to notice of, and to vote at the Annual Meeting. As of the Record Date, there were 21,905,185 shares of CPS Common Stock issued and outstanding. Each such share of CPS Common Stock is entitled to one vote on all matters to be voted upon at the Annual Meeting, except that holders of CPS Common Stock have the right to cumulative voting in the election of directors, as described in this proxy statement under the heading “Voting of Shares.” In order to approve each proposal, a quorum (a majority of outstanding shares of CPS Common Stock) must be present and (other than with respect to election of directors) a majority of all of the votes cast on the proposal at the Annual Meeting must be cast in favor of the proposal, which favorable votes cast must exceed 25% of the outstanding shares. Directors are elected by plurality vote. Abstentions and broker non-votes will not be counted as “votes cast” and will have no effect on the result of the vote, although they will count toward the presence of a quorum.</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DOES THE BOARD RECOMMEND THAT I VOTE?</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Our Board recommends that you vote</w:t>
      </w:r>
    </w:p>
    <w:p>
      <w:pPr>
        <w:pStyle w:val="TextBody"/>
        <w:bidi w:val="0"/>
        <w:ind w:left="550" w:right="55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w:t>
            </w:r>
            <w:r>
              <w:rPr>
                <w:rFonts w:ascii="Times New Roman;Times;Serif" w:hAnsi="Times New Roman;Times;Serif"/>
                <w:sz w:val="20"/>
              </w:rPr>
              <w:t>FOR” each of the nine nominees for election as directors (Proposal One)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w:t>
            </w:r>
            <w:r>
              <w:rPr/>
              <w:t>FOR” the ratification of the appointment of Crowe LLP as the Company’s independent auditors for the fiscal year ending December 31, 2026 (Proposal Two)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w:t>
            </w:r>
            <w:r>
              <w:rPr/>
              <w:t>FOR” the approval, on an advisory basis, of named executive officer compensation (Proposal Three)</w:t>
            </w:r>
          </w:p>
        </w:tc>
      </w:tr>
    </w:tbl>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MAY I VOTE ON THE PROPOSALS IF I OWN SHARES IN MY OWN NAME?</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own your shares in your own name, you may vote on the proposals presented in this proxy statement, whether or not you plan to attend the Annual Meeting, by completing, signing and dating the accompanying proxy card and returning it in the enclosed postage-prepaid envelope. It is important that you vote your shares whether or not you attend the Annual Meeting in person. Any proxy that is returned using the form of proxy enclosed and which is not marked as to a particular item will be voted “FOR” the election of the nominees for director named herein; “FOR” the ratification of the appointment of Crowe LLP as the Company’s independent auditors for the fiscal year ending December 31, 2026; “FOR” the approval, on an advisory basis, of named executive officer compensation, and such proxy will also be deemed to grant discretionary authority to vote upon any other matters properly coming before the Annual Meeting.</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MAY I VOTE ON THE PROPOSALS IF MY SHARES ARE HELD IN “STREET NAME” BY MY BROKER, BANK OR OTHER NOMINEE?</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your shares are held in “street name” through a broker, bank or other nominee, under certain circumstances the nominee may vote your shares. Brokers, banks, or other nominees have authority to vote shares for which their customers do not provide voting instructions on certain “routine” matters. The ratification of an accounting firm is an example of a routine matter. If you do not provide voting instructions to your brokers, banks, or other nominees, the broker, bank, or other nominee may either: (1) vote your shares on routine matters, or (2) leave your shares unvoted. We encourage you to provide instructions to your broker, bank, or other nominee by signing and returning your voting instruction card provided by such broker, bank, or other nominee. This ensures your shares will be voted at the Annual Meeting. When a broker, bank, or other nominee votes its customers’ unvoted shares on routine matters, these shares are counted for purposes of establishing a quorum to conduct business at the Annual Meeting and determining the outcome of the vote on routine matters.</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CAN I CHANGE MY MIND AND REVOKE MY PROXY?</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Yes. Any shareholder who executes and returns a proxy may revoke it at any time prior to the voting of the proxy by giving written notice to the Secretary of the Company, by executing a later-dated proxy, or by attending the meeting and giving oral notice of revocation to the Secretary of the Company. If your shares are held in “street name” through a broker, bank or other nominee, please contact them for information on how to revoke your voting instructions.</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CAN I VOTE MY SHARES IN PERSON?</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Yes. The Annual Meeting is open to all holders of CPS Common Stock as of the Record Date. To vote in person, you will need to attend the Annual Meeting and bring with you evidence of your stock ownership. If your shares are registered directly in your name, you will need to bring valid government-issued identification. </w:t>
      </w:r>
      <w:r>
        <w:rPr>
          <w:rFonts w:ascii="Times New Roman;Times;Serif" w:hAnsi="Times New Roman;Times;Serif"/>
          <w:b/>
          <w:i w:val="false"/>
          <w:caps w:val="false"/>
          <w:smallCaps w:val="false"/>
          <w:sz w:val="20"/>
        </w:rPr>
        <w:t>If your shares are held in the name of your broker, bank or another nominee</w:t>
      </w:r>
      <w:r>
        <w:rPr>
          <w:rFonts w:ascii="Times New Roman;Times;Serif" w:hAnsi="Times New Roman;Times;Serif"/>
          <w:b w:val="false"/>
          <w:i w:val="false"/>
          <w:caps w:val="false"/>
          <w:smallCaps w:val="false"/>
          <w:sz w:val="20"/>
        </w:rPr>
        <w:t>, you will need to obtain and bring with you a “legal proxy” from your broker, bank or nominee, and bring evidence of your stock ownership, together with valid identification.</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 I HAVE DISSENTERS’ RIGHTS?</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There are no “dissenters’ rights” applicable to any of the proposals presented in this proxy statement.</w:t>
      </w:r>
    </w:p>
    <w:p>
      <w:pPr>
        <w:pStyle w:val="TextBody"/>
        <w:bidi w:val="0"/>
        <w:ind w:left="550" w:right="55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WHO IS PAYING FOR THIS PROXY SOLICITATION?</w:t>
      </w:r>
    </w:p>
    <w:p>
      <w:pPr>
        <w:pStyle w:val="TextBody"/>
        <w:bidi w:val="0"/>
        <w:ind w:left="550" w:right="55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Our Board is making this solicitation, and we will pay the entire cost of preparing, assembling, printing, mailing and distributing these proxy materials. In addition to the mailing of these proxy materials, the solicitation of proxies or votes may be made in person, by telephone or by electronic communications by our directors, officers and regular employees, who will not receive any additional compensation for such solicitation activities. We will also reimburse brokerage houses and other custodians, nominees and fiduciaries for their reasonable out-of-pocket expenses for forwarding proxy and solicitation materials to shareholders.</w:t>
      </w:r>
    </w:p>
    <w:p>
      <w:pPr>
        <w:pStyle w:val="TextBody"/>
        <w:bidi w:val="0"/>
        <w:ind w:left="622" w:right="622" w:hanging="0"/>
        <w:jc w:val="left"/>
        <w:rPr>
          <w:caps w:val="false"/>
          <w:smallCaps w:val="false"/>
        </w:rPr>
      </w:pPr>
      <w:r>
        <w:rPr>
          <w:caps w:val="false"/>
          <w:smallCaps w:val="false"/>
        </w:rPr>
        <w:t> </w:t>
      </w:r>
    </w:p>
    <w:p>
      <w:pPr>
        <w:pStyle w:val="TextBody"/>
        <w:bidi w:val="0"/>
        <w:ind w:left="622" w:right="622" w:hanging="0"/>
        <w:jc w:val="left"/>
        <w:rPr>
          <w:caps w:val="false"/>
          <w:smallCaps w:val="false"/>
        </w:rPr>
      </w:pPr>
      <w:r>
        <w:rPr>
          <w:caps w:val="false"/>
          <w:smallCaps w:val="false"/>
        </w:rPr>
        <w:t> </w:t>
      </w:r>
    </w:p>
    <w:p>
      <w:pPr>
        <w:pStyle w:val="TextBody"/>
        <w:bidi w:val="0"/>
        <w:ind w:left="622" w:right="622"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ELECTION OF DIRECTORS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individuals named below have been nominated for election as directors of the Company at the Annual Meeting, and each has consented to be named in this proxy statement and agreed to serve as a director if elected. Except as described elsewhere in this proxy statement, there are no family relationships among any of our directors, director nominees or executive officers. Except as described elsewhere in this proxy statement, there are no arrangements or understandings between any of our directors or executive officers and any other person pursuant to which any person was selected as a director or executive officer. Except as described elsewhere in this proxy statement, none of our directors, director nominees, executive officers or any of their associates has any substantial interest, direct or indirect, by security holdings or otherwise, in any matter to be acted upon at the Annual Meeting, other than elections to office. There are no material proceedings in which any of our directors, executive officers or affiliates of the Company, any owner of record or beneficially of more than five percent of any class of voting securities of the Company, or any associate of any such director, executive officer, affiliate of the Company, or security holder is a party adverse to the Company or has a material interest adverse to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elected annually. Each director serves until the next annual meeting of shareholders and until his or her successor is duly elected and qualified, or until such director’s earlier resignation, retirement or other termination of service. The names of the nominees, their principal occupations, and certain other information regarding them are set forth below.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Charles E. Bradley, Jr</w:t>
      </w:r>
      <w:r>
        <w:rPr>
          <w:rFonts w:ascii="Times New Roman;Times;Serif" w:hAnsi="Times New Roman;Times;Serif"/>
          <w:b w:val="false"/>
          <w:i w:val="false"/>
          <w:caps w:val="false"/>
          <w:smallCaps w:val="false"/>
          <w:sz w:val="20"/>
        </w:rPr>
        <w:t>., 66, has been the Company’s Chief Executive Officer since January 1992, a director since the Company’s formation in March 1991, and was elected Chairman of the Board in July 2001. Prior to that he was President of the Company from March 1991 to December 2022. From April 1989 to November 1990, he served as Chief Operating Officer of Barnard and Company, a private investment firm. From September 1987 to March 1989, Mr. Bradley was an associate of The Harding Group, a private investment banking firm. Having been with the Company since its inception, Mr. Bradley brings comprehensive knowledge of the Company’s business, structure, history and culture to the Board and the Chairman position.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Scott W. Carnahan</w:t>
      </w:r>
      <w:r>
        <w:rPr>
          <w:rFonts w:ascii="Times New Roman;Times;Serif" w:hAnsi="Times New Roman;Times;Serif"/>
          <w:b w:val="false"/>
          <w:i w:val="false"/>
          <w:caps w:val="false"/>
          <w:smallCaps w:val="false"/>
          <w:sz w:val="20"/>
        </w:rPr>
        <w:t>, 72, has been a director of the Company since February 18, 2026. Mr. Carnahan was appointed as a director of the Company by the Company’s Board of Directors to fill the vacancy on the board created by a director resignation. Mr. Carnahan has served as a Senior Advisor to FTI Consulting, Inc., a global business advisory firm, since April 2023, having previously served as a Senior Managing Director from May 2014 through March 2023. Mr. Carnahan previously served as a Partner at KPMG LLP (“KPMG”) from 1982 to 2007, where he led the firm’s structured finance practice and assisted in the issuance of more than $2 trillion in structured finance transactions, and served as National Director of KPMG’s Advisory Services overseeing major audit and consulting engagements nationwide. Mr. Carnahan is a Certified Public Accountant with a focus on financial institutions. He has served as acting Chief Financial Officer of a publicly traded mortgage company and as President of a national mortgage lender. Mr. Carnahan is a Trustee on the Board of PennyMac Investment Trust since 2009. Mr. Carnahan brings to the Board more than 40 years of accounting, consulting, regulatory compliance, and executive leadership experience in the financial institutions sector.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Stephen H. Deckoff, </w:t>
      </w:r>
      <w:r>
        <w:rPr>
          <w:rFonts w:ascii="Times New Roman;Times;Serif" w:hAnsi="Times New Roman;Times;Serif"/>
          <w:b w:val="false"/>
          <w:i w:val="false"/>
          <w:caps w:val="false"/>
          <w:smallCaps w:val="false"/>
          <w:sz w:val="20"/>
        </w:rPr>
        <w:t>60, has been a director of the Company since August 2022. Mr. Deckoff has been the Managing Principal of Black Diamond Capital Management, L.L.C. (“Black Diamond”), a privately held alternative asset management firm, since its founding in 1995. In that capacity, he is responsible for all portfolio management and business operations. Prior to 1995, Mr. Deckoff was a Senior Vice President of Kidder, Peabody &amp; Co. Inc. (“Kidder”) and head of its Structured Finance Group. Prior to joining Kidder, Mr. Deckoff was a Managing Director in the Structured Finance Group at Bear Stearns &amp; Co., Inc. (“Bear Stearns”). Before joining Bear Stearns, Mr. Deckoff worked in the Structured Finance Department of Chemical Securities, Inc. and the Fixed Income Research Department at Drexel Burnham Lambert. In June 2023, Mr. Deckoff joined the Board of KVH Industries, Inc., a publicly traded company providing connectivity solutions to primarily maritime customers globally. Mr. Deckoff brings to the Board his extensive financial experience and expertise.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Louis M. Grasso</w:t>
      </w:r>
      <w:r>
        <w:rPr>
          <w:rFonts w:ascii="Times New Roman;Times;Serif" w:hAnsi="Times New Roman;Times;Serif"/>
          <w:b w:val="false"/>
          <w:i w:val="false"/>
          <w:caps w:val="false"/>
          <w:smallCaps w:val="false"/>
          <w:sz w:val="20"/>
        </w:rPr>
        <w:t>, 80, has been a director of the Company since October 2019. Mr. Grasso was the founder and majority owner of PFC Corporation (“PFC”) until his retirement in November 2011, upon sale of PFC’s portfolio of assets to Capstone Realty Advisors. Over a period of 35 years, PFC Corporation originated over $1.8 billion of mortgage loans, and issued $1.8 billion of mortgage-backed securities. He brings to the Board knowledge and experience bearing in particular on the Company’s strategies for meeting its capital requirements, and broad organizational and management skills.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William W. Grounds</w:t>
      </w:r>
      <w:r>
        <w:rPr>
          <w:rFonts w:ascii="Times New Roman;Times;Serif" w:hAnsi="Times New Roman;Times;Serif"/>
          <w:b w:val="false"/>
          <w:i w:val="false"/>
          <w:caps w:val="false"/>
          <w:smallCaps w:val="false"/>
          <w:sz w:val="20"/>
        </w:rPr>
        <w:t>, 70, has been a director of the Company since December 2021. From 2008 to 2021, he was the President and COO of Infinity World Development Corp., which is a subsidiary of a sovereign wealth fund in the United Arab Emirates. The principal business of Infinity World Development Corp was a $5 billion investment in the CityCenter mixed use integrated resort property located in Las Vegas, Nevada. Mr. Grounds served on the board of MGM Resorts International, a publicly traded hospitality and entertainment company, from 2013 to 2021 and of Remark Holdings Inc., a technology company, from 2013 to 2019. Mr. Grounds served on the Board of PointsBet Holdings Limited, an Australian sports wagering operator and iGaming provider from December 2022 to October 2025. In June 2023, Mr. Grounds was appointed to the Board of the GCGRA, the national gaming regulator of the UAE. During his career he has held senior executive positions in major real estate private equity investment, development and construction entities. Mr. Grounds brings to the Board experience as a director of publicly-traded companies, and skills in investment and general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Brian J. Rayhill</w:t>
      </w:r>
      <w:r>
        <w:rPr>
          <w:rFonts w:ascii="Times New Roman;Times;Serif" w:hAnsi="Times New Roman;Times;Serif"/>
          <w:b w:val="false"/>
          <w:i w:val="false"/>
          <w:caps w:val="false"/>
          <w:smallCaps w:val="false"/>
          <w:sz w:val="20"/>
        </w:rPr>
        <w:t>, 63, has been a director of the Company since August 2006. Mr. Rayhill has been a practicing attorney in New York State since 1988 and the managing attorney of the Law Office of Brian Rayhill since 2017. As an experienced advocate, counselor and litigator, Mr. Rayhill brings legal knowledge and perspective to the Company’s Board.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James E. Walker III</w:t>
      </w:r>
      <w:r>
        <w:rPr>
          <w:rFonts w:ascii="Times New Roman;Times;Serif" w:hAnsi="Times New Roman;Times;Serif"/>
          <w:b w:val="false"/>
          <w:i w:val="false"/>
          <w:caps w:val="false"/>
          <w:smallCaps w:val="false"/>
          <w:sz w:val="20"/>
        </w:rPr>
        <w:t>, 64, has been a director of the Company since August 2022. Mr. Walker is President and Senior Managing Director of Black Diamond Capital Management, L.L.C. (“Black Diamond”), where he oversees general management, drives strategic growth, and identifies new investment opportunities. A co-founder of Black Diamond, Mr. Walker rejoined the firm as President in September 2023, bringing extensive leadership and investment experience. Prior to his return to Black Diamond, Mr. Walker served as Managing Partner of Vinson Ventures, LLC, a boutique investment firm. From 2008 until 2017, Mr. Walker was a Managing Partner at Fir Tree Partners, where he co-founded the firm’s distressed real estate funds and chaired the Risk Committee. Following his tenure at Fir Tree, he was a Strategic Partner at Jadian Capital, an alternative investment firm from 2017 to 2021. Throughout his career, Mr. Walker has held numerous board positions. Since November 2017, he has been a board member of Starwood Real Estate Trust, a private real estate investment firm. In June 2023, Mr. Walker joined the board of Emeco, an Australian mining equipment rental company. He was previously on the board of Clarus Corporation, a global company catering to outdoor and consumer enthusiast markets. Mr. Walker began his career in investment banking at Kidder Peabody and Bear Stearns. Mr. Walker brings to the Board his extensive investment management experience.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Gregory S. Washer</w:t>
      </w:r>
      <w:r>
        <w:rPr>
          <w:rFonts w:ascii="Times New Roman;Times;Serif" w:hAnsi="Times New Roman;Times;Serif"/>
          <w:b w:val="false"/>
          <w:i w:val="false"/>
          <w:caps w:val="false"/>
          <w:smallCaps w:val="false"/>
          <w:sz w:val="20"/>
        </w:rPr>
        <w:t>, 65, has been a director of the Company since June 2007. He was the President and owner of Clean Fun Promotional Marketing (“Clean Fun”), a promotional marketing company, from its founding in 1986 through its sale in September 2014. He continued to act as a consultant to Clean Fun through August 2017, and is now retired. Mr. Washer contributes to the Board significant organizational and operational management skills, combined with a wealth of experience in promotion and marketing of services.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Daniel S. Wood</w:t>
      </w:r>
      <w:r>
        <w:rPr>
          <w:rFonts w:ascii="Times New Roman;Times;Serif" w:hAnsi="Times New Roman;Times;Serif"/>
          <w:b w:val="false"/>
          <w:i w:val="false"/>
          <w:caps w:val="false"/>
          <w:smallCaps w:val="false"/>
          <w:sz w:val="20"/>
        </w:rPr>
        <w:t>, 67, has been a director of the Company since July 2001. Mr. Wood was President of Carclo Technical Plastics (“Carclo”), a manufacturer of custom injection moldings, from September 2000 until his retirement in April 2007. Previously, from 1988 to September 2000, he was the Chief Operating Officer and co-owner of Carrera Corporation, the predecessor to the business of Carclo. As President of Carclo, Mr. Wood was responsible for the overall operation of that company and for the quality and integrity of its financial statements. He brings to the Board the knowledge and perspective useful in evaluating the Company’s financial statements, and broad organizational and management skills.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established an Audit Committee, a Compensation Committee, and a Nominating Committee. Each of these three committees operates under a written charter, adopted by the Board. The charters are available on the Company’s website, https://ir.consumerportfolio.com/corporate-governance. The Board has concluded that each member of these three committees (and every director other than Mr. Bradley, the Company’s chief executive officer), is independent in accordance with the director independence standards prescribed by Nasdaq, and has determined that none of them have a material relationship with the Company that would impair their independence from management or otherwise compromise the ability to act as an independent director.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(i) reviewed and discussed the Company’s audited consolidated financial statements for the year ended December 31, 2025 with the Company’s management; (ii) discussed with Crowe LLP (“Crowe”), the Company’s independent auditors for the fiscal year ended December 31, 2025, the matters required to be discussed by the applicable requirements as adopted by the Public Company Accounting Oversight Board (the “PCAOB”) and the Securities and Exchange Commission (the “SEC”), and (iii) received the written disclosures and the letter from Crowe required by applicable requirements of the PCAOB regarding Crowe’s communications with the Audit Committee concerning its independence, and discussed with Crowe its independence. Based on these reviews and discussions, the Audit Committee recommended to the Board that the audited consolidated financial statements for the year ended December 31, 2025 be included in the Company’s annual report on Form 10-K for the fiscal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J. Rayhill (chairman), Louis M. Grasso, Gregory S. Washer, Daniel S. Wood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Audit Committee member is independent as defined under Nasdaq Listing Rules and Rule 10A-3(b)(1) of the Exchange Act. The Audit Committee is empowered by the Board to review the financial books and records of the Company in consultation with the Company’s accounting and auditing staff and its independent auditors and to review with the accounting staff and independent auditors any questions that may arise with respect to accounting and auditing policy and procedure.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further determined that Mr. Wood has the qualifications and experience necessary to serve as an “audit committee financial expert” as such term is defined in Item 407 of Regulation S-K promulgated by the SEC. Mr. Wood, as president of Carclo, was responsible for the preparation and evaluation of the audited financial statements of that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Compensation Committee are Mr. Wood (chairman), Mr. Grounds, and Mr. Grasso. During fiscal year 2025, the Compensation Committee consisted of Mr. Wood (chairman), Mr. Grounds, and Mr. William Roberts. Mr. Roberts served on the Compensation Committee until his resignation as director of the Company on January 30, 2026. The Board has determined that each member of the Compensation Committee is independent under the Nasdaq listing standards and a “non-employee director” as defined in Rule 16b-3 promulgated under the Exchange Act. The Compensation Committee makes determinations as to general levels of compensation for all employees of the Company and the annual salary of each of the executive officers of the Company, and administers the Company’s compensation plans. Those plans include the Company’s Executive Management Bonus Plan and the Company’s 2025 Equity Incentive Plan.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Nominating Committee are Mr. Washer (chairman), Mr. Grounds, and Mr. Rayhill. The Board has determined that each member of the Nominating Committee is independent under the Nasdaq listing standards.  Nominations for Board positions are made on behalf of the Board by the Nominating Committee. The Board and the Nominating Committee believe that it is and remains appropriate to operate without a formal policy with regard to any director candidates who may in the future be recommended by shareholders. The Nominating Committee would consider such recommendations.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a potential nominee, the Nominating Committee considers the benefits to the Company of such nomination, based on the nominee’s skills and experience related to managing a significant business, the willingness and ability of the nominee to serve, and the nominee’s character and reputation. The Company does not have a policy regarding the consideration of diversity in identifying nominees for director.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wish to suggest individuals for possible future consideration for Board positions should direct written correspondence to the Secretary of the Company at the Company’s principal executive office, indicating whether the shareholder wishes to communicate with the Nominating Committee or with the Board as a whole. The present policy of the Company is to forward all such correspondence to the designated members of the Board. There have been no changes in the procedures regarding shareholder recommendations in the past year.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Communications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send communications to the Board. Shareholders who wish to communicate with the Board should direct written correspondence to the Secretary of the Company at the Company’s principal executive office. The present policy of the Company is to forward all such correspondence to the designated members of the Board.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executive officers and holders of in excess of 10% of the Company’s common stock are required to file reports concerning their transactions in and holdings of equity securities of the Company under the Exchange Act.  Based on a review of reports filed by each such person, and inquiry of each regarding holdings and transactions, the Company believes that all reports required with respect to the year 2025 were timely filed, except that: (A) one Form 4 was filed for Steve Schween on May 21, 2025 with respect to a transaction on May 1, 2025, (B) one Form 3 was filed for Noel Jackson on May 30, 2025 with respect to Ms. Jackson becoming an executive officer on May 2, 2025, and (C) one Form 4 was filed for Teri Robinson on February 3, 2026 with respect to a transaction on July 21,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Meetings of the Board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held four meetings during 2025. The Audit Committee met five times during 2025, including at least one meeting per quarter to review the Company’s financial statements, while the Compensation Committee met three times during 2025. The Nominating Committee met once during 2025. Each director attended at least 75% of the meetings of the Board and its committees that such individual was eligible to attend in 2025, except that Mr. Deckoff attended less than 75% of the Board and committee meetings he was eligible to attend in 2025. The Company does not have a policy of encouraging directors to attend or discouraging directors from attending its annual meetings of shareholders. The Chairman and Chief Executive Officer, and no other directors, attended last year’s annual meeting of shareholders.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EACH OF THE NOMINEES ABOVE.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RATIFICATION OF SELECTION OF INDEPENDENT AUDITORS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the accounting firm of Crowe to be the Company’s independent auditors for the year ending December 31, 2026. Crowe also performed the audit of the Company’s financial statements for the years ended December 31, 2008 through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Audit Committee’s appointment of Crowe will be presented to shareholders at the Annual Meeting. If the shareholders do not ratify the selection of Crowe at the Annual Meeting, the Audit Committee will consider selecting another firm of independent public accountants. Representatives of Crowe are expected to be present at the Annual Meeting. Such representatives will have an opportunity to make a statement if they desire to do so, and will be available to respond to appropriate questions from shareholders in attendance.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Auditors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accrued or paid to the Company’s independent registered public accounting firms for the years ended December 31, 2025 and 2024. Crowe has served as the Company’s independent registered public accounting firm since February 2009, and has reported on the Company’s financial statements for the years ended December 31, 2008 through 2025.</w:t>
      </w:r>
    </w:p>
    <w:p>
      <w:pPr>
        <w:pStyle w:val="TextBody"/>
        <w:bidi w:val="0"/>
        <w:jc w:val="left"/>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2735"/>
        <w:gridCol w:w="60"/>
        <w:gridCol w:w="140"/>
        <w:gridCol w:w="980"/>
        <w:gridCol w:w="60"/>
        <w:gridCol w:w="60"/>
        <w:gridCol w:w="140"/>
        <w:gridCol w:w="980"/>
        <w:gridCol w:w="75"/>
      </w:tblGrid>
      <w:tr>
        <w:trPr/>
        <w:tc>
          <w:tcPr>
            <w:tcW w:w="2735" w:type="dxa"/>
            <w:tcBorders>
              <w:bottom w:val="single" w:sz="8" w:space="0" w:color="000000"/>
            </w:tcBorders>
            <w:vAlign w:val="center"/>
          </w:tcPr>
          <w:p>
            <w:pPr>
              <w:pStyle w:val="TableContents"/>
              <w:bidi w:val="0"/>
              <w:spacing w:before="0" w:after="283"/>
              <w:jc w:val="left"/>
              <w:rPr>
                <w:b/>
              </w:rPr>
            </w:pPr>
            <w:r>
              <w:rPr>
                <w:b/>
              </w:rPr>
              <w:t>Audit and Non-Audit Fees</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i/>
              </w:rPr>
            </w:pPr>
            <w:r>
              <w:rPr>
                <w:i/>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i/>
              </w:rPr>
            </w:pPr>
            <w:r>
              <w:rPr>
                <w:i/>
              </w:rPr>
              <w:t>2025</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shd w:fill="EEEEEE" w:val="clear"/>
            <w:tcMar>
              <w:bottom w:w="0" w:type="dxa"/>
            </w:tcMar>
            <w:vAlign w:val="center"/>
          </w:tcPr>
          <w:p>
            <w:pPr>
              <w:pStyle w:val="TableContents"/>
              <w:bidi w:val="0"/>
              <w:spacing w:before="0" w:after="283"/>
              <w:jc w:val="left"/>
              <w:rPr/>
            </w:pPr>
            <w:r>
              <w:rPr/>
              <w:t>Audit Fees (1)</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1,000,000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1,000,000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left"/>
              <w:rPr/>
            </w:pPr>
            <w:r>
              <w:rPr/>
              <w:t>Audit-Related Fees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170,850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EEEEEE" w:val="clear"/>
            <w:tcMar>
              <w:bottom w:w="0" w:type="dxa"/>
            </w:tcMar>
            <w:vAlign w:val="center"/>
          </w:tcPr>
          <w:p>
            <w:pPr>
              <w:pStyle w:val="TableContents"/>
              <w:bidi w:val="0"/>
              <w:spacing w:before="0" w:after="283"/>
              <w:jc w:val="left"/>
              <w:rPr/>
            </w:pPr>
            <w:r>
              <w:rPr/>
              <w:t>Tax Fees (3)</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304,000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305,000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EEEEEE" w:val="clear"/>
            <w:tcMar>
              <w:bottom w:w="0" w:type="dxa"/>
            </w:tcMar>
            <w:vAlign w:val="center"/>
          </w:tcPr>
          <w:p>
            <w:pPr>
              <w:pStyle w:val="TableContents"/>
              <w:bidi w:val="0"/>
              <w:spacing w:before="0" w:after="283"/>
              <w:jc w:val="left"/>
              <w:rPr>
                <w:b/>
              </w:rPr>
            </w:pPr>
            <w:r>
              <w:rPr>
                <w:b/>
              </w:rPr>
              <w:t>TOTAL</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EEEEEE" w:val="clear"/>
            <w:vAlign w:val="center"/>
          </w:tcPr>
          <w:p>
            <w:pPr>
              <w:pStyle w:val="TableContents"/>
              <w:bidi w:val="0"/>
              <w:spacing w:before="0" w:after="283"/>
              <w:jc w:val="left"/>
              <w:rPr/>
            </w:pPr>
            <w:r>
              <w:rPr/>
              <w:t>$</w:t>
            </w:r>
          </w:p>
        </w:tc>
        <w:tc>
          <w:tcPr>
            <w:tcW w:w="980" w:type="dxa"/>
            <w:tcBorders>
              <w:bottom w:val="double" w:sz="6" w:space="0" w:color="000000"/>
            </w:tcBorders>
            <w:shd w:fill="EEEEEE" w:val="clear"/>
            <w:vAlign w:val="center"/>
          </w:tcPr>
          <w:p>
            <w:pPr>
              <w:pStyle w:val="TableContents"/>
              <w:bidi w:val="0"/>
              <w:spacing w:before="0" w:after="283"/>
              <w:jc w:val="right"/>
              <w:rPr/>
            </w:pPr>
            <w:r>
              <w:rPr/>
              <w:t>1,473,300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EEEEEE" w:val="clear"/>
            <w:vAlign w:val="center"/>
          </w:tcPr>
          <w:p>
            <w:pPr>
              <w:pStyle w:val="TableContents"/>
              <w:bidi w:val="0"/>
              <w:spacing w:before="0" w:after="283"/>
              <w:jc w:val="left"/>
              <w:rPr/>
            </w:pPr>
            <w:r>
              <w:rPr/>
              <w:t>$</w:t>
            </w:r>
          </w:p>
        </w:tc>
        <w:tc>
          <w:tcPr>
            <w:tcW w:w="980" w:type="dxa"/>
            <w:tcBorders>
              <w:bottom w:val="double" w:sz="6" w:space="0" w:color="000000"/>
            </w:tcBorders>
            <w:shd w:fill="EEEEEE" w:val="clear"/>
            <w:vAlign w:val="center"/>
          </w:tcPr>
          <w:p>
            <w:pPr>
              <w:pStyle w:val="TableContents"/>
              <w:bidi w:val="0"/>
              <w:spacing w:before="0" w:after="283"/>
              <w:jc w:val="right"/>
              <w:rPr/>
            </w:pPr>
            <w:r>
              <w:rPr/>
              <w:t>1,475,850</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 relate to professional services rendered in connection with the audit of the Company’s annual financial statements and internal control over financial reporting, quarterly review of financial statements included in the Company’s Quarterly Reports on Form 10-Q, and audit services provided in connection with other statutory and regulatory filings.</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 comprise fees for professional services that are reasonably related to the performance of the audit or review of the Company’s financial statements.</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2024 and 2025 tax fees represent services rendered in connection with preparation of state and federal tax returns for the Company and its subsidiaries.</w:t>
            </w:r>
          </w:p>
        </w:tc>
      </w:tr>
    </w:tbl>
    <w:p>
      <w:pPr>
        <w:pStyle w:val="TextBody"/>
        <w:bidi w:val="0"/>
        <w:ind w:left="36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Supervision of Principal Accountant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acts pursuant to a written charter adopted by the Board. Pursuant to the Audit Committee Charter, the Audit Committee pre-approves the audit and permitted non-audit fees to be paid to the independent auditor, and authorizes on behalf of the Company the payment of such fees, or refuses such authorization. The Audit Committee is also empowered to delegate such authority to one or more of its members. The Audit Committee has delegated to its chairman the authority to approve performance of services on an interim basis. In the fiscal years ended December 31, 2025 and December 31, 2024, all services for which audit fees or non-audit fees were paid were preapproved by the Audit Committee as a whole, or pursuant to such delegated authority.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meetings, the Audit Committee has considered whether the provision of the non-audit fees outlined above is compatible with maintaining the independence of the audit firm, and has concluded that such independence is not and was not impaired.</w:t>
      </w:r>
    </w:p>
    <w:p>
      <w:pPr>
        <w:pStyle w:val="TextBody"/>
        <w:bidi w:val="0"/>
        <w:ind w:left="227" w:right="247" w:hanging="0"/>
        <w:jc w:val="center"/>
        <w:rPr>
          <w:caps w:val="false"/>
          <w:smallCaps w:val="false"/>
        </w:rPr>
      </w:pPr>
      <w:r>
        <w:rPr>
          <w:caps w:val="false"/>
          <w:smallCaps w:val="false"/>
        </w:rPr>
        <w:t> </w:t>
      </w:r>
    </w:p>
    <w:p>
      <w:pPr>
        <w:pStyle w:val="TextBody"/>
        <w:bidi w:val="0"/>
        <w:ind w:left="227" w:right="2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RATIFICATION OF THE APPOINTMENT OF CROWE.</w:t>
      </w:r>
    </w:p>
    <w:p>
      <w:pPr>
        <w:pStyle w:val="TextBody"/>
        <w:bidi w:val="0"/>
        <w:ind w:left="227" w:right="247" w:hanging="0"/>
        <w:jc w:val="center"/>
        <w:rPr>
          <w:caps w:val="false"/>
          <w:smallCaps w:val="false"/>
        </w:rPr>
      </w:pPr>
      <w:r>
        <w:rPr>
          <w:caps w:val="false"/>
          <w:smallCaps w:val="false"/>
        </w:rPr>
        <w:t> </w:t>
      </w:r>
    </w:p>
    <w:p>
      <w:pPr>
        <w:pStyle w:val="TextBody"/>
        <w:bidi w:val="0"/>
        <w:ind w:left="227" w:right="247" w:hanging="0"/>
        <w:jc w:val="center"/>
        <w:rPr>
          <w:caps w:val="false"/>
          <w:smallCaps w:val="false"/>
        </w:rPr>
      </w:pPr>
      <w:r>
        <w:rPr>
          <w:caps w:val="false"/>
          <w:smallCaps w:val="false"/>
        </w:rPr>
        <w:t> </w:t>
      </w:r>
    </w:p>
    <w:p>
      <w:pPr>
        <w:pStyle w:val="TextBody"/>
        <w:bidi w:val="0"/>
        <w:ind w:left="227" w:right="247"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227" w:right="247" w:hanging="0"/>
        <w:jc w:val="center"/>
        <w:rPr>
          <w:caps w:val="false"/>
          <w:smallCaps w:val="false"/>
        </w:rPr>
      </w:pPr>
      <w:r>
        <w:rPr>
          <w:caps w:val="false"/>
          <w:smallCaps w:val="false"/>
        </w:rPr>
        <w:t> </w:t>
      </w:r>
    </w:p>
    <w:p>
      <w:pPr>
        <w:pStyle w:val="TextBody"/>
        <w:bidi w:val="0"/>
        <w:ind w:left="227" w:right="2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NON-BINDING VOTE ON NAMED EXECUTIVE OFFICER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(the “Dodd-Frank Act”) and Section 14A of the Securities Exchange Act of 1934, as amended (the “Exchange Act”) enable the shareholders to vote to approve, on an advisory or non-binding basis, the compensation of the Company’s named executive officers as disclosed in accordance with the SEC’s rules in 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below. This proposal, commonly known as a “say-on-pay” proposal, gives the shareholders the opportunity to express their views on the Company’s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The Company’s current policy is to seek such say-on-pay votes annually, at every regular meeting of shareholders.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say-on-pay vote is advisory, and therefore not binding on the Company, the Compensation Committee or the Board. The say-on-pay vote will, however, provide information to the Board and the Compensation Committee regarding investor sentiment about our executive compensation philosophy, policies and practices, which the Compensation Committee will be able to consider when determining executive compensation for the remainder of the current fiscal year and beyond. The Board and its Compensation Committee value the opinions of the shareholders; accordingly, to the extent there is any significant vote against the named executive officer compensation as disclosed in this proxy statement, the Compensation Committee will consider the shareholders’ concerns and evaluate whether any actions are necessary to address those concerns.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2025 Executive Compensation Program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summary of some of the key points of our 2025 executive compensation program: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is simple, comprising generally of base salary, an annual cash bonus pursuant to an incentive plan, and long-term equity incentives in the form of stock options.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Compensation Committee controls all portions of the compensation payable to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Compensation Committee has from time to time exercised its discretion to reduce cash incentives otherwise payable under the bonus plan.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below, for more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information provided above and within 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demonstrates that our executive compensation program was designed appropriately and is working to ensure management’s interests are aligned with our shareholders’ interests to support long-term value creation. We also believe the compensation paid to our executive officers during 2025 was appropriate in light of our financial performance.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ask that our shareholders vote “FOR” the following resolution, which will be presented at the Annual Meeting:</w:t>
      </w:r>
    </w:p>
    <w:p>
      <w:pPr>
        <w:pStyle w:val="TextBody"/>
        <w:bidi w:val="0"/>
        <w:jc w:val="left"/>
        <w:rPr>
          <w:caps w:val="false"/>
          <w:smallCaps w:val="false"/>
        </w:rPr>
      </w:pPr>
      <w:r>
        <w:rPr>
          <w:caps w:val="false"/>
          <w:smallCaps w:val="false"/>
        </w:rPr>
        <w:t> </w:t>
      </w:r>
    </w:p>
    <w:p>
      <w:pPr>
        <w:pStyle w:val="TextBody"/>
        <w:bidi w:val="0"/>
        <w:ind w:left="599" w:right="579"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 including the compensation tables and the other related disclosure.”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ADVISORY (NON-BINDING) VOTE APPROVING NAMED EXECUTIVE OFFICER COMPENSATION.</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Structure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overseeing the management of the Company. Its oversight is aimed at seeing to it that the Company’s business is managed to meet our goals, and that the interests of the shareholders are served.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structure supports the independence of our non-management directors. Our Audit Committee, Compensation Committee and Nominating Committee are each composed solely of independent directors. Our bylaws provide that any two directors have the authority to call meetings of the Board, as do specified officers, including the president and the secretary. To enhance the possible use of that authority by independent directors, the Secretary of the Company is under standing instructions to call a meeting at the instance of any one director. Our Board has chosen not to designate any individual formally as the lead independent director. Each director retains his full oversight responsibility.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E. Bradley, Jr. currently serves as both the Chairman of the Board and our Chief Executive Officer. The Board believes that combining the Chairman and Chief Executive Officer positions is currently the most effective leadership structure given Mr. Bradley’s in-depth knowledge of our business and industry and his demonstrated ability to formulate and implement strategic initiatives. Mr. Bradley is continuously involved in developing and implementing our strategies, working closely with the Company’s other senior executives to seek continued disciplined growth and excellence in operations. His close involvement in management places Mr. Bradley in the best position to decide which business issues require consideration by the independent directors of the Board. In addition, having a combined Chairman and Chief Executive Officer enables us to speak with a unified voice to shareholders, customers and others concerned with our Company. The Board believes that combining the Chief Executive Officer and Chairman roles, as part of a governance structure that includes oversight of management responsibilities by independent directors, provides the preferred system for meeting the requirement that the Company be managed in the best interest of our shareholders.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Oversight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overall responsibility for directing the management of the Company includes risk oversight. The risk oversight function is performed at the Board level, and by the Audit Committee and Compensation Committee.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as a whole in its regular meetings discusses and considers the risk inherent in the existing business of the Company and in proposed initiatives. Because the Company’s business consists of extending consumer credit to individuals believed to be of higher risk than others (sub-prime credit), the assessment of the risk assumed in such extensions of credit is a primary consideration on the part of the Board. Risk oversight is also a key function of the Audit Committee and Compensation Committee.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risk management function performed by the Audit Committee is the ongoing assessment of the credit estimates and allowances periodically recorded in the Company’s books. The Audit Committee reviews that assessment regularly. Other risk assessments performed by the Audit Committee include assessments of contingent liabilities, and of other reserves and allowances.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risk management functions performed by the Compensation Committee are its setting and evaluation of objectives for the Chief Executive Officer, in connection with its administration of the Executive Management Bonus Plan. The Compensation Committee recognizes that the Company’s business of extending subprime credit inherently includes a conflict between growing the business and managing the risk of credit losses: one means to increase the Company’s business is to offer credit on terms that are priced too low for the risk assumed. The Compensation Committee manages that risk by insisting that objectives to grow the business are qualified by a mandate that credit quality be maintained at appropriate levels. To some extent, such risk management is shared with the Audit Committee, which performs the primary oversight of whether credit risk assumed is reflected with adequate allowances in the Company’s financial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Ethics for Senior Financial Officers, which applies to the Company’s Chief Executive Officer, Chief Financial Officer, Controller and others. A copy of the Code of Ethics may be obtained at no charge by written request to the Secretary of the Company at the Company’s principal executive offices.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ages, offices held, tenure, and certain biographical information of each of our executive officers as of September 21,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Charles E. Bradley, Jr</w:t>
      </w:r>
      <w:r>
        <w:rPr>
          <w:rFonts w:ascii="Times New Roman;Times;Serif" w:hAnsi="Times New Roman;Times;Serif"/>
          <w:b w:val="false"/>
          <w:i w:val="false"/>
          <w:caps w:val="false"/>
          <w:smallCaps w:val="false"/>
          <w:sz w:val="20"/>
        </w:rPr>
        <w:t>., 66, has been our Chief Executive Officer since January 1992, a director since our formation in March 1991, and was elected Chairman of the Board of Directors in July 2001. Prior to that he was our President from March 1991 to December 2022. From April 1989 to November 1990, he served as Chief Operating Officer of Barnard and Company, a private investment firm. From September 1987 to March 1989, Mr. Bradley was an associate of The Harding Group, a private investment banking firm. Mr. Bradley does not currently serve on the board of directors of any other publicly-traded companies.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T. Lavin,</w:t>
      </w:r>
      <w:r>
        <w:rPr>
          <w:rFonts w:ascii="Times New Roman;Times;Serif" w:hAnsi="Times New Roman;Times;Serif"/>
          <w:b w:val="false"/>
          <w:i w:val="false"/>
          <w:caps w:val="false"/>
          <w:smallCaps w:val="false"/>
          <w:sz w:val="20"/>
        </w:rPr>
        <w:t> 54, has been President since December 2022, Chief Operating Officer since February 2019, and our Chief Legal Officer since March 2014. Prior to that, he was our Executive Vice President since March 2014, Senior Vice President – General Counsel since March 2013, Senior Vice President and Corporate Counsel since May 2009 and our Vice President- Legal since joining the Company in November of 2001.  Mr. Lavin was previously engaged as an associate at a large law firm and a spin off start up law firm.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Danny Bharwani</w:t>
      </w:r>
      <w:r>
        <w:rPr>
          <w:rFonts w:ascii="Times New Roman;Times;Serif" w:hAnsi="Times New Roman;Times;Serif"/>
          <w:b w:val="false"/>
          <w:i w:val="false"/>
          <w:caps w:val="false"/>
          <w:smallCaps w:val="false"/>
          <w:sz w:val="20"/>
        </w:rPr>
        <w:t>, 58, has been Chief Financial Officer since September 2022 and Executive Vice President – Finance since December 2022. Previously, he was our Senior Vice President – Finance from April 2016 to December 2022 and Vice President – Finance from June 2002 to April 2016. He joined us as Assistant Controller in August 1997. Mr. Bharwani was previously employed as Assistant Controller at The Todd-AO Corporation, from 1989 to 1997.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Riedl, 63,</w:t>
      </w:r>
      <w:r>
        <w:rPr>
          <w:rFonts w:ascii="Times New Roman;Times;Serif" w:hAnsi="Times New Roman;Times;Serif"/>
          <w:b w:val="false"/>
          <w:i w:val="false"/>
          <w:caps w:val="false"/>
          <w:smallCaps w:val="false"/>
          <w:sz w:val="20"/>
        </w:rPr>
        <w:t xml:space="preserve"> rejoined the Company as the Senior Executive Vice President, Chief Risk Officer in August 2025. From 2021 to July 2025, he was Chief Investment Officer at Lobel Financial Corporation, a family-owned auto finance company. Since 2017 he has been a partner at Greendoor Partners, a boutique investment and advisory firm. He initially joined CPS in 2003 through 2015 and held a number of different senior positions within the Company including Chief Operating Officer, Chief Investment Officer, Chief Financial Officer and Senior Vice President of Risk Management. Previously, from 2000 to 2002, Mr. Riedl was a Principal at Northwest Capital Appreciation, a private equity firm. For a year prior to joining Northwest Capital, Mr. Riedl served as Senior Vice President for one of its portfolio companies, SLP Capital. Mr. Riedl was an investment banker for ContiFinancial Services, Jefferies &amp; Company and PaineWebber from 1986 to 1999.</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Teri L. Robinson, </w:t>
      </w:r>
      <w:r>
        <w:rPr>
          <w:rFonts w:ascii="Times New Roman;Times;Serif" w:hAnsi="Times New Roman;Times;Serif"/>
          <w:b w:val="false"/>
          <w:i w:val="false"/>
          <w:caps w:val="false"/>
          <w:smallCaps w:val="false"/>
          <w:sz w:val="20"/>
        </w:rPr>
        <w:t>63, has been Executive Vice President of Sales and Originations since December 2022. Prior to that she was Senior Vice President of Sales and Originations from June 2020 to December 2022 and Senior Vice President of 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Christopher Terry</w:t>
      </w:r>
      <w:r>
        <w:rPr>
          <w:rFonts w:ascii="Times New Roman;Times;Serif" w:hAnsi="Times New Roman;Times;Serif"/>
          <w:b w:val="false"/>
          <w:i w:val="false"/>
          <w:caps w:val="false"/>
          <w:smallCaps w:val="false"/>
          <w:sz w:val="20"/>
        </w:rPr>
        <w:t>, 58, has been Executive Vice President of Risk Management, Systems, and IT since December 2022. Prior to that he was our Senior Vice President of Risk Management, Systems, and IT from October 2018 to December 2022, and Senior Vice President of Risk Management from May 2017 to October 2018. Prior to that, he was our Senior Vice President of 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Michele Baumeister</w:t>
      </w:r>
      <w:r>
        <w:rPr>
          <w:rFonts w:ascii="Times New Roman;Times;Serif" w:hAnsi="Times New Roman;Times;Serif"/>
          <w:b w:val="false"/>
          <w:i w:val="false"/>
          <w:caps w:val="false"/>
          <w:smallCaps w:val="false"/>
          <w:sz w:val="20"/>
        </w:rPr>
        <w:t>, 60, has been Senior Vice President of Originations since June 2023. Prior to that she was the Vice President of Originations from March 2017 to June 2023. She started with the Company in March 1997 as a Loan Processor and held a series of more senior positions within the Originations Department. Ms. Baumeister was previously a personal banker with Western Financial.</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Charles Gonel</w:t>
      </w:r>
      <w:r>
        <w:rPr>
          <w:rFonts w:ascii="Times New Roman;Times;Serif" w:hAnsi="Times New Roman;Times;Serif"/>
          <w:b w:val="false"/>
          <w:i w:val="false"/>
          <w:caps w:val="false"/>
          <w:smallCaps w:val="false"/>
          <w:sz w:val="20"/>
        </w:rPr>
        <w:t>, 46, has been Senior Vice President of Servicing since June 2023. Prior to that he was the Vice President of Collections from March 2015 to June 2023. He joined the Company in March 2008 as a Collections Analyst and transferred into the Risk Management Department in 2010 where he held a sequence of increasingly more responsible positions. Prior to joining CPS, he was a Quality Assurance Analyst with AT&amp;T Wireless.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Noel Jackson, </w:t>
      </w:r>
      <w:r>
        <w:rPr>
          <w:rFonts w:ascii="Times New Roman;Times;Serif" w:hAnsi="Times New Roman;Times;Serif"/>
          <w:b w:val="false"/>
          <w:i w:val="false"/>
          <w:caps w:val="false"/>
          <w:smallCaps w:val="false"/>
          <w:sz w:val="20"/>
        </w:rPr>
        <w:t>55, has been the Senior Vice President of Asset Recovery since May 2025. Prior to that, she was the Vice President of Asset Recovery from December 2021 to May 2025, the Vice President of Collections from April 2019 to December 2021 and the Vice President of Asset Recovery from April 2017 to April 2019. Ms. Jackson was previously an Executive Director at a non-profit organization.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Catrina Ralston</w:t>
      </w:r>
      <w:r>
        <w:rPr>
          <w:rFonts w:ascii="Times New Roman;Times;Serif" w:hAnsi="Times New Roman;Times;Serif"/>
          <w:b w:val="false"/>
          <w:i w:val="false"/>
          <w:caps w:val="false"/>
          <w:smallCaps w:val="false"/>
          <w:sz w:val="20"/>
        </w:rPr>
        <w:t>, 51, has been Senior Vice President of Human Resources since December 2022. Prior to that, she was Vice President - Human Resources since March 2016. She joined the Company in 1997 as an Operations Clerk and transferred into the Human Resources Department in 2001 where she held a series of successively more responsible positions. Prior to joining CPS, Ms. Ralston worked as a customer service representative for the City of Virginia Beach Parks &amp; Recreation Department.</w:t>
      </w:r>
    </w:p>
    <w:p>
      <w:pPr>
        <w:pStyle w:val="TextBody"/>
        <w:bidi w:val="0"/>
        <w:ind w:left="0" w:right="0" w:firstLine="144"/>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Lisette Reynoso</w:t>
      </w:r>
      <w:r>
        <w:rPr>
          <w:rFonts w:ascii="Times New Roman;Times;Serif" w:hAnsi="Times New Roman;Times;Serif"/>
          <w:b w:val="false"/>
          <w:i w:val="false"/>
          <w:caps w:val="false"/>
          <w:smallCaps w:val="false"/>
          <w:sz w:val="20"/>
        </w:rPr>
        <w:t>, 39, has been Senior Vice President and General Counsel since June 2023. Prior to that she was the Vice President of Legal from January 2020 to June 2023, the Assistant Vice President of Legal/Corporate Counsel from December 2018 to January 2020, and Corporate Counsel from December 2015 to December 2018. Ms. Reynoso is a California barred attorney.</w:t>
      </w:r>
    </w:p>
    <w:p>
      <w:pPr>
        <w:pStyle w:val="TextBody"/>
        <w:bidi w:val="0"/>
        <w:ind w:left="0" w:right="0" w:firstLine="144"/>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Susan Ryan</w:t>
      </w:r>
      <w:r>
        <w:rPr>
          <w:rFonts w:ascii="Times New Roman;Times;Serif" w:hAnsi="Times New Roman;Times;Serif"/>
          <w:b w:val="false"/>
          <w:i w:val="false"/>
          <w:caps w:val="false"/>
          <w:smallCaps w:val="false"/>
          <w:sz w:val="20"/>
        </w:rPr>
        <w:t>, 54, has been Senior Vice President of Servicing since June 2023. Prior to that she was the Vice President of Collections from March 2015 to June 2023. She started with the Company in 2003 as a Deficiency Supervisor where she took on more responsibility over time. Prior to joining CPS, she was a Deficiency Supervisor with The Finance Company.</w:t>
      </w:r>
    </w:p>
    <w:p>
      <w:pPr>
        <w:pStyle w:val="TextBody"/>
        <w:bidi w:val="0"/>
        <w:ind w:left="0" w:right="0" w:firstLine="144"/>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Steve Schween</w:t>
      </w:r>
      <w:r>
        <w:rPr>
          <w:rFonts w:ascii="Times New Roman;Times;Serif" w:hAnsi="Times New Roman;Times;Serif"/>
          <w:b w:val="false"/>
          <w:i w:val="false"/>
          <w:caps w:val="false"/>
          <w:smallCaps w:val="false"/>
          <w:sz w:val="20"/>
        </w:rPr>
        <w:t>, 62, has been Senior Vice President of Systems since December 2022. Previously, he was Vice President of Systems from February 2014. He joined in the Company in 2000 as a Systems Analyst and took on more responsibility over time. Mr. Schween was previously a Systems Analyst with Jeunique International.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reviewed and discussed with the Company’s management the Compensation Discussion and Analysis contained in this proxy statement. Based on such review and discussions and relying thereon, the Compensation Committee has recommended to the Board that the Compensation Discussion and Analysis set forth below be included in the Company’s Annual Report on Form 10-K for the year ended December 31, 2025, and in the proxy statement for the Company’s 2026 annual meeting of shareholders.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w:t>
      </w:r>
    </w:p>
    <w:p>
      <w:pPr>
        <w:pStyle w:val="TextBody"/>
        <w:bidi w:val="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2225"/>
        <w:gridCol w:w="1685"/>
        <w:gridCol w:w="1355"/>
      </w:tblGrid>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S. Wood (chairman)</w:t>
            </w:r>
          </w:p>
        </w:tc>
        <w:tc>
          <w:tcPr>
            <w:tcW w:w="16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W. Grounds</w:t>
            </w:r>
          </w:p>
        </w:tc>
        <w:tc>
          <w:tcPr>
            <w:tcW w:w="13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Louis M. Grasso</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Say-on-Pay Advisory Vote Outcome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annually considers the results of the most recent advisory vote by shareholders to approve executive officer compensation. In the 2025 advisory vote, a majority of the voted shares (62%) approved of the compensation of our named executive officers. The Compensation Committee interprets that vote as a reason to retain the existing design, purposes and structure of our executive compensation programs. The Compensation Committee will continue to consider the results from future shareholder advisory votes regarding executive officer compensation in its future administration of executive compensation.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Objectives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objectives with respect to compensation are several.  The significant objectives are to cause compensation (i) to be sufficient in total amount to provide reasonable assurance of retaining key executives, (ii) to include a significant contingent component, so as to provide strong incentives to meet designated Company objectives, and (iii) to include a significant component tied to the price of the common stock, so as to align management’s incentives with shareholder interests. The Compensation Committee is charged with administering the Company’s compensation plans to meet those objectives. To the extent that elements of compensation would not advance such objectives, or would do so less effectively than would other elements, the Compensation Committee seeks to avoid paying compensation in those forms.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the Compensation Committee and the Chief Executive Officer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authorized the Compensation Committee, which is composed solely of independent directors, to make all decisions regarding executive compensation, including administration of our compensation plans. In that regard, the Compensation Committee:</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Reviews and discusses with management the factors underlying our compensation policies and decisions, including overall compensation objectives;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approves all Company goals and objectives (both financial and non-financial) relevant to the compensation of the Chief Executive Officer;</w:t>
            </w:r>
          </w:p>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Evaluates, together with the other independent directors, the performance of the Chief Executive Officer in light of these goals and objectives and that individual’s overall effectiveness;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Fixes and approves each element of the compensation of the Chief Executive Officer;</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Reviews the performance evaluations of all other members of executive management (the Chief Executive Officer prepares and presents to the Compensation Committee the performance evaluations of the other executive officers);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Reviews and approves each element of compensation, as well as the terms and conditions of employment, of those other executive officers;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Grants awards under our equity compensation plans and oversees the administration of those plans;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Reviews the costs and structure of our key employee benefit and fringe-benefit plans and programs.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authorized to form subcommittee(s) and to retain experts and consultants to assist in the discharge of its responsibilities. To date it has not done so.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who attends meetings of the Compensation Committee by invitation of the Committee’s chairman, assists the Committee in determining the compensation of our other executive officers by, among other things:</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Proposing annual merit increases to the base salaries of the other executive officers;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Establishing annual individual performance objectives for the other executive officers and evaluating their performance against such objectives (the Committee reviews these performance evaluations);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02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Making recommendations, from time to time, for special stock option grants (</w:t>
            </w:r>
            <w:r>
              <w:rPr>
                <w:rFonts w:ascii="Times New Roman;Times;Serif" w:hAnsi="Times New Roman;Times;Serif"/>
                <w:i/>
                <w:sz w:val="20"/>
              </w:rPr>
              <w:t>e.g</w:t>
            </w:r>
            <w:r>
              <w:rPr>
                <w:rFonts w:ascii="Times New Roman;Times;Serif" w:hAnsi="Times New Roman;Times;Serif"/>
                <w:sz w:val="20"/>
              </w:rPr>
              <w:t>., for motivational or retention purposes) to other executive officers.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executive officers do not have a role in determining their own compensation, other than to discuss their annual individual performance objectives and results achieved with the Chief Executive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Overall Approach</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put into place a compensation system consisting of three key components: base salary, an annual cash bonus pursuant to an incentive plan, and long-term equity incentives in the form of stock options.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comparative information regarding the components of our year 2025 executive compensation program.</w:t>
      </w:r>
    </w:p>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2"/>
        <w:gridCol w:w="880"/>
        <w:gridCol w:w="110"/>
        <w:gridCol w:w="7613"/>
      </w:tblGrid>
      <w:tr>
        <w:trPr/>
        <w:tc>
          <w:tcPr>
            <w:tcW w:w="160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Element</w:t>
            </w:r>
          </w:p>
        </w:tc>
        <w:tc>
          <w:tcPr>
            <w:tcW w:w="8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w:t>
            </w:r>
          </w:p>
        </w:tc>
        <w:tc>
          <w:tcPr>
            <w:tcW w:w="7723"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Objectives and Basis</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613"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Attract and retain high quality personnel</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Targeted to be superior to compensation offered by our competitors</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613"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Incentive Bonus</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 objectives set annually</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bonus amount is set and computed as a percentage of base salary</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payout determined by Company and individual performance</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 total cash (base salary + target bonus) designed to be superior to compensation offered by our competitors</w:t>
            </w:r>
          </w:p>
        </w:tc>
      </w:tr>
      <w:tr>
        <w:trPr/>
        <w:tc>
          <w:tcPr>
            <w:tcW w:w="1602"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613"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Incentive</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options</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Align interests of executives with those of shareholders;</w:t>
            </w:r>
          </w:p>
        </w:tc>
      </w:tr>
      <w:tr>
        <w:trPr/>
        <w:tc>
          <w:tcPr>
            <w:tcW w:w="1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w:t>
            </w:r>
          </w:p>
        </w:tc>
        <w:tc>
          <w:tcPr>
            <w:tcW w:w="8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 long-term incentive award size designed to retain executives through long-term vesting and the potential for wealth accumulation, contingent on benefit to the shareholders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from time to time considered providing additional elements of executive compensation. It has considered elements such as restricted stock awards, restricted stock units, compensation contingent on a change in control, defined benefit pension plans, deferred cash compensation, and supplemental retirement plans (supplemental in the sense that they exceed the limits for tax advantaged treatment). To date, the Compensation Committee has elected not to pay compensation in such forms, having determined that the Company’s objectives are better met by one or more of the elements of compensation that it does pay.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restricted stock and restricted stock units, the Compensation Committee has noted that any form of equity equivalent to or closely tied to common stock does serve to meet the objective of aligning officers’ personal interest with that of the shareholders generally. The Compensation Committee believes, however, that the objective is better met by grants of stock options than by grants of share equivalents, because recipients of the grants will face the same degree of variance in results at a lesser cost to the Company, when option grants are compared to grants of restricted stock units. Further, unlike restricted stock, option grants will not provide a reward to the holder absent an improvement over time in the Company’s stock price. The Compensation Committee has elected not to provide material perquisites as compensation, having determined that cash is a better medium of exchange.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compensation that would be payable contingent on a change in control of the Company, the Compensation Committee believes that there are certain legitimate objectives to be met by such contingent compensation. As of the date of this proxy statement, however, no such contingent compensation plans are in place.  Regarding defined benefit pension plans, deferred cash compensation and supplemental retirement plans, the Compensation Committee believes that the Company’s retention objective is better met by straight cash payments, whether in the form of base salary or in the form of bonus compensation.  In particular with respect to plans for deferred compensation, the Committee believes those make sense for the Company and for the recipient only on the basis of assumptions regarding future tax rates payable by each. Having no assurance that such assumptions would be correct, the Compensation Committee has chosen not to put into place any special deferred compensation programs for the Company’s executive officers. Those officers do participate in a Company-sponsored tax-deferred savings plan, commonly known as a 401(k) plan, on the same terms available to Company employees generally.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in the future revisit its conclusions as to any of the components discussed above, or may consider other forms of compensation.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Base Salary Element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retention objective, the Compensation Committee considers an executive’s base salary to be the most critical component. Acting primarily on the basis of recommendations of the Chief Executive Officer, the Compensation Committee adjusts other officers’ base salaries annually, with the adjustment generally consisting of a 2% to 10% increase from the prior year’s rate. Where exceptional circumstances apply, such as recruitment of a new executive officer, a promotion to executive officer status or a special need to retain an individual officer, the Chief Executive Officer may recommend, and the Compensation Committee may approve, a larger increase.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general approach in setting the annual compensation of its named executive officers is to set those officers’ base compensation by reference to their base rates for the preceding year. During the year ended December 2025, the Company’s Chief Executive Officer, Charles E. Bradley, Jr., received $995,000 in base salary. In setting that rate in 2025, the Compensation Committee considered the base salary rate that the Company had paid in the prior year ($995,000), the desirability of providing an annual increase, the desirability of ensuring retention of the services of the Company’s incumbent Chief Executive Officer, the Company’s financial performance, and the levels of Chief Executive Officer compensation prevailing among other financial services companies. The Compensation Committee considered whether to adjust officers’ base compensation for 2025, and determined not to increase the base rate for the Chief Executive Officer. The Compensation Committee increased the base rate for the Chief Financial Officer by 12%.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Annual Incentive Bonus (Executive Management Bonus Plan) Element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and cash bonus of the named executive officers are determined by the Compensation Committee. To encourage executive officers and key management personnel to exercise their best efforts and management skills toward causing the Company to meet its overall objective, and toward achieving individual and department performance objectives and designated specific individual objectives, the Company has implemented an Executive Management Bonus Plan (the “EMB Plan”), with annual payouts. The compensation appearing in the Summary Compensation Table below under the caption “Non-Equity Incentive Plan Compensation” is paid pursuant to the EMB Plan. The EMB Plan is administered by the Compensation Committee. Among other things, the Compensation Committee selects participants in the EMB Plan from among the Company’s executive officers and determines the performance goals, target amounts and other terms and conditions of awards under the EMB Plan. With respect to officers other than the Chief Executive Officer, determinations of base salary and of criteria relating to the EMB Plan are based in part on evaluations of such officers prepared by the Chief Executive Officer, which are furnished to and discussed with the Compensation Committee.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bonus plan as applied to the year ended December 2025 the Company’s President was eligible to receive a cash bonus of up to 160% of his base salary and the Chief Financial Officer and Executive Vice President was eligible to receive a cash bonus of up to 140% of his base salary. The Chief Executive Officer was eligible to receive a cash bonus of up to 720% of his base salary. The implementation of this element for the named executive officers for the year 2025 is discussed below.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Long-Term Incentive Compensation Element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also award incentive and non-qualified stock options under the Company’s stock option plans. Such awards are designed to assist in the retention of key executives and management personnel and to create an incentive to create shareholder value over a sustained period of time. The Company believes that stock options are a valuable tool in compensating and retaining employees. Because the exercise price of all options granted is equal to or above the fair market value of the Company’s common stock on the date of grant, the option holders may realize value only if the stock price appreciates from the price on the date the options were granted. This design is intended to focus executives on the enhancement of shareholder value over the long term.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Compensation Committee granted stock options to the Company’s named executive officers. All such grants were awarded on September 9, 2025, and all carry exercise prices equal to the market price for CPS Common Stock at the date of grant. The terms of such options are described below, under the caption “Grants of Plan-Based Awards in 2025 – Equity Incentives.”  The numbers of shares made subject to each of the option grants were based on various factors relating to the responsibilities of the individual officers and to the extent of previous grants to such individuals.</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Elements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maintains certain broad-based employee benefit plans, such as medical and dental insurance, and a qualified defined contribution retirement savings plan (401(k) plan), in which executive officers are permitted to participate. Such officers participate on the same terms as non-executive personnel who meet applicable eligibility criteria, and are subject to any legal limitations on the amounts that may be contributed or the benefits that may be payable under the plans. The Company does not maintain any form of defined benefit pension or retirement plan in which executive officers may participate, nor does it maintain any form of supplemental retirement savings or supplemental deferred compensation plan.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Discretion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its discretion as to the level of executive compensation and its components, the Compensation Committee considers a number of factors. Members of the Compensation Committee conduct informal surveys of compensation paid to comparable executives within and without the consumer finance industry. The Compensation Committee finds these data useful primarily in evaluating the overall level of compensation paid or to be paid to the Company’s executive officers. Financial factors considered may include earnings, revenue, originations, and budget attainment. Operational factors considered include individual and group management goals; indicators of the performance and credit quality of the Company’s servicing portfolio, including levels of delinquencies and charge-offs; and indicators of successful management of personnel, including employee stability. All of such factors are assessed with reference to the judgment of the Compensation Committee as to the degree of difficulty of achieving desired outcomes. With respect to payment of annual bonuses and grants of stock options, the Compensation Committee also takes note of factors relating to the degree of the Company’s success over the most recent year.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Specific Objectives and Evaluation</w:t>
      </w:r>
    </w:p>
    <w:p>
      <w:pPr>
        <w:pStyle w:val="TextBody"/>
        <w:bidi w:val="0"/>
        <w:jc w:val="left"/>
        <w:rPr>
          <w:caps w:val="false"/>
          <w:smallCaps w:val="false"/>
        </w:rPr>
      </w:pPr>
      <w:r>
        <w:rPr>
          <w:caps w:val="false"/>
          <w:smallCaps w:val="false"/>
        </w:rPr>
        <w:t> </w:t>
      </w:r>
    </w:p>
    <w:p>
      <w:pPr>
        <w:pStyle w:val="TextBody"/>
        <w:bidi w:val="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Compensation Committee designated specific objectives with respect to the Chief Executive Officer to be accomplished within the year 2025, and fixed weights to be associated with each such objective. The Chief Executive Officer proposed to the Compensation Committee specific annual objectives with respect to each other executive officer of the Company, which the Compensation Committee approved. These objectives and the Compensation Committee’s administration of the annual incentive bonus element of compensation are discussed in detail below, under the heading “Grants of Plan-Based Awards in 2025 – Executive Management Bonus Plan.”</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rFonts w:ascii="Times New Roman;Times;Serif" w:hAnsi="Times New Roman;Times;Serif"/>
          <w:b w:val="false"/>
          <w:i/>
          <w:caps w:val="false"/>
          <w:smallCaps w:val="false"/>
          <w:sz w:val="20"/>
        </w:rPr>
      </w:pPr>
      <w:bookmarkStart w:id="4" w:name="xdx_98B_eecd--AwardTmgMnpiDiscTextBlock_"/>
      <w:bookmarkEnd w:id="4"/>
      <w:r>
        <w:rPr>
          <w:rFonts w:ascii="Times New Roman;Times;Serif" w:hAnsi="Times New Roman;Times;Serif"/>
          <w:b w:val="false"/>
          <w:i/>
          <w:caps w:val="false"/>
          <w:smallCaps w:val="false"/>
          <w:sz w:val="20"/>
        </w:rPr>
        <w:t>Grant of Options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award of stock options to the Company’s officers in 2025 included option grants to the Chief Executive Officer and the other named executive officers. In determining the appropriate level of such grant, the Compensation Committee considered the long-term performance of the Chief Executive Officer and the desirability of providing significant incentive for future performance, as well as the desirability of ensuring that officer’s continued retention by the Company, and the various factors noted above with respect to option grants generally. These grants and the Committee’s administration of the long-term incentive element of compensation are discussed in detail below, under the heading “Grants of Plan-Based Awards in 2025 – Equity Incentives.”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Times;Serif" w:hAnsi="Times New Roman;Times;Serif"/>
          <w:b w:val="false"/>
          <w:i w:val="false"/>
          <w:caps w:val="false"/>
          <w:smallCaps w:val="false"/>
          <w:sz w:val="20"/>
        </w:rPr>
      </w:pPr>
      <w:bookmarkStart w:id="5" w:name="xdx_907_eecd--AwardTmgHowMnpiCnsdrdTextB"/>
      <w:bookmarkEnd w:id="5"/>
      <w:r>
        <w:rPr>
          <w:rFonts w:ascii="Times New Roman;Times;Serif" w:hAnsi="Times New Roman;Times;Serif"/>
          <w:b w:val="false"/>
          <w:i w:val="false"/>
          <w:caps w:val="false"/>
          <w:smallCaps w:val="false"/>
          <w:sz w:val="20"/>
        </w:rPr>
        <w:t xml:space="preserve">The Committee does not have a policy or practice on when to grant option awards. The Committee does not have a policy or practice of taking into account material nonpublic information when determining the timing and terms of option awards, </w:t>
      </w:r>
      <w:bookmarkStart w:id="6" w:name="xdx_90A_eecd--AwardTmgMnpiCnsdrdFlag_dbF"/>
      <w:bookmarkEnd w:id="6"/>
      <w:r>
        <w:rPr>
          <w:rFonts w:ascii="Times New Roman;Times;Serif" w:hAnsi="Times New Roman;Times;Serif"/>
          <w:b w:val="false"/>
          <w:i w:val="false"/>
          <w:caps w:val="false"/>
          <w:smallCaps w:val="false"/>
          <w:sz w:val="20"/>
        </w:rPr>
        <w:t xml:space="preserve">however if a public announcement of material information is anticipated, the grant date of such options may be deferred at the discretion of the Committee, until after the release of such information. </w:t>
      </w:r>
      <w:bookmarkStart w:id="7" w:name="xdx_90F_eecd--MnpiDiscTimedForCompValFla"/>
      <w:bookmarkEnd w:id="7"/>
      <w:r>
        <w:rPr>
          <w:rFonts w:ascii="Times New Roman;Times;Serif" w:hAnsi="Times New Roman;Times;Serif"/>
          <w:b w:val="false"/>
          <w:i w:val="false"/>
          <w:caps w:val="false"/>
          <w:smallCaps w:val="false"/>
          <w:sz w:val="20"/>
        </w:rPr>
        <w:t>The Company does not time the disclosure of material nonpublic information for the purpose of affecting the value of executive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Ownership, Hedging and Pledging</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Compensation Committee have considered whether to establish a minimum stock ownership goal for members of our senior management. We have elected not to do so, considering that such a policy would either be strict and mandatory, in which case it would undermine the compensatory objectives of our equity compensation plans, or would be merely hortatory, in which case it could be expected to have little effect. We have also noted that the multiyear vesting terms of the equity incentives granted under our plans have the effect of aligning our executives’ individual personal financial incentives with the future price performance of the Company’s stock.</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comprehensive compliance policy, we remind all Company executive officers of the mandatory legal prohibition on selling short Company shares and the implications of the SEC’s short-swing profit rule. We also prohibit Company executive officers from entering into transactions that would have the effect of causing those individuals to benefit from a decline in the price of Company stock, such as the purchase of “put” options. We prohibit such “hedging” transactions but we do not find it appropriate to prohibit our executive officers from pledging their shares of Company stock as security for a loan. We believe that the beneficial incentives of owning Company stock remain substantially the same with or without such a pledge.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rFonts w:ascii="Times New Roman;Times;Serif" w:hAnsi="Times New Roman;Times;Serif"/>
          <w:b w:val="false"/>
          <w:i/>
          <w:caps w:val="false"/>
          <w:smallCaps w:val="false"/>
          <w:sz w:val="20"/>
        </w:rPr>
        <w:t>Insider Trading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8" w:name="xdx_908_eecd--InsiderTrdPoliciesProcAdop"/>
      <w:bookmarkEnd w:id="8"/>
      <w:r>
        <w:rPr>
          <w:rFonts w:ascii="Times New Roman;Times;Serif" w:hAnsi="Times New Roman;Times;Serif"/>
          <w:b w:val="false"/>
          <w:i w:val="false"/>
          <w:caps w:val="false"/>
          <w:smallCaps w:val="false"/>
          <w:sz w:val="20"/>
        </w:rPr>
        <w:t>adopted an insider trading policy that governs the purchase, sale, and/or other transactions of our securities by our directors, officers and employees that we believe is reasonably designed to promote compliance with insider trading laws, rules and regulations, and the applicable exchange listing standards. A copy of our insider trading policy is filed as Exhibit 19 to the Annual Report on Form 10-K for the fiscal year ended December 31, 2024. In addition, with regard to the Company’s trading in its own securities, it is the Company’s policy to comply with the federal securities laws and the applicable exchange listing standards.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Compensation</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all compensation earned during the two fiscal years ended December 31, 2025 by the Company’s “named executive officers” as determined by SEC rules. It lists their names, the principal positions in which they served in those years, and each component of compensation paid with respect to those years.</w:t>
      </w:r>
    </w:p>
    <w:p>
      <w:pPr>
        <w:pStyle w:val="TextBody"/>
        <w:bidi w:val="0"/>
        <w:ind w:left="144" w:right="144"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For 2025 and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56"/>
        <w:gridCol w:w="60"/>
        <w:gridCol w:w="500"/>
        <w:gridCol w:w="60"/>
        <w:gridCol w:w="140"/>
        <w:gridCol w:w="800"/>
        <w:gridCol w:w="60"/>
        <w:gridCol w:w="60"/>
        <w:gridCol w:w="154"/>
        <w:gridCol w:w="1092"/>
        <w:gridCol w:w="60"/>
        <w:gridCol w:w="60"/>
        <w:gridCol w:w="140"/>
        <w:gridCol w:w="980"/>
        <w:gridCol w:w="60"/>
        <w:gridCol w:w="60"/>
        <w:gridCol w:w="211"/>
        <w:gridCol w:w="1035"/>
        <w:gridCol w:w="60"/>
        <w:gridCol w:w="60"/>
        <w:gridCol w:w="140"/>
        <w:gridCol w:w="980"/>
        <w:gridCol w:w="77"/>
      </w:tblGrid>
      <w:tr>
        <w:trPr/>
        <w:tc>
          <w:tcPr>
            <w:tcW w:w="3356" w:type="dxa"/>
            <w:tcBorders>
              <w:bottom w:val="single" w:sz="8" w:space="0" w:color="000000"/>
            </w:tcBorders>
            <w:vAlign w:val="center"/>
          </w:tcPr>
          <w:p>
            <w:pPr>
              <w:pStyle w:val="TableContents"/>
              <w:bidi w:val="0"/>
              <w:spacing w:before="0" w:after="283"/>
              <w:jc w:val="left"/>
              <w:rPr>
                <w:i/>
              </w:rPr>
            </w:pPr>
            <w:r>
              <w:rPr>
                <w:i/>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8" w:space="0" w:color="000000"/>
            </w:tcBorders>
            <w:vAlign w:val="center"/>
          </w:tcPr>
          <w:p>
            <w:pPr>
              <w:pStyle w:val="TableContents"/>
              <w:bidi w:val="0"/>
              <w:spacing w:before="0" w:after="283"/>
              <w:jc w:val="center"/>
              <w:rPr>
                <w:i/>
              </w:rPr>
            </w:pPr>
            <w:r>
              <w:rPr>
                <w:i/>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i/>
              </w:rPr>
            </w:pPr>
            <w:r>
              <w:rPr>
                <w:i/>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6" w:type="dxa"/>
            <w:gridSpan w:val="2"/>
            <w:tcBorders>
              <w:bottom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Incentive Plan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6" w:type="dxa"/>
            <w:gridSpan w:val="2"/>
            <w:tcBorders>
              <w:bottom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Other</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i/>
              </w:rPr>
            </w:pPr>
            <w:r>
              <w:rPr>
                <w:i/>
              </w:rPr>
              <w:t>Total</w:t>
            </w:r>
          </w:p>
        </w:tc>
        <w:tc>
          <w:tcPr>
            <w:tcW w:w="77" w:type="dxa"/>
            <w:tcBorders/>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b/>
              </w:rPr>
            </w:pPr>
            <w:r>
              <w:rPr>
                <w:b/>
              </w:rPr>
              <w:t>Charles E. Bradley, Jr.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800" w:type="dxa"/>
            <w:tcBorders/>
            <w:shd w:fill="EEEEEE" w:val="clear"/>
            <w:tcMar>
              <w:bottom w:w="0" w:type="dxa"/>
            </w:tcMar>
            <w:vAlign w:val="center"/>
          </w:tcPr>
          <w:p>
            <w:pPr>
              <w:pStyle w:val="TableContents"/>
              <w:bidi w:val="0"/>
              <w:spacing w:before="0" w:after="283"/>
              <w:jc w:val="right"/>
              <w:rPr/>
            </w:pPr>
            <w:r>
              <w:rPr/>
              <w:t>995,000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w:t>
            </w:r>
          </w:p>
        </w:tc>
        <w:tc>
          <w:tcPr>
            <w:tcW w:w="1092" w:type="dxa"/>
            <w:tcBorders/>
            <w:shd w:fill="EEEEEE" w:val="clear"/>
            <w:tcMar>
              <w:bottom w:w="0" w:type="dxa"/>
            </w:tcMar>
            <w:vAlign w:val="center"/>
          </w:tcPr>
          <w:p>
            <w:pPr>
              <w:pStyle w:val="TableContents"/>
              <w:bidi w:val="0"/>
              <w:spacing w:before="0" w:after="283"/>
              <w:jc w:val="right"/>
              <w:rPr/>
            </w:pPr>
            <w:r>
              <w:rPr/>
              <w:t>3,283,500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1,139,790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w:t>
            </w:r>
          </w:p>
        </w:tc>
        <w:tc>
          <w:tcPr>
            <w:tcW w:w="1035" w:type="dxa"/>
            <w:tcBorders/>
            <w:shd w:fill="EEEEEE" w:val="clear"/>
            <w:tcMar>
              <w:bottom w:w="0" w:type="dxa"/>
            </w:tcMar>
            <w:vAlign w:val="center"/>
          </w:tcPr>
          <w:p>
            <w:pPr>
              <w:pStyle w:val="TableContents"/>
              <w:bidi w:val="0"/>
              <w:spacing w:before="0" w:after="283"/>
              <w:jc w:val="right"/>
              <w:rPr/>
            </w:pPr>
            <w:r>
              <w:rPr/>
              <w:t>21,357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5,439,647</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pPr>
            <w:r>
              <w:rPr/>
              <w:t>Chief Executive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2024</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995,000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3,130,000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40,611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4,165,611</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b/>
              </w:rPr>
            </w:pPr>
            <w:r>
              <w:rPr>
                <w:b/>
              </w:rPr>
              <w:t>Michael T. Lavin</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470,000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448,693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455,916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11,980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1,386,590</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pPr>
            <w:r>
              <w:rPr/>
              <w:t>President &amp; Chief Operating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2024</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470,000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443,680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47,158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960,838</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b/>
              </w:rPr>
            </w:pPr>
            <w:r>
              <w:rPr>
                <w:b/>
              </w:rPr>
              <w:t>Danny Bharwani</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430,762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479,808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341,937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2,342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1,254,849</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pPr>
            <w:r>
              <w:rPr/>
              <w:t>Executive Vice President &amp;</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2024</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386,000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444,929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44,871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875,800</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3356" w:type="dxa"/>
            <w:tcBorders/>
            <w:shd w:fill="EEEEEE" w:val="clear"/>
            <w:tcMar>
              <w:bottom w:w="0" w:type="dxa"/>
            </w:tcMar>
            <w:vAlign w:val="center"/>
          </w:tcPr>
          <w:p>
            <w:pPr>
              <w:pStyle w:val="TableContents"/>
              <w:bidi w:val="0"/>
              <w:spacing w:before="0" w:after="283"/>
              <w:jc w:val="left"/>
              <w:rPr/>
            </w:pPr>
            <w:r>
              <w:rPr/>
              <w:t>Chief Financial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0" w:type="dxa"/>
            <w:tcBorders/>
            <w:shd w:fill="EEEEEE" w:val="clear"/>
            <w:tcMar>
              <w:bottom w:w="0" w:type="dxa"/>
            </w:tcMar>
            <w:vAlign w:val="center"/>
          </w:tcPr>
          <w:p>
            <w:pPr>
              <w:pStyle w:val="TableContents"/>
              <w:bidi w:val="0"/>
              <w:spacing w:before="0" w:after="283"/>
              <w:jc w:val="center"/>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092"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1" w:type="dxa"/>
            <w:tcBorders/>
            <w:shd w:fill="EEEEEE" w:val="clear"/>
            <w:tcMar>
              <w:bottom w:w="0" w:type="dxa"/>
            </w:tcMar>
            <w:vAlign w:val="center"/>
          </w:tcPr>
          <w:p>
            <w:pPr>
              <w:pStyle w:val="TableContents"/>
              <w:bidi w:val="0"/>
              <w:spacing w:before="0" w:after="283"/>
              <w:jc w:val="left"/>
              <w:rPr/>
            </w:pPr>
            <w:r>
              <w:rPr/>
              <w:t> </w:t>
            </w:r>
          </w:p>
        </w:tc>
        <w:tc>
          <w:tcPr>
            <w:tcW w:w="1035"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 </w:t>
            </w:r>
          </w:p>
        </w:tc>
        <w:tc>
          <w:tcPr>
            <w:tcW w:w="77"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dollar value accrued for financial accounting purposes in connection with the grant of such options, computed in accordance with Financial Accounting Standards Board Accounting Standards Codification Topic 718. Value was estimated using a Black-Scholes model for 2025. For the options granted on September 9, 2025, the weighted average fair value per option was $3.80, based on assumptions of 4.11 years expected life, expected volatility of 53.94%, and a risk-free rate of 4.10%.</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Plan-Based Awards in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we granted options to our named executive officers on September 9, 2025 as noted in the tables above and below. The grant of options vest in 25% increments on the first, second, third and fourth anniversaries of the grant date. We also granted awards under our Executive Management Bonus Plan, which were evaluated and paid out after the end of the year. The table below provides information regarding the awards granted to the named executive officers in 2025.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Plan-Based Awards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4"/>
        <w:gridCol w:w="60"/>
        <w:gridCol w:w="196"/>
        <w:gridCol w:w="784"/>
        <w:gridCol w:w="60"/>
        <w:gridCol w:w="60"/>
        <w:gridCol w:w="140"/>
        <w:gridCol w:w="980"/>
        <w:gridCol w:w="60"/>
        <w:gridCol w:w="60"/>
        <w:gridCol w:w="140"/>
        <w:gridCol w:w="980"/>
        <w:gridCol w:w="60"/>
        <w:gridCol w:w="60"/>
        <w:gridCol w:w="69"/>
        <w:gridCol w:w="765"/>
        <w:gridCol w:w="60"/>
        <w:gridCol w:w="60"/>
        <w:gridCol w:w="159"/>
        <w:gridCol w:w="2151"/>
        <w:gridCol w:w="60"/>
        <w:gridCol w:w="60"/>
        <w:gridCol w:w="171"/>
        <w:gridCol w:w="539"/>
        <w:gridCol w:w="60"/>
        <w:gridCol w:w="60"/>
        <w:gridCol w:w="140"/>
        <w:gridCol w:w="980"/>
        <w:gridCol w:w="77"/>
      </w:tblGrid>
      <w:tr>
        <w:trPr/>
        <w:tc>
          <w:tcPr>
            <w:tcW w:w="11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0"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Estimated possible payouts under</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 incentive 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2"/>
            <w:tcBorders>
              <w:bottom w:val="single" w:sz="8" w:space="0" w:color="000000"/>
            </w:tcBorders>
            <w:tcMar>
              <w:bottom w:w="28" w:type="dxa"/>
            </w:tcMar>
            <w:vAlign w:val="center"/>
          </w:tcPr>
          <w:p>
            <w:pPr>
              <w:pStyle w:val="TableContents"/>
              <w:bidi w:val="0"/>
              <w:spacing w:before="0" w:after="283"/>
              <w:jc w:val="center"/>
              <w:rPr>
                <w:i/>
              </w:rPr>
            </w:pPr>
            <w:r>
              <w:rPr>
                <w:i/>
              </w:rPr>
              <w:t>Number of 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Date</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w:t>
            </w:r>
          </w:p>
        </w:tc>
        <w:tc>
          <w:tcPr>
            <w:tcW w:w="77" w:type="dxa"/>
            <w:tcBorders/>
            <w:vAlign w:val="center"/>
          </w:tcPr>
          <w:p>
            <w:pPr>
              <w:pStyle w:val="TableContents"/>
              <w:bidi w:val="0"/>
              <w:spacing w:before="0" w:after="283"/>
              <w:jc w:val="left"/>
              <w:rPr/>
            </w:pPr>
            <w:r>
              <w:rPr/>
              <w:t> </w:t>
            </w:r>
          </w:p>
        </w:tc>
      </w:tr>
      <w:tr>
        <w:trPr/>
        <w:tc>
          <w:tcPr>
            <w:tcW w:w="1154" w:type="dxa"/>
            <w:tcBorders>
              <w:bottom w:val="single" w:sz="8" w:space="0" w:color="000000"/>
            </w:tcBorders>
            <w:tcMar>
              <w:bottom w:w="28" w:type="dxa"/>
            </w:tcMar>
            <w:vAlign w:val="center"/>
          </w:tcPr>
          <w:p>
            <w:pPr>
              <w:pStyle w:val="TableContents"/>
              <w:bidi w:val="0"/>
              <w:spacing w:before="0" w:after="283"/>
              <w:jc w:val="left"/>
              <w:rPr>
                <w:i/>
              </w:rPr>
            </w:pPr>
            <w:r>
              <w:rPr>
                <w:i/>
              </w:rPr>
              <w:t>Name</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Threshold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i/>
              </w:rPr>
            </w:pPr>
            <w:r>
              <w:rPr>
                <w:i/>
              </w:rPr>
              <w:t>Maximum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1154" w:type="dxa"/>
            <w:tcBorders/>
            <w:shd w:fill="EEEEEE" w:val="clear"/>
            <w:vAlign w:val="center"/>
          </w:tcPr>
          <w:p>
            <w:pPr>
              <w:pStyle w:val="TableContents"/>
              <w:bidi w:val="0"/>
              <w:spacing w:before="0" w:after="283"/>
              <w:jc w:val="left"/>
              <w:rPr/>
            </w:pPr>
            <w:r>
              <w:rPr/>
              <w:t>Mr. Bradley</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w:t>
            </w:r>
          </w:p>
        </w:tc>
        <w:tc>
          <w:tcPr>
            <w:tcW w:w="78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76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 </w:t>
            </w:r>
          </w:p>
        </w:tc>
        <w:tc>
          <w:tcPr>
            <w:tcW w:w="2151" w:type="dxa"/>
            <w:tcBorders/>
            <w:shd w:fill="EEEEEE" w:val="clear"/>
            <w:vAlign w:val="center"/>
          </w:tcPr>
          <w:p>
            <w:pPr>
              <w:pStyle w:val="TableContents"/>
              <w:bidi w:val="0"/>
              <w:spacing w:before="0" w:after="283"/>
              <w:jc w:val="right"/>
              <w:rPr/>
            </w:pPr>
            <w:r>
              <w:rPr/>
              <w:t>300,000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1" w:type="dxa"/>
            <w:tcBorders/>
            <w:shd w:fill="EEEEEE" w:val="clear"/>
            <w:vAlign w:val="center"/>
          </w:tcPr>
          <w:p>
            <w:pPr>
              <w:pStyle w:val="TableContents"/>
              <w:bidi w:val="0"/>
              <w:spacing w:before="0" w:after="283"/>
              <w:jc w:val="left"/>
              <w:rPr/>
            </w:pPr>
            <w:r>
              <w:rPr/>
              <w:t>$</w:t>
            </w:r>
          </w:p>
        </w:tc>
        <w:tc>
          <w:tcPr>
            <w:tcW w:w="539" w:type="dxa"/>
            <w:tcBorders/>
            <w:shd w:fill="EEEEEE" w:val="clear"/>
            <w:vAlign w:val="center"/>
          </w:tcPr>
          <w:p>
            <w:pPr>
              <w:pStyle w:val="TableContents"/>
              <w:bidi w:val="0"/>
              <w:spacing w:before="0" w:after="283"/>
              <w:jc w:val="right"/>
              <w:rPr/>
            </w:pPr>
            <w:r>
              <w:rPr/>
              <w:t>8.19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1,139,790</w:t>
            </w:r>
          </w:p>
        </w:tc>
        <w:tc>
          <w:tcPr>
            <w:tcW w:w="77" w:type="dxa"/>
            <w:tcBorders/>
            <w:shd w:fill="EEEEEE" w:val="clear"/>
            <w:vAlign w:val="center"/>
          </w:tcPr>
          <w:p>
            <w:pPr>
              <w:pStyle w:val="TableContents"/>
              <w:bidi w:val="0"/>
              <w:spacing w:before="0" w:after="283"/>
              <w:jc w:val="left"/>
              <w:rPr/>
            </w:pPr>
            <w:r>
              <w:rPr/>
              <w:t> </w:t>
            </w:r>
          </w:p>
        </w:tc>
      </w:tr>
      <w:tr>
        <w:trPr/>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54" w:type="dxa"/>
            <w:tcBorders/>
            <w:shd w:fill="EEEEEE" w:val="clear"/>
            <w:vAlign w:val="center"/>
          </w:tcPr>
          <w:p>
            <w:pPr>
              <w:pStyle w:val="TableContents"/>
              <w:bidi w:val="0"/>
              <w:spacing w:before="0" w:after="283"/>
              <w:jc w:val="left"/>
              <w:rPr/>
            </w:pPr>
            <w:r>
              <w:rPr/>
              <w:t>Mr. Lavin</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 </w:t>
            </w:r>
          </w:p>
        </w:tc>
        <w:tc>
          <w:tcPr>
            <w:tcW w:w="784"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76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 </w:t>
            </w:r>
          </w:p>
        </w:tc>
        <w:tc>
          <w:tcPr>
            <w:tcW w:w="2151" w:type="dxa"/>
            <w:tcBorders/>
            <w:shd w:fill="EEEEEE" w:val="clear"/>
            <w:vAlign w:val="center"/>
          </w:tcPr>
          <w:p>
            <w:pPr>
              <w:pStyle w:val="TableContents"/>
              <w:bidi w:val="0"/>
              <w:spacing w:before="0" w:after="283"/>
              <w:jc w:val="right"/>
              <w:rPr/>
            </w:pPr>
            <w:r>
              <w:rPr/>
              <w:t>120,000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1" w:type="dxa"/>
            <w:tcBorders/>
            <w:shd w:fill="EEEEEE" w:val="clear"/>
            <w:vAlign w:val="center"/>
          </w:tcPr>
          <w:p>
            <w:pPr>
              <w:pStyle w:val="TableContents"/>
              <w:bidi w:val="0"/>
              <w:spacing w:before="0" w:after="283"/>
              <w:jc w:val="left"/>
              <w:rPr/>
            </w:pPr>
            <w:r>
              <w:rPr/>
              <w:t> </w:t>
            </w:r>
          </w:p>
        </w:tc>
        <w:tc>
          <w:tcPr>
            <w:tcW w:w="539" w:type="dxa"/>
            <w:tcBorders/>
            <w:shd w:fill="EEEEEE" w:val="clear"/>
            <w:vAlign w:val="center"/>
          </w:tcPr>
          <w:p>
            <w:pPr>
              <w:pStyle w:val="TableContents"/>
              <w:bidi w:val="0"/>
              <w:spacing w:before="0" w:after="283"/>
              <w:jc w:val="right"/>
              <w:rPr/>
            </w:pPr>
            <w:r>
              <w:rPr/>
              <w:t>8.19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455,916</w:t>
            </w:r>
          </w:p>
        </w:tc>
        <w:tc>
          <w:tcPr>
            <w:tcW w:w="77" w:type="dxa"/>
            <w:tcBorders/>
            <w:shd w:fill="EEEEEE" w:val="clear"/>
            <w:vAlign w:val="center"/>
          </w:tcPr>
          <w:p>
            <w:pPr>
              <w:pStyle w:val="TableContents"/>
              <w:bidi w:val="0"/>
              <w:spacing w:before="0" w:after="283"/>
              <w:jc w:val="left"/>
              <w:rPr/>
            </w:pPr>
            <w:r>
              <w:rPr/>
              <w:t> </w:t>
            </w:r>
          </w:p>
        </w:tc>
      </w:tr>
      <w:tr>
        <w:trPr/>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54" w:type="dxa"/>
            <w:tcBorders/>
            <w:shd w:fill="EEEEEE" w:val="clear"/>
            <w:vAlign w:val="center"/>
          </w:tcPr>
          <w:p>
            <w:pPr>
              <w:pStyle w:val="TableContents"/>
              <w:bidi w:val="0"/>
              <w:spacing w:before="0" w:after="283"/>
              <w:jc w:val="left"/>
              <w:rPr/>
            </w:pPr>
            <w:r>
              <w:rPr/>
              <w:t>Mr. Bharwani</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 </w:t>
            </w:r>
          </w:p>
        </w:tc>
        <w:tc>
          <w:tcPr>
            <w:tcW w:w="784"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76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 </w:t>
            </w:r>
          </w:p>
        </w:tc>
        <w:tc>
          <w:tcPr>
            <w:tcW w:w="2151" w:type="dxa"/>
            <w:tcBorders/>
            <w:shd w:fill="EEEEEE" w:val="clear"/>
            <w:vAlign w:val="center"/>
          </w:tcPr>
          <w:p>
            <w:pPr>
              <w:pStyle w:val="TableContents"/>
              <w:bidi w:val="0"/>
              <w:spacing w:before="0" w:after="283"/>
              <w:jc w:val="right"/>
              <w:rPr/>
            </w:pPr>
            <w:r>
              <w:rPr/>
              <w:t>90,000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1" w:type="dxa"/>
            <w:tcBorders/>
            <w:shd w:fill="EEEEEE" w:val="clear"/>
            <w:vAlign w:val="center"/>
          </w:tcPr>
          <w:p>
            <w:pPr>
              <w:pStyle w:val="TableContents"/>
              <w:bidi w:val="0"/>
              <w:spacing w:before="0" w:after="283"/>
              <w:jc w:val="left"/>
              <w:rPr/>
            </w:pPr>
            <w:r>
              <w:rPr/>
              <w:t> </w:t>
            </w:r>
          </w:p>
        </w:tc>
        <w:tc>
          <w:tcPr>
            <w:tcW w:w="539" w:type="dxa"/>
            <w:tcBorders/>
            <w:shd w:fill="EEEEEE" w:val="clear"/>
            <w:vAlign w:val="center"/>
          </w:tcPr>
          <w:p>
            <w:pPr>
              <w:pStyle w:val="TableContents"/>
              <w:bidi w:val="0"/>
              <w:spacing w:before="0" w:after="283"/>
              <w:jc w:val="right"/>
              <w:rPr/>
            </w:pPr>
            <w:r>
              <w:rPr/>
              <w:t>8.19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341,937</w:t>
            </w:r>
          </w:p>
        </w:tc>
        <w:tc>
          <w:tcPr>
            <w:tcW w:w="77" w:type="dxa"/>
            <w:tcBorders/>
            <w:shd w:fill="EEEEEE" w:val="clear"/>
            <w:vAlign w:val="center"/>
          </w:tcPr>
          <w:p>
            <w:pPr>
              <w:pStyle w:val="TableContents"/>
              <w:bidi w:val="0"/>
              <w:spacing w:before="0" w:after="283"/>
              <w:jc w:val="left"/>
              <w:rPr/>
            </w:pPr>
            <w:r>
              <w:rPr/>
              <w:t> </w:t>
            </w:r>
          </w:p>
        </w:tc>
      </w:tr>
      <w:tr>
        <w:trPr/>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“target” and “maximum” figures appearing in the table above represent the </w:t>
      </w:r>
      <w:r>
        <w:rPr>
          <w:rFonts w:ascii="Times New Roman;Times;Serif" w:hAnsi="Times New Roman;Times;Serif"/>
          <w:b w:val="false"/>
          <w:i/>
          <w:caps w:val="false"/>
          <w:smallCaps w:val="false"/>
          <w:sz w:val="20"/>
        </w:rPr>
        <w:t>maximum</w:t>
      </w:r>
      <w:r>
        <w:rPr>
          <w:rFonts w:ascii="Times New Roman;Times;Serif" w:hAnsi="Times New Roman;Times;Serif"/>
          <w:b w:val="false"/>
          <w:i w:val="false"/>
          <w:caps w:val="false"/>
          <w:smallCaps w:val="false"/>
          <w:sz w:val="20"/>
        </w:rPr>
        <w:t xml:space="preserve"> cash payout under the individual executives’ Executive Management Bonus Plan awards as of the date the incentive was fixed. The actual payout to each individual named in the table above has been determined and paid prior to the date of this proxy statement. That amount was in each case less than the maximum (approximately 46% of the maximum, in the case of the Chief Executive Officer). The respective actual payments are described below, and appear above in the Summary Compensation Table above under the heading “Non-Equity Incentive Plan Compensation.” Because each non-equity incentive plan award has been settled and paid, the future payout under such awards as of the date of this proxy statement is in each case zero. The “grant date fair value” figures appearing in the table above, which are the computed fair values of stock option awards, are computed as described in note 1 to the Summary Compensation Table.</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Management Bonus Plan</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Management Bonus Plan award granted to the Chief Executive Officer, Mr. Bradley, called for him to meet as many as possible of seven separate operational and financial objectives within the year 2025. The Compensation Committee assigned to each of those objectives a value as a percentage of base salary. The objectives and their weightings were as follows: (I) to meet or exceed the Company’s quarterly budget (20% each quarter, total of 80%) (II) to execute four rated securitization transactions (20% each, 80% total), (III) to increase the Company’s annual originations of receivables to each of four targets (up to 80% in the aggregate, creditable pro rata for reaching target amounts of $1.8 billion, $1.9 billion, $2.0 billion, and $2.1 billion), (IV) to decrease core operating expenses by up to 1% (up to 200%, creditable pro rata for the portion of the 1% achieved), (V) to raise $100 million in a new residual financing deal (100%, creditable pro rata for the portion achieved), (VI) to obtain up to a $1.2 billion forward flow contract purchase agreement (100%, creditable pro rata for the portion achieved), (VII)  and to cause the Company’s common stock to trade in excess of each of four targets (80% in the aggregate, creditable in increments of 20% for reaching prices of $13.00, $14.00, $15.00, and $16.00 per share).</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of the seven weightings is 720%; accordingly, the target and maximum possible value to that officer of the award was 720% of his base salary for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evaluated the Chief Executive Officer’s performance in comparison to the goals. The Compensation Committee determined that the budget objective was met in three of the four quarters of 2025, and credited the Chief Executive Officer with partial credit in the amount of 60%.</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noted that the Company had executed four rated securitizations during the year representing the full creditable performance of 80%. It determined that our originations volume for the year did not meet any of the targets, and the Compensation Committee did not award any credit for that goal.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noted that the Company decreased core operating expenses by 0.75% representing a creditable performance of 150% for that objective.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Compensation Committee determined that the Company successfully closed a new residual financing deal in the amount of $60 million and awarded partial credit of 60%. The Compensation Committee found that a $900 million forward flow contract purchase agreement was obtained and thus partial credit of 75% was earned for that objective. The Compensation Committee noted that the stock price objective was not obtained as to any of the four targets and thus found no credit was earned.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valuation of all creditable performance for the Chief Executive Officer was thus 425%, which would imply a bonus payment under our Executive Management Bonus Plan of $4,228,750. The Committee elected to pay a bonus less than the maximum percentage, in the amount of $3,283,500, representing 330% of the Chief Executive Officer’s base salary.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Management Bonus Plan awards granted to the named executive officers other than the Chief Executive Officer are evaluated on a more subjective basis, and were set by the Compensation Committee in consultation with and on the recommendation of the Chief Executive Officer. The factors used in determining the non-equity incentive plan payment amount for the Chief Financial Officer, Mr. Bharwani are: (I) skills and performance, 35%, (II) one individual objective, 14%, (III) subjective evaluation of that executive’s department, 42%, (IV) Company performance, 28% and (V) discretionary allocation recommended by the chief executive officer and approved by the Compensation Committee, 21%, representing a maximum payment amount of 140% of base compensation. The same factors are used in determining the non-equity incentive plan payment amount for the President, Mr. Lavin, and the numerical scores assigned to each of these factors are 40%, 16%, 48%, 32%, and 24%, respectively, representing a maximum payment amount of 160% of base compensation for the president.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end of the year 2025, our Compensation Committee evaluated each named executive officer’s performance in relation to these standards and goals.</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individual factors, the Compensation Committee, acting in part on the advice of our Chief Executive Officer, determined that creditable performance for 2025 for each named executive officer other than the Chief Executive Officer was as set forth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6"/>
        <w:gridCol w:w="60"/>
        <w:gridCol w:w="127"/>
        <w:gridCol w:w="808"/>
        <w:gridCol w:w="60"/>
        <w:gridCol w:w="60"/>
        <w:gridCol w:w="359"/>
        <w:gridCol w:w="3378"/>
        <w:gridCol w:w="60"/>
        <w:gridCol w:w="60"/>
        <w:gridCol w:w="163"/>
        <w:gridCol w:w="939"/>
        <w:gridCol w:w="60"/>
        <w:gridCol w:w="60"/>
        <w:gridCol w:w="396"/>
        <w:gridCol w:w="2269"/>
        <w:gridCol w:w="80"/>
      </w:tblGrid>
      <w:tr>
        <w:trPr/>
        <w:tc>
          <w:tcPr>
            <w:tcW w:w="12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Maximum</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7" w:type="dxa"/>
            <w:gridSpan w:val="2"/>
            <w:tcBorders>
              <w:bottom w:val="single" w:sz="8" w:space="0" w:color="000000"/>
            </w:tcBorders>
            <w:tcMar>
              <w:bottom w:w="28" w:type="dxa"/>
            </w:tcMar>
            <w:vAlign w:val="center"/>
          </w:tcPr>
          <w:p>
            <w:pPr>
              <w:pStyle w:val="TableContents"/>
              <w:bidi w:val="0"/>
              <w:spacing w:before="0" w:after="283"/>
              <w:jc w:val="center"/>
              <w:rPr>
                <w:i/>
              </w:rPr>
            </w:pPr>
            <w:r>
              <w:rPr>
                <w:i/>
              </w:rPr>
              <w:t>Creditable percentage (rounded to nearest tenth)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i/>
              </w:rPr>
            </w:pPr>
            <w:r>
              <w:rPr>
                <w:i/>
              </w:rPr>
              <w:t>Base 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Result (rounded to nearest $1000)</w:t>
            </w:r>
          </w:p>
        </w:tc>
        <w:tc>
          <w:tcPr>
            <w:tcW w:w="80" w:type="dxa"/>
            <w:tcBorders/>
            <w:vAlign w:val="center"/>
          </w:tcPr>
          <w:p>
            <w:pPr>
              <w:pStyle w:val="TableContents"/>
              <w:bidi w:val="0"/>
              <w:spacing w:before="0" w:after="283"/>
              <w:jc w:val="left"/>
              <w:rPr/>
            </w:pPr>
            <w:r>
              <w:rPr/>
              <w:t> </w:t>
            </w:r>
          </w:p>
        </w:tc>
      </w:tr>
      <w:tr>
        <w:trPr/>
        <w:tc>
          <w:tcPr>
            <w:tcW w:w="1266" w:type="dxa"/>
            <w:tcBorders/>
            <w:shd w:fill="EEEEEE" w:val="clear"/>
            <w:vAlign w:val="center"/>
          </w:tcPr>
          <w:p>
            <w:pPr>
              <w:pStyle w:val="TableContents"/>
              <w:bidi w:val="0"/>
              <w:spacing w:before="0" w:after="283"/>
              <w:jc w:val="left"/>
              <w:rPr/>
            </w:pPr>
            <w:r>
              <w:rPr/>
              <w:t>Mr. Lavin</w:t>
            </w:r>
          </w:p>
        </w:tc>
        <w:tc>
          <w:tcPr>
            <w:tcW w:w="60" w:type="dxa"/>
            <w:tcBorders/>
            <w:shd w:fill="EEEEEE" w:val="clear"/>
            <w:vAlign w:val="center"/>
          </w:tcPr>
          <w:p>
            <w:pPr>
              <w:pStyle w:val="TableContents"/>
              <w:bidi w:val="0"/>
              <w:spacing w:before="0" w:after="283"/>
              <w:jc w:val="left"/>
              <w:rPr/>
            </w:pPr>
            <w:r>
              <w:rPr/>
              <w:t> </w:t>
            </w:r>
          </w:p>
        </w:tc>
        <w:tc>
          <w:tcPr>
            <w:tcW w:w="127" w:type="dxa"/>
            <w:tcBorders/>
            <w:shd w:fill="EEEEEE" w:val="clear"/>
            <w:vAlign w:val="center"/>
          </w:tcPr>
          <w:p>
            <w:pPr>
              <w:pStyle w:val="TableContents"/>
              <w:bidi w:val="0"/>
              <w:spacing w:before="0" w:after="283"/>
              <w:jc w:val="left"/>
              <w:rPr/>
            </w:pPr>
            <w:r>
              <w:rPr/>
              <w:t> </w:t>
            </w:r>
          </w:p>
        </w:tc>
        <w:tc>
          <w:tcPr>
            <w:tcW w:w="808" w:type="dxa"/>
            <w:tcBorders/>
            <w:shd w:fill="EEEEEE" w:val="clear"/>
            <w:vAlign w:val="center"/>
          </w:tcPr>
          <w:p>
            <w:pPr>
              <w:pStyle w:val="TableContents"/>
              <w:bidi w:val="0"/>
              <w:spacing w:before="0" w:after="283"/>
              <w:jc w:val="right"/>
              <w:rPr/>
            </w:pPr>
            <w:r>
              <w:rPr/>
              <w:t>160%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9" w:type="dxa"/>
            <w:tcBorders/>
            <w:shd w:fill="EEEEEE" w:val="clear"/>
            <w:vAlign w:val="center"/>
          </w:tcPr>
          <w:p>
            <w:pPr>
              <w:pStyle w:val="TableContents"/>
              <w:bidi w:val="0"/>
              <w:spacing w:before="0" w:after="283"/>
              <w:jc w:val="left"/>
              <w:rPr/>
            </w:pPr>
            <w:r>
              <w:rPr/>
              <w:t> </w:t>
            </w:r>
          </w:p>
        </w:tc>
        <w:tc>
          <w:tcPr>
            <w:tcW w:w="3378" w:type="dxa"/>
            <w:tcBorders/>
            <w:shd w:fill="EEEEEE" w:val="clear"/>
            <w:vAlign w:val="center"/>
          </w:tcPr>
          <w:p>
            <w:pPr>
              <w:pStyle w:val="TableContents"/>
              <w:bidi w:val="0"/>
              <w:spacing w:before="0" w:after="283"/>
              <w:jc w:val="right"/>
              <w:rPr/>
            </w:pPr>
            <w:r>
              <w:rPr/>
              <w:t>95.5%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w:t>
            </w:r>
          </w:p>
        </w:tc>
        <w:tc>
          <w:tcPr>
            <w:tcW w:w="939" w:type="dxa"/>
            <w:tcBorders/>
            <w:shd w:fill="EEEEEE" w:val="clear"/>
            <w:vAlign w:val="center"/>
          </w:tcPr>
          <w:p>
            <w:pPr>
              <w:pStyle w:val="TableContents"/>
              <w:bidi w:val="0"/>
              <w:spacing w:before="0" w:after="283"/>
              <w:jc w:val="right"/>
              <w:rPr/>
            </w:pPr>
            <w:r>
              <w:rPr/>
              <w:t>470,000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96" w:type="dxa"/>
            <w:tcBorders/>
            <w:shd w:fill="EEEEEE" w:val="clear"/>
            <w:vAlign w:val="center"/>
          </w:tcPr>
          <w:p>
            <w:pPr>
              <w:pStyle w:val="TableContents"/>
              <w:bidi w:val="0"/>
              <w:spacing w:before="0" w:after="283"/>
              <w:jc w:val="left"/>
              <w:rPr/>
            </w:pPr>
            <w:r>
              <w:rPr/>
              <w:t>$</w:t>
            </w:r>
          </w:p>
        </w:tc>
        <w:tc>
          <w:tcPr>
            <w:tcW w:w="2269" w:type="dxa"/>
            <w:tcBorders/>
            <w:shd w:fill="EEEEEE" w:val="clear"/>
            <w:vAlign w:val="center"/>
          </w:tcPr>
          <w:p>
            <w:pPr>
              <w:pStyle w:val="TableContents"/>
              <w:bidi w:val="0"/>
              <w:spacing w:before="0" w:after="283"/>
              <w:jc w:val="right"/>
              <w:rPr/>
            </w:pPr>
            <w:r>
              <w:rPr/>
              <w:t>449,000</w:t>
            </w:r>
          </w:p>
        </w:tc>
        <w:tc>
          <w:tcPr>
            <w:tcW w:w="80" w:type="dxa"/>
            <w:tcBorders/>
            <w:shd w:fill="EEEEEE" w:val="clear"/>
            <w:vAlign w:val="center"/>
          </w:tcPr>
          <w:p>
            <w:pPr>
              <w:pStyle w:val="TableContents"/>
              <w:bidi w:val="0"/>
              <w:spacing w:before="0" w:after="283"/>
              <w:jc w:val="left"/>
              <w:rPr/>
            </w:pPr>
            <w:r>
              <w:rPr/>
              <w:t> </w:t>
            </w:r>
          </w:p>
        </w:tc>
      </w:tr>
      <w:tr>
        <w:trPr/>
        <w:tc>
          <w:tcPr>
            <w:tcW w:w="1266" w:type="dxa"/>
            <w:tcBorders/>
            <w:shd w:fill="FFFFFF" w:val="clear"/>
            <w:vAlign w:val="center"/>
          </w:tcPr>
          <w:p>
            <w:pPr>
              <w:pStyle w:val="TableContents"/>
              <w:bidi w:val="0"/>
              <w:spacing w:before="0" w:after="283"/>
              <w:jc w:val="left"/>
              <w:rPr/>
            </w:pPr>
            <w:r>
              <w:rPr/>
              <w:t>Mr. Bharwani</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3378" w:type="dxa"/>
            <w:tcBorders/>
            <w:shd w:fill="FFFFFF" w:val="clear"/>
            <w:vAlign w:val="center"/>
          </w:tcPr>
          <w:p>
            <w:pPr>
              <w:pStyle w:val="TableContents"/>
              <w:bidi w:val="0"/>
              <w:spacing w:before="0" w:after="283"/>
              <w:jc w:val="right"/>
              <w:rPr/>
            </w:pPr>
            <w:r>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9" w:type="dxa"/>
            <w:tcBorders/>
            <w:shd w:fill="FFFFFF" w:val="clear"/>
            <w:vAlign w:val="center"/>
          </w:tcPr>
          <w:p>
            <w:pPr>
              <w:pStyle w:val="TableContents"/>
              <w:bidi w:val="0"/>
              <w:spacing w:before="0" w:after="283"/>
              <w:jc w:val="right"/>
              <w:rPr/>
            </w:pPr>
            <w:r>
              <w:rPr/>
              <w:t>430,762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w:t>
            </w:r>
          </w:p>
        </w:tc>
        <w:tc>
          <w:tcPr>
            <w:tcW w:w="2269" w:type="dxa"/>
            <w:tcBorders/>
            <w:shd w:fill="FFFFFF" w:val="clear"/>
            <w:vAlign w:val="center"/>
          </w:tcPr>
          <w:p>
            <w:pPr>
              <w:pStyle w:val="TableContents"/>
              <w:bidi w:val="0"/>
              <w:spacing w:before="0" w:after="283"/>
              <w:jc w:val="right"/>
              <w:rPr/>
            </w:pPr>
            <w:r>
              <w:rPr/>
              <w:t>480,000</w:t>
            </w:r>
          </w:p>
        </w:tc>
        <w:tc>
          <w:tcPr>
            <w:tcW w:w="8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that basis, the Compensation Committee approved payments to these named executive officers in the amounts shown in the rightmost column.</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44" w:right="144" w:hanging="0"/>
        <w:jc w:val="left"/>
        <w:rPr>
          <w:caps w:val="false"/>
          <w:smallCaps w:val="false"/>
        </w:rPr>
      </w:pPr>
      <w:r>
        <w:rPr>
          <w:caps w:val="false"/>
          <w:smallCaps w:val="false"/>
        </w:rPr>
        <w:t> </w:t>
      </w:r>
    </w:p>
    <w:p>
      <w:pPr>
        <w:pStyle w:val="TextBody"/>
        <w:bidi w:val="0"/>
        <w:ind w:left="144" w:right="14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Equity Awards at Fiscal Year-end </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December 31, 2025 the number of shares subject to then exercisable and unexercisable options held by such persons and the exercise price and expiration date of each such option.  Each option referred to in the table was granted at an option price per share no less than the fair market value per share on the date of grant. None of such individuals holds a stock award; accordingly, only information concerning option awards is presented.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7"/>
        <w:gridCol w:w="60"/>
        <w:gridCol w:w="223"/>
        <w:gridCol w:w="2986"/>
        <w:gridCol w:w="60"/>
        <w:gridCol w:w="60"/>
        <w:gridCol w:w="228"/>
        <w:gridCol w:w="3073"/>
        <w:gridCol w:w="242"/>
        <w:gridCol w:w="60"/>
        <w:gridCol w:w="140"/>
        <w:gridCol w:w="560"/>
        <w:gridCol w:w="60"/>
        <w:gridCol w:w="60"/>
        <w:gridCol w:w="60"/>
        <w:gridCol w:w="837"/>
        <w:gridCol w:w="79"/>
      </w:tblGrid>
      <w:tr>
        <w:trPr/>
        <w:tc>
          <w:tcPr>
            <w:tcW w:w="1417" w:type="dxa"/>
            <w:tcBorders>
              <w:bottom w:val="single" w:sz="8" w:space="0" w:color="000000"/>
            </w:tcBorders>
            <w:vAlign w:val="center"/>
          </w:tcPr>
          <w:p>
            <w:pPr>
              <w:pStyle w:val="TableContents"/>
              <w:bidi w:val="0"/>
              <w:spacing w:before="0" w:after="283"/>
              <w:jc w:val="left"/>
              <w:rPr>
                <w:i/>
              </w:rPr>
            </w:pPr>
            <w:r>
              <w:rPr>
                <w:i/>
              </w:rPr>
              <w:t>Name</w:t>
            </w:r>
          </w:p>
        </w:tc>
        <w:tc>
          <w:tcPr>
            <w:tcW w:w="60" w:type="dxa"/>
            <w:tcBorders/>
            <w:tcMar>
              <w:bottom w:w="0" w:type="dxa"/>
            </w:tcMar>
            <w:vAlign w:val="center"/>
          </w:tcPr>
          <w:p>
            <w:pPr>
              <w:pStyle w:val="TableContents"/>
              <w:bidi w:val="0"/>
              <w:spacing w:before="0" w:after="283"/>
              <w:jc w:val="left"/>
              <w:rPr/>
            </w:pPr>
            <w:r>
              <w:rPr/>
              <w:t> </w:t>
            </w:r>
          </w:p>
        </w:tc>
        <w:tc>
          <w:tcPr>
            <w:tcW w:w="3209" w:type="dxa"/>
            <w:gridSpan w:val="2"/>
            <w:tcBorders>
              <w:bottom w:val="single" w:sz="8" w:space="0" w:color="000000"/>
            </w:tcBorders>
            <w:vAlign w:val="center"/>
          </w:tcPr>
          <w:p>
            <w:pPr>
              <w:pStyle w:val="TableContents"/>
              <w:bidi w:val="0"/>
              <w:spacing w:before="0" w:after="283"/>
              <w:jc w:val="center"/>
              <w:rPr>
                <w:i/>
              </w:rPr>
            </w:pPr>
            <w:r>
              <w:rPr>
                <w:i/>
              </w:rPr>
              <w:t>Number of securities underlying unexercised options (exercisable)(1)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01" w:type="dxa"/>
            <w:gridSpan w:val="2"/>
            <w:tcBorders>
              <w:bottom w:val="single" w:sz="8" w:space="0" w:color="000000"/>
            </w:tcBorders>
            <w:vAlign w:val="center"/>
          </w:tcPr>
          <w:p>
            <w:pPr>
              <w:pStyle w:val="TableContents"/>
              <w:bidi w:val="0"/>
              <w:spacing w:before="0" w:after="283"/>
              <w:jc w:val="center"/>
              <w:rPr>
                <w:i/>
              </w:rPr>
            </w:pPr>
            <w:r>
              <w:rPr>
                <w:i/>
              </w:rPr>
              <w:t>Number of securities underlying unexercised options (unexercisable)</w:t>
            </w:r>
          </w:p>
        </w:tc>
        <w:tc>
          <w:tcPr>
            <w:tcW w:w="2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7" w:type="dxa"/>
            <w:gridSpan w:val="2"/>
            <w:tcBorders>
              <w:bottom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expiration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w:t>
            </w:r>
          </w:p>
        </w:tc>
        <w:tc>
          <w:tcPr>
            <w:tcW w:w="79" w:type="dxa"/>
            <w:tcBorders/>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Charles E. Bradley, Jr.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300,000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3.53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8/8/2026</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240,000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2.47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6/1/2027</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300,000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4.95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8/3/2028</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562,500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187,500</w:t>
            </w:r>
          </w:p>
        </w:tc>
        <w:tc>
          <w:tcPr>
            <w:tcW w:w="242"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10.32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1/24/2029</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225,000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75,000</w:t>
            </w:r>
          </w:p>
        </w:tc>
        <w:tc>
          <w:tcPr>
            <w:tcW w:w="242" w:type="dxa"/>
            <w:tcBorders/>
            <w:shd w:fill="EEEEEE" w:val="clear"/>
            <w:tcMar>
              <w:bottom w:w="0" w:type="dxa"/>
            </w:tcMar>
            <w:vAlign w:val="center"/>
          </w:tcPr>
          <w:p>
            <w:pPr>
              <w:pStyle w:val="TableContents"/>
              <w:bidi w:val="0"/>
              <w:spacing w:before="0" w:after="283"/>
              <w:jc w:val="left"/>
              <w:rPr/>
            </w:pPr>
            <w:r>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10.25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6/24/2029</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300,000</w:t>
            </w:r>
          </w:p>
        </w:tc>
        <w:tc>
          <w:tcPr>
            <w:tcW w:w="242"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9/9/2032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 </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56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pPr>
            <w:r>
              <w:rPr/>
              <w:t> </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Michael T. Lavin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8/8/2026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150,000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2.47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6/1/2027</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4.95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8/3/2028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67,500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22,500</w:t>
            </w:r>
          </w:p>
        </w:tc>
        <w:tc>
          <w:tcPr>
            <w:tcW w:w="242" w:type="dxa"/>
            <w:tcBorders/>
            <w:shd w:fill="EEEEEE" w:val="clear"/>
            <w:tcMar>
              <w:bottom w:w="0" w:type="dxa"/>
            </w:tcMar>
            <w:vAlign w:val="center"/>
          </w:tcPr>
          <w:p>
            <w:pPr>
              <w:pStyle w:val="TableContents"/>
              <w:bidi w:val="0"/>
              <w:spacing w:before="0" w:after="283"/>
              <w:jc w:val="left"/>
              <w:rPr/>
            </w:pPr>
            <w:r>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10.25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6/24/2029</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120,000</w:t>
            </w:r>
          </w:p>
        </w:tc>
        <w:tc>
          <w:tcPr>
            <w:tcW w:w="242"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9/9/2032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 </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56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pPr>
            <w:r>
              <w:rPr/>
              <w:t> </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Danny Bharwani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8/8/2026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60,000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w:t>
            </w:r>
          </w:p>
        </w:tc>
        <w:tc>
          <w:tcPr>
            <w:tcW w:w="24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2.47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6/1/2027</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4.95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8/3/2028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41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3" w:type="dxa"/>
            <w:tcBorders/>
            <w:shd w:fill="EEEEEE" w:val="clear"/>
            <w:tcMar>
              <w:bottom w:w="0" w:type="dxa"/>
            </w:tcMar>
            <w:vAlign w:val="center"/>
          </w:tcPr>
          <w:p>
            <w:pPr>
              <w:pStyle w:val="TableContents"/>
              <w:bidi w:val="0"/>
              <w:spacing w:before="0" w:after="283"/>
              <w:jc w:val="left"/>
              <w:rPr/>
            </w:pPr>
            <w:r>
              <w:rPr/>
              <w:t> </w:t>
            </w:r>
          </w:p>
        </w:tc>
        <w:tc>
          <w:tcPr>
            <w:tcW w:w="2986" w:type="dxa"/>
            <w:tcBorders/>
            <w:shd w:fill="EEEEEE" w:val="clear"/>
            <w:tcMar>
              <w:bottom w:w="0" w:type="dxa"/>
            </w:tcMar>
            <w:vAlign w:val="center"/>
          </w:tcPr>
          <w:p>
            <w:pPr>
              <w:pStyle w:val="TableContents"/>
              <w:bidi w:val="0"/>
              <w:spacing w:before="0" w:after="283"/>
              <w:jc w:val="right"/>
              <w:rPr/>
            </w:pPr>
            <w:r>
              <w:rPr/>
              <w:t>45,000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8" w:type="dxa"/>
            <w:tcBorders/>
            <w:shd w:fill="EEEEEE" w:val="clear"/>
            <w:tcMar>
              <w:bottom w:w="0" w:type="dxa"/>
            </w:tcMar>
            <w:vAlign w:val="center"/>
          </w:tcPr>
          <w:p>
            <w:pPr>
              <w:pStyle w:val="TableContents"/>
              <w:bidi w:val="0"/>
              <w:spacing w:before="0" w:after="283"/>
              <w:jc w:val="left"/>
              <w:rPr/>
            </w:pPr>
            <w:r>
              <w:rPr/>
              <w:t> </w:t>
            </w:r>
          </w:p>
        </w:tc>
        <w:tc>
          <w:tcPr>
            <w:tcW w:w="3073" w:type="dxa"/>
            <w:tcBorders/>
            <w:shd w:fill="EEEEEE" w:val="clear"/>
            <w:tcMar>
              <w:bottom w:w="0" w:type="dxa"/>
            </w:tcMar>
            <w:vAlign w:val="center"/>
          </w:tcPr>
          <w:p>
            <w:pPr>
              <w:pStyle w:val="TableContents"/>
              <w:bidi w:val="0"/>
              <w:spacing w:before="0" w:after="283"/>
              <w:jc w:val="right"/>
              <w:rPr/>
            </w:pPr>
            <w:r>
              <w:rPr/>
              <w:t>15,000</w:t>
            </w:r>
          </w:p>
        </w:tc>
        <w:tc>
          <w:tcPr>
            <w:tcW w:w="242" w:type="dxa"/>
            <w:tcBorders/>
            <w:shd w:fill="EEEEEE" w:val="clear"/>
            <w:tcMar>
              <w:bottom w:w="0" w:type="dxa"/>
            </w:tcMar>
            <w:vAlign w:val="center"/>
          </w:tcPr>
          <w:p>
            <w:pPr>
              <w:pStyle w:val="TableContents"/>
              <w:bidi w:val="0"/>
              <w:spacing w:before="0" w:after="283"/>
              <w:jc w:val="left"/>
              <w:rPr/>
            </w:pPr>
            <w:r>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560" w:type="dxa"/>
            <w:tcBorders/>
            <w:shd w:fill="EEEEEE" w:val="clear"/>
            <w:tcMar>
              <w:bottom w:w="0" w:type="dxa"/>
            </w:tcMar>
            <w:vAlign w:val="center"/>
          </w:tcPr>
          <w:p>
            <w:pPr>
              <w:pStyle w:val="TableContents"/>
              <w:bidi w:val="0"/>
              <w:spacing w:before="0" w:after="283"/>
              <w:jc w:val="right"/>
              <w:rPr/>
            </w:pPr>
            <w:r>
              <w:rPr/>
              <w:t>10.25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7"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6/24/2029</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1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90,000</w:t>
            </w:r>
          </w:p>
        </w:tc>
        <w:tc>
          <w:tcPr>
            <w:tcW w:w="242"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9/9/2032</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original grant of options vested in 25% increments on the first, second, third and fourth anniversaries of the grant date.</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Becomes exercisable as to the unexercisable portion on January 24, 2026.</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Becomes exercisable as to the unexercisable portion on June 24, 2026.</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Becomes exercisable as to cumulative increments of 25% of the unexercisable portion on September 9, 2026, 2027, 2028, and 2029.</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in Last Fiscal Year</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three named executive officers exercised stock options during 2025. The table below shows the realized value and the number of options exercised for those individuals. None of our officers hold stock awards; accordingly, no stock awards vested during 2025.</w:t>
      </w:r>
    </w:p>
    <w:p>
      <w:pPr>
        <w:pStyle w:val="TextBody"/>
        <w:bidi w:val="0"/>
        <w:ind w:left="144" w:right="144"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w:t>
      </w:r>
    </w:p>
    <w:p>
      <w:pPr>
        <w:pStyle w:val="TextBody"/>
        <w:bidi w:val="0"/>
        <w:jc w:val="center"/>
        <w:rPr>
          <w:caps w:val="false"/>
          <w:smallCaps w:val="false"/>
        </w:rPr>
      </w:pPr>
      <w:r>
        <w:rPr>
          <w:caps w:val="false"/>
          <w:smallCaps w:val="false"/>
        </w:rPr>
        <w:t> </w:t>
      </w:r>
    </w:p>
    <w:tbl>
      <w:tblPr>
        <w:tblW w:w="8204" w:type="dxa"/>
        <w:jc w:val="left"/>
        <w:tblInd w:w="0" w:type="dxa"/>
        <w:tblLayout w:type="fixed"/>
        <w:tblCellMar>
          <w:top w:w="0" w:type="dxa"/>
          <w:left w:w="0" w:type="dxa"/>
          <w:bottom w:w="28" w:type="dxa"/>
          <w:right w:w="0" w:type="dxa"/>
        </w:tblCellMar>
      </w:tblPr>
      <w:tblGrid>
        <w:gridCol w:w="1370"/>
        <w:gridCol w:w="60"/>
        <w:gridCol w:w="260"/>
        <w:gridCol w:w="3479"/>
        <w:gridCol w:w="60"/>
        <w:gridCol w:w="60"/>
        <w:gridCol w:w="355"/>
        <w:gridCol w:w="2485"/>
        <w:gridCol w:w="75"/>
      </w:tblGrid>
      <w:tr>
        <w:trPr/>
        <w:tc>
          <w:tcPr>
            <w:tcW w:w="1370" w:type="dxa"/>
            <w:tcBorders>
              <w:bottom w:val="single" w:sz="8" w:space="0" w:color="000000"/>
            </w:tcBorders>
            <w:vAlign w:val="center"/>
          </w:tcPr>
          <w:p>
            <w:pPr>
              <w:pStyle w:val="TableContents"/>
              <w:bidi w:val="0"/>
              <w:spacing w:before="0" w:after="283"/>
              <w:jc w:val="left"/>
              <w:rPr>
                <w:i/>
              </w:rPr>
            </w:pPr>
            <w:r>
              <w:rPr>
                <w:i/>
              </w:rPr>
              <w:t>Name</w:t>
            </w:r>
          </w:p>
        </w:tc>
        <w:tc>
          <w:tcPr>
            <w:tcW w:w="60" w:type="dxa"/>
            <w:tcBorders/>
            <w:tcMar>
              <w:bottom w:w="0" w:type="dxa"/>
            </w:tcMar>
            <w:vAlign w:val="center"/>
          </w:tcPr>
          <w:p>
            <w:pPr>
              <w:pStyle w:val="TableContents"/>
              <w:bidi w:val="0"/>
              <w:spacing w:before="0" w:after="283"/>
              <w:jc w:val="left"/>
              <w:rPr/>
            </w:pPr>
            <w:r>
              <w:rPr/>
              <w:t> </w:t>
            </w:r>
          </w:p>
        </w:tc>
        <w:tc>
          <w:tcPr>
            <w:tcW w:w="3739" w:type="dxa"/>
            <w:gridSpan w:val="2"/>
            <w:tcBorders>
              <w:bottom w:val="single" w:sz="8" w:space="0" w:color="000000"/>
            </w:tcBorders>
            <w:vAlign w:val="center"/>
          </w:tcPr>
          <w:p>
            <w:pPr>
              <w:pStyle w:val="TableContents"/>
              <w:bidi w:val="0"/>
              <w:spacing w:before="0" w:after="283"/>
              <w:jc w:val="center"/>
              <w:rPr>
                <w:i/>
              </w:rPr>
            </w:pPr>
            <w:r>
              <w:rPr>
                <w:i/>
              </w:rPr>
              <w:t>Number of shares acquired on exercise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40" w:type="dxa"/>
            <w:gridSpan w:val="2"/>
            <w:tcBorders>
              <w:bottom w:val="single" w:sz="8" w:space="0" w:color="000000"/>
            </w:tcBorders>
            <w:vAlign w:val="center"/>
          </w:tcPr>
          <w:p>
            <w:pPr>
              <w:pStyle w:val="TableContents"/>
              <w:bidi w:val="0"/>
              <w:spacing w:before="0" w:after="283"/>
              <w:jc w:val="center"/>
              <w:rPr>
                <w:i/>
              </w:rPr>
            </w:pPr>
            <w:r>
              <w:rPr>
                <w:i/>
              </w:rPr>
              <w:t>Value realized on exercise (1)</w:t>
            </w:r>
          </w:p>
        </w:tc>
        <w:tc>
          <w:tcPr>
            <w:tcW w:w="75" w:type="dxa"/>
            <w:tcBorders/>
            <w:tcMar>
              <w:bottom w:w="0" w:type="dxa"/>
            </w:tcMar>
            <w:vAlign w:val="center"/>
          </w:tcPr>
          <w:p>
            <w:pPr>
              <w:pStyle w:val="TableContents"/>
              <w:bidi w:val="0"/>
              <w:spacing w:before="0" w:after="283"/>
              <w:jc w:val="left"/>
              <w:rPr/>
            </w:pPr>
            <w:r>
              <w:rPr/>
              <w:t> </w:t>
            </w:r>
          </w:p>
        </w:tc>
      </w:tr>
      <w:tr>
        <w:trPr/>
        <w:tc>
          <w:tcPr>
            <w:tcW w:w="1370" w:type="dxa"/>
            <w:tcBorders/>
            <w:shd w:fill="EEEEEE" w:val="clear"/>
            <w:tcMar>
              <w:bottom w:w="0" w:type="dxa"/>
            </w:tcMar>
            <w:vAlign w:val="center"/>
          </w:tcPr>
          <w:p>
            <w:pPr>
              <w:pStyle w:val="TableContents"/>
              <w:bidi w:val="0"/>
              <w:spacing w:before="0" w:after="283"/>
              <w:jc w:val="both"/>
              <w:rPr/>
            </w:pPr>
            <w:r>
              <w:rPr/>
              <w:t>Mr. Bradley</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0" w:type="dxa"/>
            <w:tcBorders/>
            <w:shd w:fill="EEEEEE" w:val="clear"/>
            <w:tcMar>
              <w:bottom w:w="0" w:type="dxa"/>
            </w:tcMar>
            <w:vAlign w:val="center"/>
          </w:tcPr>
          <w:p>
            <w:pPr>
              <w:pStyle w:val="TableContents"/>
              <w:bidi w:val="0"/>
              <w:spacing w:before="0" w:after="283"/>
              <w:jc w:val="left"/>
              <w:rPr/>
            </w:pPr>
            <w:r>
              <w:rPr/>
              <w:t> </w:t>
            </w:r>
          </w:p>
        </w:tc>
        <w:tc>
          <w:tcPr>
            <w:tcW w:w="3479" w:type="dxa"/>
            <w:tcBorders/>
            <w:shd w:fill="EEEEEE" w:val="clear"/>
            <w:tcMar>
              <w:bottom w:w="0" w:type="dxa"/>
            </w:tcMar>
            <w:vAlign w:val="center"/>
          </w:tcPr>
          <w:p>
            <w:pPr>
              <w:pStyle w:val="TableContents"/>
              <w:bidi w:val="0"/>
              <w:spacing w:before="0" w:after="283"/>
              <w:jc w:val="right"/>
              <w:rPr/>
            </w:pPr>
            <w:r>
              <w:rPr/>
              <w:t>300,000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5" w:type="dxa"/>
            <w:tcBorders/>
            <w:shd w:fill="EEEEEE" w:val="clear"/>
            <w:tcMar>
              <w:bottom w:w="0" w:type="dxa"/>
            </w:tcMar>
            <w:vAlign w:val="center"/>
          </w:tcPr>
          <w:p>
            <w:pPr>
              <w:pStyle w:val="TableContents"/>
              <w:bidi w:val="0"/>
              <w:spacing w:before="0" w:after="283"/>
              <w:jc w:val="left"/>
              <w:rPr/>
            </w:pPr>
            <w:r>
              <w:rPr/>
              <w:t>$</w:t>
            </w:r>
          </w:p>
        </w:tc>
        <w:tc>
          <w:tcPr>
            <w:tcW w:w="2485" w:type="dxa"/>
            <w:tcBorders/>
            <w:shd w:fill="EEEEEE" w:val="clear"/>
            <w:tcMar>
              <w:bottom w:w="0" w:type="dxa"/>
            </w:tcMar>
            <w:vAlign w:val="center"/>
          </w:tcPr>
          <w:p>
            <w:pPr>
              <w:pStyle w:val="TableContents"/>
              <w:bidi w:val="0"/>
              <w:spacing w:before="0" w:after="283"/>
              <w:jc w:val="right"/>
              <w:rPr/>
            </w:pPr>
            <w:r>
              <w:rPr/>
              <w:t>1,920,000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both"/>
              <w:rPr/>
            </w:pPr>
            <w:r>
              <w:rPr/>
              <w:t>Mr. Lavin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3479"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c>
          <w:tcPr>
            <w:tcW w:w="2485" w:type="dxa"/>
            <w:tcBorders/>
            <w:shd w:fill="FFFFFF" w:val="clear"/>
            <w:tcMar>
              <w:bottom w:w="0" w:type="dxa"/>
            </w:tcMar>
            <w:vAlign w:val="center"/>
          </w:tcPr>
          <w:p>
            <w:pPr>
              <w:pStyle w:val="TableContents"/>
              <w:bidi w:val="0"/>
              <w:spacing w:before="0" w:after="283"/>
              <w:jc w:val="right"/>
              <w:rPr/>
            </w:pPr>
            <w:r>
              <w:rPr/>
              <w:t>576,000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EEEEEE" w:val="clear"/>
            <w:tcMar>
              <w:bottom w:w="0" w:type="dxa"/>
            </w:tcMar>
            <w:vAlign w:val="center"/>
          </w:tcPr>
          <w:p>
            <w:pPr>
              <w:pStyle w:val="TableContents"/>
              <w:bidi w:val="0"/>
              <w:spacing w:before="0" w:after="283"/>
              <w:jc w:val="both"/>
              <w:rPr/>
            </w:pPr>
            <w:r>
              <w:rPr/>
              <w:t>Mr. Bharwani</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0" w:type="dxa"/>
            <w:tcBorders/>
            <w:shd w:fill="EEEEEE" w:val="clear"/>
            <w:tcMar>
              <w:bottom w:w="0" w:type="dxa"/>
            </w:tcMar>
            <w:vAlign w:val="center"/>
          </w:tcPr>
          <w:p>
            <w:pPr>
              <w:pStyle w:val="TableContents"/>
              <w:bidi w:val="0"/>
              <w:spacing w:before="0" w:after="283"/>
              <w:jc w:val="left"/>
              <w:rPr/>
            </w:pPr>
            <w:r>
              <w:rPr/>
              <w:t> </w:t>
            </w:r>
          </w:p>
        </w:tc>
        <w:tc>
          <w:tcPr>
            <w:tcW w:w="3479" w:type="dxa"/>
            <w:tcBorders/>
            <w:shd w:fill="EEEEEE" w:val="clear"/>
            <w:tcMar>
              <w:bottom w:w="0" w:type="dxa"/>
            </w:tcMar>
            <w:vAlign w:val="center"/>
          </w:tcPr>
          <w:p>
            <w:pPr>
              <w:pStyle w:val="TableContents"/>
              <w:bidi w:val="0"/>
              <w:spacing w:before="0" w:after="283"/>
              <w:jc w:val="right"/>
              <w:rPr/>
            </w:pPr>
            <w:r>
              <w:rPr/>
              <w:t>60,000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5" w:type="dxa"/>
            <w:tcBorders/>
            <w:shd w:fill="EEEEEE" w:val="clear"/>
            <w:tcMar>
              <w:bottom w:w="0" w:type="dxa"/>
            </w:tcMar>
            <w:vAlign w:val="center"/>
          </w:tcPr>
          <w:p>
            <w:pPr>
              <w:pStyle w:val="TableContents"/>
              <w:bidi w:val="0"/>
              <w:spacing w:before="0" w:after="283"/>
              <w:jc w:val="left"/>
              <w:rPr/>
            </w:pPr>
            <w:r>
              <w:rPr/>
              <w:t> </w:t>
            </w:r>
          </w:p>
        </w:tc>
        <w:tc>
          <w:tcPr>
            <w:tcW w:w="2485" w:type="dxa"/>
            <w:tcBorders/>
            <w:shd w:fill="EEEEEE" w:val="clear"/>
            <w:tcMar>
              <w:bottom w:w="0" w:type="dxa"/>
            </w:tcMar>
            <w:vAlign w:val="center"/>
          </w:tcPr>
          <w:p>
            <w:pPr>
              <w:pStyle w:val="TableContents"/>
              <w:bidi w:val="0"/>
              <w:spacing w:before="0" w:after="283"/>
              <w:jc w:val="right"/>
              <w:rPr/>
            </w:pPr>
            <w:r>
              <w:rPr/>
              <w:t>384,000</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realized is the difference between the fair market value of the Company’s common stock on the date of exercise (the closing price reported by Nasdaq) and the exercise price of the option.</w:t>
            </w:r>
          </w:p>
        </w:tc>
      </w:tr>
    </w:tbl>
    <w:p>
      <w:pPr>
        <w:pStyle w:val="TextBody"/>
        <w:bidi w:val="0"/>
        <w:jc w:val="left"/>
        <w:rPr>
          <w:caps w:val="false"/>
          <w:smallCaps w:val="false"/>
        </w:rPr>
      </w:pPr>
      <w:r>
        <w:rPr>
          <w:caps w:val="false"/>
          <w:smallCaps w:val="false"/>
        </w:rPr>
        <w:t> </w:t>
      </w:r>
    </w:p>
    <w:p>
      <w:pPr>
        <w:pStyle w:val="TextBody"/>
        <w:bidi w:val="0"/>
        <w:ind w:left="432" w:right="432"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Plans</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do not participate in any pension or retirement plan, other than a tax-qualified defined contribution plan (commonly known as a 401(k) plan).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of Control</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provides information regarding payments and benefits to the named executive officers that would be triggered by termination of the officer’s employment (including resignation, or voluntary termination; severance, or involuntary termination; and retirement) or a change of control of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named executive officers is an at-will employee and, as such, does not have an employment contract. In addition, if the officer’s employment terminates for any reason other than a change of control of the Company, any unvested stock options are terminated, and vested options become subject to accelerated expiration: ordinarily three months following separation from service, or twelve months in the case of disability, retirement or death. Accordingly, there are no payments or benefits that are triggered by any termination event (including resignation and severance) other than in connection with a change of control of the Company.</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Benefits Triggered by Change of Control or Termination after Change of Control</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option plans provide that each employee of ours who holds outstanding unexpired options under our stock option may have the right to exercise such options following a change of control of the Company, without regard to the date such option would first be exercisable. Each of the named executive officers holds such options. The “acceleration” of options is mandatory following certain changes of control, and subject to the discretion of the Compensation Committee following certain others. Acceleration is mandatory in the event of (i) the sale, or other disposition of substantially all of the Company’s assets, or (ii) a merger or similar transaction in which shareholders of the Company hold less than 50% of the shares of the surviving entity; provided, however, that acceleration following a merger or similar transaction is mandatory only if the holder suffers a Qualifying Termination (defined below) within one year following the transaction, or if the surviving entity does not provide the holder with an equivalent award. Acceleration is also mandatory if a holder suffers a Qualifying Termination within one year following (iii) a change within a three-year period in the membership of a majority of the Board (excluding changes recommended by the Board), or (iv) a person’s acquisition of outstanding voting securities of the Company, other than directly from the Company and without approval of the Board, resulting in that person’s having beneficial ownership of greater than 25% of the Company.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stock option plans, the Compensation Committee may exercise its discretion to provide for acceleration under other circumstances than those described above with respect to any particular stock option or class of stock options. The committee would expect to exercise its discretion with the intention of preserving the value of the stock option award. To date, such discretion has not been exercised. A “Qualifying Termination” is a termination of the holder’s employment by the Company other than for cause, disability or death, or by the holder for “good reason” (principally relating to a material diminution in the holder’s authority, compensation or responsibilities, or a relocation of greater than 50 miles). The preceding description applies to options held by officers and employees. Options issued to non-employee directors accelerate without the exercise of discretion upon any of the four categories of change of control described above.</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each of the named executive officers would realize a benefit if unvested stock options were to become immediately exercisable upon a change in control, based on the value of the shares underlying such options at the closing market price on December 31, 2025, which was $9.33 per share. The respective amounts of such possible benefit are set forth in the following table:</w:t>
      </w:r>
    </w:p>
    <w:p>
      <w:pPr>
        <w:pStyle w:val="TextBody"/>
        <w:bidi w:val="0"/>
        <w:jc w:val="left"/>
        <w:rPr>
          <w:caps w:val="false"/>
          <w:smallCaps w:val="false"/>
        </w:rPr>
      </w:pPr>
      <w:r>
        <w:rPr>
          <w:caps w:val="false"/>
          <w:smallCaps w:val="false"/>
        </w:rPr>
        <w:t> </w:t>
      </w:r>
    </w:p>
    <w:tbl>
      <w:tblPr>
        <w:tblW w:w="3069" w:type="dxa"/>
        <w:jc w:val="left"/>
        <w:tblInd w:w="0" w:type="dxa"/>
        <w:tblLayout w:type="fixed"/>
        <w:tblCellMar>
          <w:top w:w="0" w:type="dxa"/>
          <w:left w:w="0" w:type="dxa"/>
          <w:bottom w:w="0" w:type="dxa"/>
          <w:right w:w="0" w:type="dxa"/>
        </w:tblCellMar>
      </w:tblPr>
      <w:tblGrid>
        <w:gridCol w:w="1370"/>
        <w:gridCol w:w="60"/>
        <w:gridCol w:w="232"/>
        <w:gridCol w:w="1332"/>
        <w:gridCol w:w="75"/>
      </w:tblGrid>
      <w:tr>
        <w:trPr/>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Potential Value</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Upon Acceleration</w:t>
            </w:r>
          </w:p>
        </w:tc>
        <w:tc>
          <w:tcPr>
            <w:tcW w:w="75" w:type="dxa"/>
            <w:tcBorders/>
            <w:vAlign w:val="center"/>
          </w:tcPr>
          <w:p>
            <w:pPr>
              <w:pStyle w:val="TableContents"/>
              <w:bidi w:val="0"/>
              <w:spacing w:before="0" w:after="283"/>
              <w:jc w:val="left"/>
              <w:rPr/>
            </w:pPr>
            <w:r>
              <w:rPr/>
              <w:t> </w:t>
            </w:r>
          </w:p>
        </w:tc>
      </w:tr>
      <w:tr>
        <w:trPr/>
        <w:tc>
          <w:tcPr>
            <w:tcW w:w="1370" w:type="dxa"/>
            <w:tcBorders/>
            <w:shd w:fill="EEEEEE" w:val="clear"/>
            <w:vAlign w:val="center"/>
          </w:tcPr>
          <w:p>
            <w:pPr>
              <w:pStyle w:val="TableContents"/>
              <w:bidi w:val="0"/>
              <w:spacing w:before="0" w:after="283"/>
              <w:jc w:val="left"/>
              <w:rPr/>
            </w:pPr>
            <w:r>
              <w:rPr/>
              <w:t>Mr. Bradley</w:t>
            </w:r>
          </w:p>
        </w:tc>
        <w:tc>
          <w:tcPr>
            <w:tcW w:w="60" w:type="dxa"/>
            <w:tcBorders/>
            <w:shd w:fill="EEEEEE" w:val="clear"/>
            <w:vAlign w:val="center"/>
          </w:tcPr>
          <w:p>
            <w:pPr>
              <w:pStyle w:val="TableContents"/>
              <w:bidi w:val="0"/>
              <w:spacing w:before="0" w:after="283"/>
              <w:jc w:val="left"/>
              <w:rPr/>
            </w:pPr>
            <w:r>
              <w:rPr/>
              <w:t> </w:t>
            </w:r>
          </w:p>
        </w:tc>
        <w:tc>
          <w:tcPr>
            <w:tcW w:w="232" w:type="dxa"/>
            <w:tcBorders/>
            <w:shd w:fill="EEEEEE" w:val="clear"/>
            <w:vAlign w:val="center"/>
          </w:tcPr>
          <w:p>
            <w:pPr>
              <w:pStyle w:val="TableContents"/>
              <w:bidi w:val="0"/>
              <w:spacing w:before="0" w:after="283"/>
              <w:jc w:val="left"/>
              <w:rPr/>
            </w:pPr>
            <w:r>
              <w:rPr/>
              <w:t>$</w:t>
            </w:r>
          </w:p>
        </w:tc>
        <w:tc>
          <w:tcPr>
            <w:tcW w:w="1332" w:type="dxa"/>
            <w:tcBorders/>
            <w:shd w:fill="EEEEEE" w:val="clear"/>
            <w:vAlign w:val="center"/>
          </w:tcPr>
          <w:p>
            <w:pPr>
              <w:pStyle w:val="TableContents"/>
              <w:bidi w:val="0"/>
              <w:spacing w:before="0" w:after="283"/>
              <w:jc w:val="right"/>
              <w:rPr/>
            </w:pPr>
            <w:r>
              <w:rPr/>
              <w:t>342,000</w:t>
            </w:r>
          </w:p>
        </w:tc>
        <w:tc>
          <w:tcPr>
            <w:tcW w:w="75" w:type="dxa"/>
            <w:tcBorders/>
            <w:shd w:fill="EEEEEE"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Mr. Lavin</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136,800</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EEEEEE" w:val="clear"/>
            <w:vAlign w:val="center"/>
          </w:tcPr>
          <w:p>
            <w:pPr>
              <w:pStyle w:val="TableContents"/>
              <w:bidi w:val="0"/>
              <w:spacing w:before="0" w:after="283"/>
              <w:jc w:val="left"/>
              <w:rPr/>
            </w:pPr>
            <w:r>
              <w:rPr/>
              <w:t>Mr. Bharwani</w:t>
            </w:r>
          </w:p>
        </w:tc>
        <w:tc>
          <w:tcPr>
            <w:tcW w:w="60" w:type="dxa"/>
            <w:tcBorders/>
            <w:shd w:fill="EEEEEE" w:val="clear"/>
            <w:vAlign w:val="center"/>
          </w:tcPr>
          <w:p>
            <w:pPr>
              <w:pStyle w:val="TableContents"/>
              <w:bidi w:val="0"/>
              <w:spacing w:before="0" w:after="283"/>
              <w:jc w:val="left"/>
              <w:rPr/>
            </w:pPr>
            <w:r>
              <w:rPr/>
              <w:t> </w:t>
            </w:r>
          </w:p>
        </w:tc>
        <w:tc>
          <w:tcPr>
            <w:tcW w:w="232" w:type="dxa"/>
            <w:tcBorders/>
            <w:shd w:fill="EEEEEE" w:val="clear"/>
            <w:vAlign w:val="center"/>
          </w:tcPr>
          <w:p>
            <w:pPr>
              <w:pStyle w:val="TableContents"/>
              <w:bidi w:val="0"/>
              <w:spacing w:before="0" w:after="283"/>
              <w:jc w:val="left"/>
              <w:rPr/>
            </w:pPr>
            <w:r>
              <w:rPr/>
              <w:t> </w:t>
            </w:r>
          </w:p>
        </w:tc>
        <w:tc>
          <w:tcPr>
            <w:tcW w:w="1332" w:type="dxa"/>
            <w:tcBorders/>
            <w:shd w:fill="EEEEEE" w:val="clear"/>
            <w:vAlign w:val="center"/>
          </w:tcPr>
          <w:p>
            <w:pPr>
              <w:pStyle w:val="TableContents"/>
              <w:bidi w:val="0"/>
              <w:spacing w:before="0" w:after="283"/>
              <w:jc w:val="right"/>
              <w:rPr/>
            </w:pPr>
            <w:r>
              <w:rPr/>
              <w:t>102,600</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2025, we paid our non-employee directors a retainer of $6,000 per month, with an additional fee of $700 per month for service on a Board committee ($1,200 for a committee chairman). Non-employee directors also received </w:t>
      </w:r>
      <w:r>
        <w:rPr>
          <w:rFonts w:ascii="Times New Roman;Times;Serif" w:hAnsi="Times New Roman;Times;Serif"/>
          <w:b w:val="false"/>
          <w:i/>
          <w:caps w:val="false"/>
          <w:smallCaps w:val="false"/>
          <w:sz w:val="20"/>
        </w:rPr>
        <w:t>per diem</w:t>
      </w:r>
      <w:r>
        <w:rPr>
          <w:rFonts w:ascii="Times New Roman;Times;Serif" w:hAnsi="Times New Roman;Times;Serif"/>
          <w:b w:val="false"/>
          <w:i w:val="false"/>
          <w:caps w:val="false"/>
          <w:smallCaps w:val="false"/>
          <w:sz w:val="20"/>
        </w:rPr>
        <w:t xml:space="preserve"> fees of $1,000 for attendance in person at meetings of the Board, or $500 for attendance by telephone. No </w:t>
      </w:r>
      <w:r>
        <w:rPr>
          <w:rFonts w:ascii="Times New Roman;Times;Serif" w:hAnsi="Times New Roman;Times;Serif"/>
          <w:b w:val="false"/>
          <w:i/>
          <w:caps w:val="false"/>
          <w:smallCaps w:val="false"/>
          <w:sz w:val="20"/>
        </w:rPr>
        <w:t>per diem</w:t>
      </w:r>
      <w:r>
        <w:rPr>
          <w:rFonts w:ascii="Times New Roman;Times;Serif" w:hAnsi="Times New Roman;Times;Serif"/>
          <w:b w:val="false"/>
          <w:i w:val="false"/>
          <w:caps w:val="false"/>
          <w:smallCaps w:val="false"/>
          <w:sz w:val="20"/>
        </w:rPr>
        <w:t xml:space="preserve"> fees are paid for attendance at committee meetings. The following table summarizes compensation received by our directors for the year 2025: </w:t>
      </w:r>
    </w:p>
    <w:p>
      <w:pPr>
        <w:pStyle w:val="TextBody"/>
        <w:bidi w:val="0"/>
        <w:ind w:left="144" w:right="144" w:hanging="0"/>
        <w:jc w:val="left"/>
        <w:rPr>
          <w:caps w:val="false"/>
          <w:smallCaps w:val="false"/>
        </w:rPr>
      </w:pPr>
      <w:r>
        <w:rPr>
          <w:caps w:val="false"/>
          <w:smallCaps w:val="false"/>
        </w:rPr>
        <w:t> </w:t>
      </w:r>
    </w:p>
    <w:tbl>
      <w:tblPr>
        <w:tblW w:w="6904" w:type="dxa"/>
        <w:jc w:val="left"/>
        <w:tblInd w:w="0" w:type="dxa"/>
        <w:tblLayout w:type="fixed"/>
        <w:tblCellMar>
          <w:top w:w="0" w:type="dxa"/>
          <w:left w:w="0" w:type="dxa"/>
          <w:bottom w:w="28" w:type="dxa"/>
          <w:right w:w="0" w:type="dxa"/>
        </w:tblCellMar>
      </w:tblPr>
      <w:tblGrid>
        <w:gridCol w:w="2570"/>
        <w:gridCol w:w="60"/>
        <w:gridCol w:w="467"/>
        <w:gridCol w:w="2672"/>
        <w:gridCol w:w="60"/>
        <w:gridCol w:w="60"/>
        <w:gridCol w:w="140"/>
        <w:gridCol w:w="800"/>
        <w:gridCol w:w="75"/>
      </w:tblGrid>
      <w:tr>
        <w:trPr/>
        <w:tc>
          <w:tcPr>
            <w:tcW w:w="2570" w:type="dxa"/>
            <w:tcBorders>
              <w:bottom w:val="single" w:sz="8" w:space="0" w:color="000000"/>
            </w:tcBorders>
            <w:vAlign w:val="center"/>
          </w:tcPr>
          <w:p>
            <w:pPr>
              <w:pStyle w:val="TableContents"/>
              <w:bidi w:val="0"/>
              <w:spacing w:before="0" w:after="283"/>
              <w:jc w:val="both"/>
              <w:rPr>
                <w:i/>
              </w:rPr>
            </w:pPr>
            <w:r>
              <w:rPr>
                <w:i/>
              </w:rPr>
              <w:t>Name of Director (1)</w:t>
            </w:r>
          </w:p>
        </w:tc>
        <w:tc>
          <w:tcPr>
            <w:tcW w:w="60" w:type="dxa"/>
            <w:tcBorders/>
            <w:tcMar>
              <w:bottom w:w="0" w:type="dxa"/>
            </w:tcMar>
            <w:vAlign w:val="center"/>
          </w:tcPr>
          <w:p>
            <w:pPr>
              <w:pStyle w:val="TableContents"/>
              <w:bidi w:val="0"/>
              <w:spacing w:before="0" w:after="283"/>
              <w:jc w:val="left"/>
              <w:rPr/>
            </w:pPr>
            <w:r>
              <w:rPr/>
              <w:t> </w:t>
            </w:r>
          </w:p>
        </w:tc>
        <w:tc>
          <w:tcPr>
            <w:tcW w:w="3139" w:type="dxa"/>
            <w:gridSpan w:val="2"/>
            <w:tcBorders>
              <w:bottom w:val="single" w:sz="8" w:space="0" w:color="000000"/>
            </w:tcBorders>
            <w:vAlign w:val="center"/>
          </w:tcPr>
          <w:p>
            <w:pPr>
              <w:pStyle w:val="TableContents"/>
              <w:bidi w:val="0"/>
              <w:spacing w:before="0" w:after="283"/>
              <w:jc w:val="center"/>
              <w:rPr>
                <w:i/>
              </w:rPr>
            </w:pPr>
            <w:r>
              <w:rPr>
                <w:i/>
              </w:rPr>
              <w:t>Fees Earned or Paid in Cash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i/>
              </w:rPr>
            </w:pPr>
            <w:r>
              <w:rPr>
                <w:i/>
              </w:rPr>
              <w:t>Total</w:t>
            </w:r>
          </w:p>
        </w:tc>
        <w:tc>
          <w:tcPr>
            <w:tcW w:w="75" w:type="dxa"/>
            <w:tcBorders/>
            <w:tcMar>
              <w:bottom w:w="0" w:type="dxa"/>
            </w:tcMar>
            <w:vAlign w:val="center"/>
          </w:tcPr>
          <w:p>
            <w:pPr>
              <w:pStyle w:val="TableContents"/>
              <w:bidi w:val="0"/>
              <w:spacing w:before="0" w:after="283"/>
              <w:jc w:val="left"/>
              <w:rPr/>
            </w:pPr>
            <w:r>
              <w:rPr/>
              <w:t> </w:t>
            </w:r>
          </w:p>
        </w:tc>
      </w:tr>
      <w:tr>
        <w:trPr/>
        <w:tc>
          <w:tcPr>
            <w:tcW w:w="2570" w:type="dxa"/>
            <w:tcBorders/>
            <w:shd w:fill="EEEEEE" w:val="clear"/>
            <w:tcMar>
              <w:bottom w:w="0" w:type="dxa"/>
            </w:tcMar>
            <w:vAlign w:val="center"/>
          </w:tcPr>
          <w:p>
            <w:pPr>
              <w:pStyle w:val="TableContents"/>
              <w:bidi w:val="0"/>
              <w:spacing w:before="0" w:after="283"/>
              <w:jc w:val="both"/>
              <w:rPr/>
            </w:pPr>
            <w:r>
              <w:rPr/>
              <w:t>Charles E. Bradley, Jr.  (3)</w:t>
            </w:r>
          </w:p>
        </w:tc>
        <w:tc>
          <w:tcPr>
            <w:tcW w:w="60" w:type="dxa"/>
            <w:tcBorders/>
            <w:shd w:fill="EEEEEE" w:val="clear"/>
            <w:tcMar>
              <w:bottom w:w="0" w:type="dxa"/>
            </w:tcMar>
            <w:vAlign w:val="center"/>
          </w:tcPr>
          <w:p>
            <w:pPr>
              <w:pStyle w:val="TableContents"/>
              <w:bidi w:val="0"/>
              <w:spacing w:before="0" w:after="283"/>
              <w:jc w:val="left"/>
              <w:rPr/>
            </w:pPr>
            <w:r>
              <w:rPr/>
              <w:t> </w:t>
            </w:r>
          </w:p>
        </w:tc>
        <w:tc>
          <w:tcPr>
            <w:tcW w:w="467" w:type="dxa"/>
            <w:tcBorders/>
            <w:shd w:fill="EEEEEE" w:val="clear"/>
            <w:tcMar>
              <w:bottom w:w="0" w:type="dxa"/>
            </w:tcMar>
            <w:vAlign w:val="center"/>
          </w:tcPr>
          <w:p>
            <w:pPr>
              <w:pStyle w:val="TableContents"/>
              <w:bidi w:val="0"/>
              <w:spacing w:before="0" w:after="283"/>
              <w:jc w:val="left"/>
              <w:rPr/>
            </w:pPr>
            <w:r>
              <w:rPr/>
              <w:t>$</w:t>
            </w:r>
          </w:p>
        </w:tc>
        <w:tc>
          <w:tcPr>
            <w:tcW w:w="2672"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800" w:type="dxa"/>
            <w:tcBorders/>
            <w:shd w:fill="EEEEEE" w:val="clear"/>
            <w:tcMar>
              <w:bottom w:w="0" w:type="dxa"/>
            </w:tcMar>
            <w:vAlign w:val="center"/>
          </w:tcPr>
          <w:p>
            <w:pPr>
              <w:pStyle w:val="TableContents"/>
              <w:bidi w:val="0"/>
              <w:spacing w:before="0" w:after="283"/>
              <w:jc w:val="right"/>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both"/>
              <w:rPr/>
            </w:pPr>
            <w:r>
              <w:rPr/>
              <w:t>Stephen H. Deckoff</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left"/>
              <w:rPr/>
            </w:pPr>
            <w:r>
              <w:rPr/>
              <w:t> </w:t>
            </w:r>
          </w:p>
        </w:tc>
        <w:tc>
          <w:tcPr>
            <w:tcW w:w="2672" w:type="dxa"/>
            <w:tcBorders/>
            <w:shd w:fill="FFFFFF" w:val="clear"/>
            <w:tcMar>
              <w:bottom w:w="0" w:type="dxa"/>
            </w:tcMar>
            <w:vAlign w:val="center"/>
          </w:tcPr>
          <w:p>
            <w:pPr>
              <w:pStyle w:val="TableContents"/>
              <w:bidi w:val="0"/>
              <w:spacing w:before="0" w:after="283"/>
              <w:jc w:val="right"/>
              <w:rPr/>
            </w:pPr>
            <w:r>
              <w:rPr/>
              <w:t>73,500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EEEEEE" w:val="clear"/>
            <w:tcMar>
              <w:bottom w:w="0" w:type="dxa"/>
            </w:tcMar>
            <w:vAlign w:val="center"/>
          </w:tcPr>
          <w:p>
            <w:pPr>
              <w:pStyle w:val="TableContents"/>
              <w:bidi w:val="0"/>
              <w:spacing w:before="0" w:after="283"/>
              <w:jc w:val="both"/>
              <w:rPr/>
            </w:pPr>
            <w:r>
              <w:rPr/>
              <w:t>Louis M. Grasso</w:t>
            </w:r>
          </w:p>
        </w:tc>
        <w:tc>
          <w:tcPr>
            <w:tcW w:w="60" w:type="dxa"/>
            <w:tcBorders/>
            <w:shd w:fill="EEEEEE" w:val="clear"/>
            <w:tcMar>
              <w:bottom w:w="0" w:type="dxa"/>
            </w:tcMar>
            <w:vAlign w:val="center"/>
          </w:tcPr>
          <w:p>
            <w:pPr>
              <w:pStyle w:val="TableContents"/>
              <w:bidi w:val="0"/>
              <w:spacing w:before="0" w:after="283"/>
              <w:jc w:val="left"/>
              <w:rPr/>
            </w:pPr>
            <w:r>
              <w:rPr/>
              <w:t> </w:t>
            </w:r>
          </w:p>
        </w:tc>
        <w:tc>
          <w:tcPr>
            <w:tcW w:w="467" w:type="dxa"/>
            <w:tcBorders/>
            <w:shd w:fill="EEEEEE" w:val="clear"/>
            <w:tcMar>
              <w:bottom w:w="0" w:type="dxa"/>
            </w:tcMar>
            <w:vAlign w:val="center"/>
          </w:tcPr>
          <w:p>
            <w:pPr>
              <w:pStyle w:val="TableContents"/>
              <w:bidi w:val="0"/>
              <w:spacing w:before="0" w:after="283"/>
              <w:jc w:val="left"/>
              <w:rPr/>
            </w:pPr>
            <w:r>
              <w:rPr/>
              <w:t> </w:t>
            </w:r>
          </w:p>
        </w:tc>
        <w:tc>
          <w:tcPr>
            <w:tcW w:w="2672" w:type="dxa"/>
            <w:tcBorders/>
            <w:shd w:fill="EEEEEE" w:val="clear"/>
            <w:tcMar>
              <w:bottom w:w="0" w:type="dxa"/>
            </w:tcMar>
            <w:vAlign w:val="center"/>
          </w:tcPr>
          <w:p>
            <w:pPr>
              <w:pStyle w:val="TableContents"/>
              <w:bidi w:val="0"/>
              <w:spacing w:before="0" w:after="283"/>
              <w:jc w:val="right"/>
              <w:rPr/>
            </w:pPr>
            <w:r>
              <w:rPr/>
              <w:t>84,400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84,400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both"/>
              <w:rPr/>
            </w:pPr>
            <w:r>
              <w:rPr/>
              <w:t>William W. Grounds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left"/>
              <w:rPr/>
            </w:pPr>
            <w:r>
              <w:rPr/>
              <w:t> </w:t>
            </w:r>
          </w:p>
        </w:tc>
        <w:tc>
          <w:tcPr>
            <w:tcW w:w="2672" w:type="dxa"/>
            <w:tcBorders/>
            <w:shd w:fill="FFFFFF" w:val="clear"/>
            <w:tcMar>
              <w:bottom w:w="0" w:type="dxa"/>
            </w:tcMar>
            <w:vAlign w:val="center"/>
          </w:tcPr>
          <w:p>
            <w:pPr>
              <w:pStyle w:val="TableContents"/>
              <w:bidi w:val="0"/>
              <w:spacing w:before="0" w:after="283"/>
              <w:jc w:val="right"/>
              <w:rPr/>
            </w:pPr>
            <w:r>
              <w:rPr/>
              <w:t>92,300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92,300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EEEEEE" w:val="clear"/>
            <w:tcMar>
              <w:bottom w:w="0" w:type="dxa"/>
            </w:tcMar>
            <w:vAlign w:val="center"/>
          </w:tcPr>
          <w:p>
            <w:pPr>
              <w:pStyle w:val="TableContents"/>
              <w:bidi w:val="0"/>
              <w:spacing w:before="0" w:after="283"/>
              <w:jc w:val="both"/>
              <w:rPr/>
            </w:pPr>
            <w:r>
              <w:rPr/>
              <w:t>Brian J. Rayhill</w:t>
            </w:r>
          </w:p>
        </w:tc>
        <w:tc>
          <w:tcPr>
            <w:tcW w:w="60" w:type="dxa"/>
            <w:tcBorders/>
            <w:shd w:fill="EEEEEE" w:val="clear"/>
            <w:tcMar>
              <w:bottom w:w="0" w:type="dxa"/>
            </w:tcMar>
            <w:vAlign w:val="center"/>
          </w:tcPr>
          <w:p>
            <w:pPr>
              <w:pStyle w:val="TableContents"/>
              <w:bidi w:val="0"/>
              <w:spacing w:before="0" w:after="283"/>
              <w:jc w:val="left"/>
              <w:rPr/>
            </w:pPr>
            <w:r>
              <w:rPr/>
              <w:t> </w:t>
            </w:r>
          </w:p>
        </w:tc>
        <w:tc>
          <w:tcPr>
            <w:tcW w:w="467" w:type="dxa"/>
            <w:tcBorders/>
            <w:shd w:fill="EEEEEE" w:val="clear"/>
            <w:tcMar>
              <w:bottom w:w="0" w:type="dxa"/>
            </w:tcMar>
            <w:vAlign w:val="center"/>
          </w:tcPr>
          <w:p>
            <w:pPr>
              <w:pStyle w:val="TableContents"/>
              <w:bidi w:val="0"/>
              <w:spacing w:before="0" w:after="283"/>
              <w:jc w:val="left"/>
              <w:rPr/>
            </w:pPr>
            <w:r>
              <w:rPr/>
              <w:t> </w:t>
            </w:r>
          </w:p>
        </w:tc>
        <w:tc>
          <w:tcPr>
            <w:tcW w:w="2672" w:type="dxa"/>
            <w:tcBorders/>
            <w:shd w:fill="EEEEEE" w:val="clear"/>
            <w:tcMar>
              <w:bottom w:w="0" w:type="dxa"/>
            </w:tcMar>
            <w:vAlign w:val="center"/>
          </w:tcPr>
          <w:p>
            <w:pPr>
              <w:pStyle w:val="TableContents"/>
              <w:bidi w:val="0"/>
              <w:spacing w:before="0" w:after="283"/>
              <w:jc w:val="right"/>
              <w:rPr/>
            </w:pPr>
            <w:r>
              <w:rPr/>
              <w:t>107,200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107,200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both"/>
              <w:rPr/>
            </w:pPr>
            <w:r>
              <w:rPr/>
              <w:t>William B. Roberts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left"/>
              <w:rPr/>
            </w:pPr>
            <w:r>
              <w:rPr/>
              <w:t> </w:t>
            </w:r>
          </w:p>
        </w:tc>
        <w:tc>
          <w:tcPr>
            <w:tcW w:w="2672" w:type="dxa"/>
            <w:tcBorders/>
            <w:shd w:fill="FFFFFF" w:val="clear"/>
            <w:tcMar>
              <w:bottom w:w="0" w:type="dxa"/>
            </w:tcMar>
            <w:vAlign w:val="center"/>
          </w:tcPr>
          <w:p>
            <w:pPr>
              <w:pStyle w:val="TableContents"/>
              <w:bidi w:val="0"/>
              <w:spacing w:before="0" w:after="283"/>
              <w:jc w:val="right"/>
              <w:rPr/>
            </w:pPr>
            <w:r>
              <w:rPr/>
              <w:t>81,900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EEEEEE" w:val="clear"/>
            <w:tcMar>
              <w:bottom w:w="0" w:type="dxa"/>
            </w:tcMar>
            <w:vAlign w:val="center"/>
          </w:tcPr>
          <w:p>
            <w:pPr>
              <w:pStyle w:val="TableContents"/>
              <w:bidi w:val="0"/>
              <w:spacing w:before="0" w:after="283"/>
              <w:jc w:val="both"/>
              <w:rPr/>
            </w:pPr>
            <w:r>
              <w:rPr/>
              <w:t>James E. Walker III</w:t>
            </w:r>
          </w:p>
        </w:tc>
        <w:tc>
          <w:tcPr>
            <w:tcW w:w="60" w:type="dxa"/>
            <w:tcBorders/>
            <w:shd w:fill="EEEEEE" w:val="clear"/>
            <w:tcMar>
              <w:bottom w:w="0" w:type="dxa"/>
            </w:tcMar>
            <w:vAlign w:val="center"/>
          </w:tcPr>
          <w:p>
            <w:pPr>
              <w:pStyle w:val="TableContents"/>
              <w:bidi w:val="0"/>
              <w:spacing w:before="0" w:after="283"/>
              <w:jc w:val="left"/>
              <w:rPr/>
            </w:pPr>
            <w:r>
              <w:rPr/>
              <w:t> </w:t>
            </w:r>
          </w:p>
        </w:tc>
        <w:tc>
          <w:tcPr>
            <w:tcW w:w="467" w:type="dxa"/>
            <w:tcBorders/>
            <w:shd w:fill="EEEEEE" w:val="clear"/>
            <w:tcMar>
              <w:bottom w:w="0" w:type="dxa"/>
            </w:tcMar>
            <w:vAlign w:val="center"/>
          </w:tcPr>
          <w:p>
            <w:pPr>
              <w:pStyle w:val="TableContents"/>
              <w:bidi w:val="0"/>
              <w:spacing w:before="0" w:after="283"/>
              <w:jc w:val="left"/>
              <w:rPr/>
            </w:pPr>
            <w:r>
              <w:rPr/>
              <w:t> </w:t>
            </w:r>
          </w:p>
        </w:tc>
        <w:tc>
          <w:tcPr>
            <w:tcW w:w="2672" w:type="dxa"/>
            <w:tcBorders/>
            <w:shd w:fill="EEEEEE" w:val="clear"/>
            <w:tcMar>
              <w:bottom w:w="0" w:type="dxa"/>
            </w:tcMar>
            <w:vAlign w:val="center"/>
          </w:tcPr>
          <w:p>
            <w:pPr>
              <w:pStyle w:val="TableContents"/>
              <w:bidi w:val="0"/>
              <w:spacing w:before="0" w:after="283"/>
              <w:jc w:val="right"/>
              <w:rPr/>
            </w:pPr>
            <w:r>
              <w:rPr/>
              <w:t>75,000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75,000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both"/>
              <w:rPr/>
            </w:pPr>
            <w:r>
              <w:rPr/>
              <w:t>Gregory S. Washer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left"/>
              <w:rPr/>
            </w:pPr>
            <w:r>
              <w:rPr/>
              <w:t> </w:t>
            </w:r>
          </w:p>
        </w:tc>
        <w:tc>
          <w:tcPr>
            <w:tcW w:w="2672" w:type="dxa"/>
            <w:tcBorders/>
            <w:shd w:fill="FFFFFF" w:val="clear"/>
            <w:tcMar>
              <w:bottom w:w="0" w:type="dxa"/>
            </w:tcMar>
            <w:vAlign w:val="center"/>
          </w:tcPr>
          <w:p>
            <w:pPr>
              <w:pStyle w:val="TableContents"/>
              <w:bidi w:val="0"/>
              <w:spacing w:before="0" w:after="283"/>
              <w:jc w:val="right"/>
              <w:rPr/>
            </w:pPr>
            <w:r>
              <w:rPr/>
              <w:t>98,800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98,800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EEEEEE" w:val="clear"/>
            <w:tcMar>
              <w:bottom w:w="0" w:type="dxa"/>
            </w:tcMar>
            <w:vAlign w:val="center"/>
          </w:tcPr>
          <w:p>
            <w:pPr>
              <w:pStyle w:val="TableContents"/>
              <w:bidi w:val="0"/>
              <w:spacing w:before="0" w:after="283"/>
              <w:jc w:val="both"/>
              <w:rPr/>
            </w:pPr>
            <w:r>
              <w:rPr/>
              <w:t>Daniel S. Wood</w:t>
            </w:r>
          </w:p>
        </w:tc>
        <w:tc>
          <w:tcPr>
            <w:tcW w:w="60" w:type="dxa"/>
            <w:tcBorders/>
            <w:shd w:fill="EEEEEE" w:val="clear"/>
            <w:tcMar>
              <w:bottom w:w="0" w:type="dxa"/>
            </w:tcMar>
            <w:vAlign w:val="center"/>
          </w:tcPr>
          <w:p>
            <w:pPr>
              <w:pStyle w:val="TableContents"/>
              <w:bidi w:val="0"/>
              <w:spacing w:before="0" w:after="283"/>
              <w:jc w:val="left"/>
              <w:rPr/>
            </w:pPr>
            <w:r>
              <w:rPr/>
              <w:t> </w:t>
            </w:r>
          </w:p>
        </w:tc>
        <w:tc>
          <w:tcPr>
            <w:tcW w:w="467" w:type="dxa"/>
            <w:tcBorders/>
            <w:shd w:fill="EEEEEE" w:val="clear"/>
            <w:tcMar>
              <w:bottom w:w="0" w:type="dxa"/>
            </w:tcMar>
            <w:vAlign w:val="center"/>
          </w:tcPr>
          <w:p>
            <w:pPr>
              <w:pStyle w:val="TableContents"/>
              <w:bidi w:val="0"/>
              <w:spacing w:before="0" w:after="283"/>
              <w:jc w:val="left"/>
              <w:rPr/>
            </w:pPr>
            <w:r>
              <w:rPr/>
              <w:t> </w:t>
            </w:r>
          </w:p>
        </w:tc>
        <w:tc>
          <w:tcPr>
            <w:tcW w:w="2672" w:type="dxa"/>
            <w:tcBorders/>
            <w:shd w:fill="EEEEEE" w:val="clear"/>
            <w:tcMar>
              <w:bottom w:w="0" w:type="dxa"/>
            </w:tcMar>
            <w:vAlign w:val="center"/>
          </w:tcPr>
          <w:p>
            <w:pPr>
              <w:pStyle w:val="TableContents"/>
              <w:bidi w:val="0"/>
              <w:spacing w:before="0" w:after="283"/>
              <w:jc w:val="right"/>
              <w:rPr/>
            </w:pPr>
            <w:r>
              <w:rPr/>
              <w:t>107,200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107,200</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2025, Mr. Bradley held 1,627,500 vested stock options and 562,500 unvested stock options; Mr. Grasso held 70,000 vested stock options; Mr. Grounds held 30,000 vested stock options; Mr. Rayhill held 120,000 vested stock options; Mr. Roberts held 60,000 vested stock options; Mr. Washer held 60,000 vested stock options; and Mr. Wood held 120,000 vested stock options.</w:t>
            </w:r>
          </w:p>
        </w:tc>
      </w:tr>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column reports cash compensation earned in 2025 for Board and committee service.</w:t>
            </w:r>
          </w:p>
        </w:tc>
      </w:tr>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Bradley’s compensation as Chief Executive Officer of the Company is described elsewhere in this report. He received no additional compensation for service on the Company’s Board of Directors.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ind w:left="144" w:right="14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number and percentage of shares of the Company common stock (our only class of voting securities) owned beneficially as of September 21, 2026 (the Record Date) by (i) each person known to us to own beneficially more than 5% of the outstanding Company common stock, (ii) each director nominee and each named executive officer, and (iii) all of our director nominees and executive officers, as a group. Except as otherwise indicated, and subject to applicable community property and similar laws, each of the persons named has sole voting and investment power with respect to the shares shown as beneficially owned by such persons. Percent of class is calculated by reference to 21,905,185 shares outstanding on the Record Date. Except as otherwise noted, each person named in the table has a mailing address at 3800 Howard Hughes Parkway, Suite 1400, Las Vegas, Nevada 89169.</w:t>
      </w:r>
    </w:p>
    <w:p>
      <w:pPr>
        <w:pStyle w:val="TextBody"/>
        <w:bidi w:val="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48"/>
        <w:gridCol w:w="60"/>
        <w:gridCol w:w="163"/>
        <w:gridCol w:w="3002"/>
        <w:gridCol w:w="258"/>
        <w:gridCol w:w="60"/>
        <w:gridCol w:w="147"/>
        <w:gridCol w:w="1089"/>
        <w:gridCol w:w="78"/>
      </w:tblGrid>
      <w:tr>
        <w:trPr/>
        <w:tc>
          <w:tcPr>
            <w:tcW w:w="5348"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3165" w:type="dxa"/>
            <w:gridSpan w:val="2"/>
            <w:tcBorders>
              <w:bottom w:val="single" w:sz="8" w:space="0" w:color="000000"/>
            </w:tcBorders>
            <w:vAlign w:val="center"/>
          </w:tcPr>
          <w:p>
            <w:pPr>
              <w:pStyle w:val="TableContents"/>
              <w:bidi w:val="0"/>
              <w:spacing w:before="0" w:after="283"/>
              <w:jc w:val="center"/>
              <w:rPr>
                <w:i/>
              </w:rPr>
            </w:pPr>
            <w:r>
              <w:rPr>
                <w:i/>
              </w:rPr>
              <w:t>Amount and Nature of Beneficial Ownership (1)</w:t>
            </w:r>
          </w:p>
        </w:tc>
        <w:tc>
          <w:tcPr>
            <w:tcW w:w="2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6" w:type="dxa"/>
            <w:gridSpan w:val="2"/>
            <w:tcBorders>
              <w:bottom w:val="single" w:sz="8" w:space="0" w:color="000000"/>
            </w:tcBorders>
            <w:vAlign w:val="center"/>
          </w:tcPr>
          <w:p>
            <w:pPr>
              <w:pStyle w:val="TableContents"/>
              <w:bidi w:val="0"/>
              <w:spacing w:before="0" w:after="283"/>
              <w:jc w:val="center"/>
              <w:rPr>
                <w:i/>
              </w:rPr>
            </w:pPr>
            <w:r>
              <w:rPr>
                <w:i/>
              </w:rPr>
              <w:t>Percent of Class</w:t>
            </w:r>
          </w:p>
        </w:tc>
        <w:tc>
          <w:tcPr>
            <w:tcW w:w="78" w:type="dxa"/>
            <w:tcBorders/>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Charles E. Bradley, Jr.</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5,967,306</w:t>
            </w:r>
          </w:p>
        </w:tc>
        <w:tc>
          <w:tcPr>
            <w:tcW w:w="2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pPr>
            <w:r>
              <w:rPr/>
              <w:t>25.3%</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Scott W. Carnahan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36,000</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Stephen H. Deckoff</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5,127,165</w:t>
            </w:r>
          </w:p>
        </w:tc>
        <w:tc>
          <w:tcPr>
            <w:tcW w:w="258" w:type="dxa"/>
            <w:tcBorders/>
            <w:shd w:fill="EEEEEE" w:val="clear"/>
            <w:tcMar>
              <w:bottom w:w="0" w:type="dxa"/>
            </w:tcMar>
            <w:vAlign w:val="center"/>
          </w:tcPr>
          <w:p>
            <w:pPr>
              <w:pStyle w:val="TableContents"/>
              <w:bidi w:val="0"/>
              <w:spacing w:before="0" w:after="283"/>
              <w:jc w:val="left"/>
              <w:rPr/>
            </w:pPr>
            <w:r>
              <w:rPr/>
              <w:t>(2)</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pPr>
            <w:r>
              <w:rPr/>
              <w:t>23.4%</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Louis M. Grasso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100,300</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William W. Grounds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33,100</w:t>
            </w:r>
          </w:p>
        </w:tc>
        <w:tc>
          <w:tcPr>
            <w:tcW w:w="2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Brian J. Rayhill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341,319</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1.6%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James E. Walker III</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0</w:t>
            </w:r>
          </w:p>
        </w:tc>
        <w:tc>
          <w:tcPr>
            <w:tcW w:w="2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Gregory S. Washer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496,114</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2.3%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Daniel S. Wood</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303,736</w:t>
            </w:r>
          </w:p>
        </w:tc>
        <w:tc>
          <w:tcPr>
            <w:tcW w:w="2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pPr>
            <w:r>
              <w:rPr/>
              <w:t>1.4%</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Danny Bharwani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631,046</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2.9%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spacing w:before="0" w:after="283"/>
              <w:jc w:val="left"/>
              <w:rPr/>
            </w:pPr>
            <w:r>
              <w:rPr/>
              <w:t>Michael T. Lavin</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869,773</w:t>
            </w:r>
          </w:p>
        </w:tc>
        <w:tc>
          <w:tcPr>
            <w:tcW w:w="2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pPr>
            <w:r>
              <w:rPr/>
              <w:t>3.9%</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spacing w:before="0" w:after="283"/>
              <w:jc w:val="left"/>
              <w:rPr/>
            </w:pPr>
            <w:r>
              <w:rPr/>
              <w:t>All directors and executive officers combined (21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16,176,864</w:t>
            </w:r>
          </w:p>
        </w:tc>
        <w:tc>
          <w:tcPr>
            <w:tcW w:w="258"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63.8%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48" w:type="dxa"/>
            <w:tcBorders/>
            <w:shd w:fill="EEEEEE" w:val="clear"/>
            <w:tcMar>
              <w:bottom w:w="0" w:type="dxa"/>
            </w:tcMar>
            <w:vAlign w:val="center"/>
          </w:tcPr>
          <w:p>
            <w:pPr>
              <w:pStyle w:val="TableContents"/>
              <w:bidi w:val="0"/>
              <w:jc w:val="left"/>
              <w:rPr/>
            </w:pPr>
            <w:r>
              <w:rPr/>
              <w:t>Black Diamond Capital Management I, LLLP</w:t>
            </w:r>
          </w:p>
          <w:p>
            <w:pPr>
              <w:pStyle w:val="TableContents"/>
              <w:bidi w:val="0"/>
              <w:spacing w:before="0" w:after="283"/>
              <w:jc w:val="left"/>
              <w:rPr/>
            </w:pPr>
            <w:r>
              <w:rPr/>
              <w:t>5330 Yacht Haven Grande, Suite 100, Box 35, St. Thomas, U.S. Virgin Islands 00802</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3" w:type="dxa"/>
            <w:tcBorders/>
            <w:shd w:fill="EEEEEE" w:val="clear"/>
            <w:tcMar>
              <w:bottom w:w="0" w:type="dxa"/>
            </w:tcMar>
            <w:vAlign w:val="center"/>
          </w:tcPr>
          <w:p>
            <w:pPr>
              <w:pStyle w:val="TableContents"/>
              <w:bidi w:val="0"/>
              <w:spacing w:before="0" w:after="283"/>
              <w:jc w:val="left"/>
              <w:rPr/>
            </w:pPr>
            <w:r>
              <w:rPr/>
              <w:t> </w:t>
            </w:r>
          </w:p>
        </w:tc>
        <w:tc>
          <w:tcPr>
            <w:tcW w:w="3002" w:type="dxa"/>
            <w:tcBorders/>
            <w:shd w:fill="EEEEEE" w:val="clear"/>
            <w:tcMar>
              <w:bottom w:w="0" w:type="dxa"/>
            </w:tcMar>
            <w:vAlign w:val="center"/>
          </w:tcPr>
          <w:p>
            <w:pPr>
              <w:pStyle w:val="TableContents"/>
              <w:bidi w:val="0"/>
              <w:spacing w:before="0" w:after="283"/>
              <w:jc w:val="right"/>
              <w:rPr/>
            </w:pPr>
            <w:r>
              <w:rPr/>
              <w:t>5,127,165</w:t>
            </w:r>
          </w:p>
        </w:tc>
        <w:tc>
          <w:tcPr>
            <w:tcW w:w="258" w:type="dxa"/>
            <w:tcBorders/>
            <w:shd w:fill="EEEEEE" w:val="clear"/>
            <w:tcMar>
              <w:bottom w:w="0" w:type="dxa"/>
            </w:tcMar>
            <w:vAlign w:val="center"/>
          </w:tcPr>
          <w:p>
            <w:pPr>
              <w:pStyle w:val="TableContents"/>
              <w:bidi w:val="0"/>
              <w:spacing w:before="0" w:after="283"/>
              <w:jc w:val="left"/>
              <w:rPr/>
            </w:pPr>
            <w:r>
              <w:rPr/>
              <w:t>(2)</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7" w:type="dxa"/>
            <w:tcBorders/>
            <w:shd w:fill="EEEEEE" w:val="clear"/>
            <w:tcMar>
              <w:bottom w:w="0" w:type="dxa"/>
            </w:tcMar>
            <w:vAlign w:val="center"/>
          </w:tcPr>
          <w:p>
            <w:pPr>
              <w:pStyle w:val="TableContents"/>
              <w:bidi w:val="0"/>
              <w:spacing w:before="0" w:after="283"/>
              <w:jc w:val="left"/>
              <w:rPr/>
            </w:pPr>
            <w:r>
              <w:rPr/>
              <w:t> </w:t>
            </w:r>
          </w:p>
        </w:tc>
        <w:tc>
          <w:tcPr>
            <w:tcW w:w="1089" w:type="dxa"/>
            <w:tcBorders/>
            <w:shd w:fill="EEEEEE" w:val="clear"/>
            <w:tcMar>
              <w:bottom w:w="0" w:type="dxa"/>
            </w:tcMar>
            <w:vAlign w:val="center"/>
          </w:tcPr>
          <w:p>
            <w:pPr>
              <w:pStyle w:val="TableContents"/>
              <w:bidi w:val="0"/>
              <w:spacing w:before="0" w:after="283"/>
              <w:jc w:val="right"/>
              <w:rPr/>
            </w:pPr>
            <w:r>
              <w:rPr/>
              <w:t>23.4%</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5348" w:type="dxa"/>
            <w:tcBorders/>
            <w:shd w:fill="FFFFFF" w:val="clear"/>
            <w:tcMar>
              <w:bottom w:w="0" w:type="dxa"/>
            </w:tcMar>
            <w:vAlign w:val="center"/>
          </w:tcPr>
          <w:p>
            <w:pPr>
              <w:pStyle w:val="TableContents"/>
              <w:bidi w:val="0"/>
              <w:jc w:val="left"/>
              <w:rPr/>
            </w:pPr>
            <w:r>
              <w:rPr/>
              <w:t>Dimensional Fund Advisors LP, Building One,</w:t>
            </w:r>
          </w:p>
          <w:p>
            <w:pPr>
              <w:pStyle w:val="TableContents"/>
              <w:bidi w:val="0"/>
              <w:spacing w:before="0" w:after="283"/>
              <w:jc w:val="left"/>
              <w:rPr/>
            </w:pPr>
            <w:r>
              <w:rPr/>
              <w:t>6300 Bee Cave Road, Austin, Texas, 78746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3002" w:type="dxa"/>
            <w:tcBorders/>
            <w:shd w:fill="FFFFFF" w:val="clear"/>
            <w:tcMar>
              <w:bottom w:w="0" w:type="dxa"/>
            </w:tcMar>
            <w:vAlign w:val="center"/>
          </w:tcPr>
          <w:p>
            <w:pPr>
              <w:pStyle w:val="TableContents"/>
              <w:bidi w:val="0"/>
              <w:spacing w:before="0" w:after="283"/>
              <w:jc w:val="right"/>
              <w:rPr/>
            </w:pPr>
            <w:r>
              <w:rPr/>
              <w:t>1,623,488</w:t>
            </w:r>
          </w:p>
        </w:tc>
        <w:tc>
          <w:tcPr>
            <w:tcW w:w="258"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7.4%</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p>
      <w:pPr>
        <w:pStyle w:val="TextBody"/>
        <w:bidi w:val="0"/>
        <w:ind w:left="16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certain shares that may be acquired within 60 days after the Record Date from the Company upon exercise of options, for each individual as follows: Mr. Bradley, 1,665,000 shares; Mr. Grasso, 70,000 shares; Mr. Grounds, 30,000 shares; Mr. Rayhill, 90,000 shares; Mr. Washer, 60,000 shares; Mr. Wood, 90,000 shares; Mr. Bharwani, 202,500 shares; and Mr. Lavin, 314,171 shares Of Mr. Bradley’s shares, 1,685,878 are pledged to secure loan(s) to him. The calculation of beneficial ownership also includes, in the case of the executive officers, an approximate number of shares each executive officer could be deemed to hold through contributions made to the Company’s Employee 401(k) Plan (the “401(k) Plan”). The 401(k) Plan provides an option for all participating employees to purchase stock in the Company indirectly by buying units in a mutual fund. Each “unit” in the mutual fund represents an interest in Company stock, cash and cash equivalents.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shares are held directly by certain Black Diamond investment vehicles (“Black Diamond vehicles”). Black Diamond Capital Management I, LLLP (“Black Diamond”) exercises investment discretion on behalf of investment advisory affiliates that serve as investment advisers to the Black Diamond vehicles. Mr. Deckoff is the Managing Principal of Black Diamond. Mr. Deckoff disclaims beneficial ownership over the shares, except to the extent of his pecuniary interest therein.</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 total of 3,124,802 shares for all executive officers combined that are not outstanding as of the date of this report, but which may be acquired within 60 days after the Record Date upon exercise of options.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 </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report on Amendment No.8 to Schedule 13G filed by the named person on February 9, 2024</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tion regarding securities authorized for issuance under equity compensation plans, including the CPS 2025 Equity Incentive Plan, as of December 31, 2025.</w:t>
      </w:r>
    </w:p>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06"/>
        <w:gridCol w:w="60"/>
        <w:gridCol w:w="85"/>
        <w:gridCol w:w="1424"/>
        <w:gridCol w:w="60"/>
        <w:gridCol w:w="60"/>
        <w:gridCol w:w="700"/>
        <w:gridCol w:w="2203"/>
        <w:gridCol w:w="60"/>
        <w:gridCol w:w="60"/>
        <w:gridCol w:w="206"/>
        <w:gridCol w:w="3401"/>
        <w:gridCol w:w="80"/>
      </w:tblGrid>
      <w:tr>
        <w:trPr/>
        <w:tc>
          <w:tcPr>
            <w:tcW w:w="1806"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509" w:type="dxa"/>
            <w:gridSpan w:val="2"/>
            <w:tcBorders>
              <w:bottom w:val="single" w:sz="8" w:space="0" w:color="000000"/>
            </w:tcBorders>
            <w:vAlign w:val="center"/>
          </w:tcPr>
          <w:p>
            <w:pPr>
              <w:pStyle w:val="TableContents"/>
              <w:bidi w:val="0"/>
              <w:spacing w:before="0" w:after="283"/>
              <w:jc w:val="center"/>
              <w:rPr>
                <w:b/>
              </w:rPr>
            </w:pPr>
            <w:r>
              <w:rPr>
                <w:b/>
              </w:rPr>
              <w:t>Outstanding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03" w:type="dxa"/>
            <w:gridSpan w:val="2"/>
            <w:tcBorders>
              <w:bottom w:val="single" w:sz="8" w:space="0" w:color="000000"/>
            </w:tcBorders>
            <w:vAlign w:val="center"/>
          </w:tcPr>
          <w:p>
            <w:pPr>
              <w:pStyle w:val="TableContents"/>
              <w:bidi w:val="0"/>
              <w:spacing w:before="0" w:after="283"/>
              <w:jc w:val="center"/>
              <w:rPr>
                <w:b/>
              </w:rPr>
            </w:pPr>
            <w:r>
              <w:rPr>
                <w:b/>
              </w:rPr>
              <w:t>Weighted-average exercise price of Outstanding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07"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w:t>
            </w:r>
          </w:p>
        </w:tc>
        <w:tc>
          <w:tcPr>
            <w:tcW w:w="80" w:type="dxa"/>
            <w:tcBorders/>
            <w:tcMar>
              <w:bottom w:w="0" w:type="dxa"/>
            </w:tcMar>
            <w:vAlign w:val="center"/>
          </w:tcPr>
          <w:p>
            <w:pPr>
              <w:pStyle w:val="TableContents"/>
              <w:bidi w:val="0"/>
              <w:spacing w:before="0" w:after="283"/>
              <w:jc w:val="left"/>
              <w:rPr/>
            </w:pPr>
            <w:r>
              <w:rPr/>
              <w:t> </w:t>
            </w:r>
          </w:p>
        </w:tc>
      </w:tr>
      <w:tr>
        <w:trPr/>
        <w:tc>
          <w:tcPr>
            <w:tcW w:w="1806" w:type="dxa"/>
            <w:tcBorders/>
            <w:shd w:fill="EEEEEE" w:val="clear"/>
            <w:tcMar>
              <w:bottom w:w="0" w:type="dxa"/>
            </w:tcMar>
            <w:vAlign w:val="center"/>
          </w:tcPr>
          <w:p>
            <w:pPr>
              <w:pStyle w:val="TableContents"/>
              <w:bidi w:val="0"/>
              <w:spacing w:before="0" w:after="283"/>
              <w:jc w:val="left"/>
              <w:rPr/>
            </w:pPr>
            <w:r>
              <w:rPr/>
              <w:t>Plans approved by shareholders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85" w:type="dxa"/>
            <w:tcBorders/>
            <w:shd w:fill="EEEEEE" w:val="clear"/>
            <w:tcMar>
              <w:bottom w:w="0" w:type="dxa"/>
            </w:tcMar>
            <w:vAlign w:val="center"/>
          </w:tcPr>
          <w:p>
            <w:pPr>
              <w:pStyle w:val="TableContents"/>
              <w:bidi w:val="0"/>
              <w:spacing w:before="0" w:after="283"/>
              <w:jc w:val="left"/>
              <w:rPr/>
            </w:pPr>
            <w:r>
              <w:rPr/>
              <w:t> </w:t>
            </w:r>
          </w:p>
        </w:tc>
        <w:tc>
          <w:tcPr>
            <w:tcW w:w="1424" w:type="dxa"/>
            <w:tcBorders/>
            <w:shd w:fill="EEEEEE" w:val="clear"/>
            <w:tcMar>
              <w:bottom w:w="0" w:type="dxa"/>
            </w:tcMar>
            <w:vAlign w:val="center"/>
          </w:tcPr>
          <w:p>
            <w:pPr>
              <w:pStyle w:val="TableContents"/>
              <w:bidi w:val="0"/>
              <w:spacing w:before="0" w:after="283"/>
              <w:jc w:val="right"/>
              <w:rPr/>
            </w:pPr>
            <w:r>
              <w:rPr/>
              <w:t>6,182,631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700" w:type="dxa"/>
            <w:tcBorders/>
            <w:shd w:fill="EEEEEE" w:val="clear"/>
            <w:tcMar>
              <w:bottom w:w="0" w:type="dxa"/>
            </w:tcMar>
            <w:vAlign w:val="center"/>
          </w:tcPr>
          <w:p>
            <w:pPr>
              <w:pStyle w:val="TableContents"/>
              <w:bidi w:val="0"/>
              <w:spacing w:before="0" w:after="283"/>
              <w:jc w:val="left"/>
              <w:rPr/>
            </w:pPr>
            <w:r>
              <w:rPr/>
              <w:t>$</w:t>
            </w:r>
          </w:p>
        </w:tc>
        <w:tc>
          <w:tcPr>
            <w:tcW w:w="2203" w:type="dxa"/>
            <w:tcBorders/>
            <w:shd w:fill="EEEEEE" w:val="clear"/>
            <w:tcMar>
              <w:bottom w:w="0" w:type="dxa"/>
            </w:tcMar>
            <w:vAlign w:val="center"/>
          </w:tcPr>
          <w:p>
            <w:pPr>
              <w:pStyle w:val="TableContents"/>
              <w:bidi w:val="0"/>
              <w:spacing w:before="0" w:after="283"/>
              <w:jc w:val="right"/>
              <w:rPr/>
            </w:pPr>
            <w:r>
              <w:rPr/>
              <w:t>6.44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06" w:type="dxa"/>
            <w:tcBorders/>
            <w:shd w:fill="EEEEEE" w:val="clear"/>
            <w:tcMar>
              <w:bottom w:w="0" w:type="dxa"/>
            </w:tcMar>
            <w:vAlign w:val="center"/>
          </w:tcPr>
          <w:p>
            <w:pPr>
              <w:pStyle w:val="TableContents"/>
              <w:bidi w:val="0"/>
              <w:spacing w:before="0" w:after="283"/>
              <w:jc w:val="left"/>
              <w:rPr/>
            </w:pPr>
            <w:r>
              <w:rPr/>
              <w:t> </w:t>
            </w:r>
          </w:p>
        </w:tc>
        <w:tc>
          <w:tcPr>
            <w:tcW w:w="3401" w:type="dxa"/>
            <w:tcBorders/>
            <w:shd w:fill="EEEEEE" w:val="clear"/>
            <w:tcMar>
              <w:bottom w:w="0" w:type="dxa"/>
            </w:tcMar>
            <w:vAlign w:val="center"/>
          </w:tcPr>
          <w:p>
            <w:pPr>
              <w:pStyle w:val="TableContents"/>
              <w:bidi w:val="0"/>
              <w:spacing w:before="0" w:after="283"/>
              <w:jc w:val="right"/>
              <w:rPr/>
            </w:pPr>
            <w:r>
              <w:rPr/>
              <w:t>4,546,330</w:t>
            </w:r>
          </w:p>
        </w:tc>
        <w:tc>
          <w:tcPr>
            <w:tcW w:w="80" w:type="dxa"/>
            <w:tcBorders/>
            <w:shd w:fill="EEEEEE" w:val="clear"/>
            <w:tcMar>
              <w:bottom w:w="0" w:type="dxa"/>
            </w:tcMar>
            <w:vAlign w:val="center"/>
          </w:tcPr>
          <w:p>
            <w:pPr>
              <w:pStyle w:val="TableContents"/>
              <w:bidi w:val="0"/>
              <w:spacing w:before="0" w:after="283"/>
              <w:jc w:val="left"/>
              <w:rPr/>
            </w:pPr>
            <w:r>
              <w:rPr/>
              <w:t> </w:t>
            </w:r>
          </w:p>
        </w:tc>
      </w:tr>
      <w:tr>
        <w:trPr/>
        <w:tc>
          <w:tcPr>
            <w:tcW w:w="1806" w:type="dxa"/>
            <w:tcBorders/>
            <w:shd w:fill="FFFFFF" w:val="clear"/>
            <w:tcMar>
              <w:bottom w:w="0" w:type="dxa"/>
            </w:tcMar>
            <w:vAlign w:val="center"/>
          </w:tcPr>
          <w:p>
            <w:pPr>
              <w:pStyle w:val="TableContents"/>
              <w:bidi w:val="0"/>
              <w:spacing w:before="0" w:after="283"/>
              <w:jc w:val="left"/>
              <w:rPr/>
            </w:pPr>
            <w:r>
              <w:rPr/>
              <w:t>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24"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left"/>
              <w:rPr/>
            </w:pPr>
            <w:r>
              <w:rPr/>
              <w:t> </w:t>
            </w:r>
          </w:p>
        </w:tc>
        <w:tc>
          <w:tcPr>
            <w:tcW w:w="22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34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6" w:type="dxa"/>
            <w:tcBorders/>
            <w:shd w:fill="EEEEEE" w:val="clear"/>
            <w:tcMar>
              <w:bottom w:w="0" w:type="dxa"/>
            </w:tcMar>
            <w:vAlign w:val="center"/>
          </w:tcPr>
          <w:p>
            <w:pPr>
              <w:pStyle w:val="TableContents"/>
              <w:bidi w:val="0"/>
              <w:spacing w:before="0" w:after="283"/>
              <w:jc w:val="left"/>
              <w:rPr/>
            </w:pPr>
            <w:r>
              <w:rPr/>
              <w:t>Total</w:t>
            </w:r>
          </w:p>
        </w:tc>
        <w:tc>
          <w:tcPr>
            <w:tcW w:w="60" w:type="dxa"/>
            <w:tcBorders/>
            <w:shd w:fill="EEEEEE" w:val="clear"/>
            <w:tcMar>
              <w:bottom w:w="0" w:type="dxa"/>
            </w:tcMar>
            <w:vAlign w:val="center"/>
          </w:tcPr>
          <w:p>
            <w:pPr>
              <w:pStyle w:val="TableContents"/>
              <w:bidi w:val="0"/>
              <w:spacing w:before="0" w:after="283"/>
              <w:jc w:val="left"/>
              <w:rPr/>
            </w:pPr>
            <w:r>
              <w:rPr/>
              <w:t> </w:t>
            </w:r>
          </w:p>
        </w:tc>
        <w:tc>
          <w:tcPr>
            <w:tcW w:w="85" w:type="dxa"/>
            <w:tcBorders/>
            <w:shd w:fill="EEEEEE" w:val="clear"/>
            <w:tcMar>
              <w:bottom w:w="0" w:type="dxa"/>
            </w:tcMar>
            <w:vAlign w:val="center"/>
          </w:tcPr>
          <w:p>
            <w:pPr>
              <w:pStyle w:val="TableContents"/>
              <w:bidi w:val="0"/>
              <w:spacing w:before="0" w:after="283"/>
              <w:jc w:val="left"/>
              <w:rPr/>
            </w:pPr>
            <w:r>
              <w:rPr/>
              <w:t> </w:t>
            </w:r>
          </w:p>
        </w:tc>
        <w:tc>
          <w:tcPr>
            <w:tcW w:w="1424" w:type="dxa"/>
            <w:tcBorders/>
            <w:shd w:fill="EEEEEE" w:val="clear"/>
            <w:tcMar>
              <w:bottom w:w="0" w:type="dxa"/>
            </w:tcMar>
            <w:vAlign w:val="center"/>
          </w:tcPr>
          <w:p>
            <w:pPr>
              <w:pStyle w:val="TableContents"/>
              <w:bidi w:val="0"/>
              <w:spacing w:before="0" w:after="283"/>
              <w:jc w:val="right"/>
              <w:rPr/>
            </w:pPr>
            <w:r>
              <w:rPr/>
              <w:t>6,182,631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700" w:type="dxa"/>
            <w:tcBorders/>
            <w:shd w:fill="EEEEEE" w:val="clear"/>
            <w:tcMar>
              <w:bottom w:w="0" w:type="dxa"/>
            </w:tcMar>
            <w:vAlign w:val="center"/>
          </w:tcPr>
          <w:p>
            <w:pPr>
              <w:pStyle w:val="TableContents"/>
              <w:bidi w:val="0"/>
              <w:spacing w:before="0" w:after="283"/>
              <w:jc w:val="left"/>
              <w:rPr/>
            </w:pPr>
            <w:r>
              <w:rPr/>
              <w:t>$</w:t>
            </w:r>
          </w:p>
        </w:tc>
        <w:tc>
          <w:tcPr>
            <w:tcW w:w="2203" w:type="dxa"/>
            <w:tcBorders/>
            <w:shd w:fill="EEEEEE" w:val="clear"/>
            <w:tcMar>
              <w:bottom w:w="0" w:type="dxa"/>
            </w:tcMar>
            <w:vAlign w:val="center"/>
          </w:tcPr>
          <w:p>
            <w:pPr>
              <w:pStyle w:val="TableContents"/>
              <w:bidi w:val="0"/>
              <w:spacing w:before="0" w:after="283"/>
              <w:jc w:val="right"/>
              <w:rPr/>
            </w:pPr>
            <w:r>
              <w:rPr/>
              <w:t>6.44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06" w:type="dxa"/>
            <w:tcBorders/>
            <w:shd w:fill="EEEEEE" w:val="clear"/>
            <w:tcMar>
              <w:bottom w:w="0" w:type="dxa"/>
            </w:tcMar>
            <w:vAlign w:val="center"/>
          </w:tcPr>
          <w:p>
            <w:pPr>
              <w:pStyle w:val="TableContents"/>
              <w:bidi w:val="0"/>
              <w:spacing w:before="0" w:after="283"/>
              <w:jc w:val="left"/>
              <w:rPr/>
            </w:pPr>
            <w:r>
              <w:rPr/>
              <w:t> </w:t>
            </w:r>
          </w:p>
        </w:tc>
        <w:tc>
          <w:tcPr>
            <w:tcW w:w="3401" w:type="dxa"/>
            <w:tcBorders/>
            <w:shd w:fill="EEEEEE" w:val="clear"/>
            <w:tcMar>
              <w:bottom w:w="0" w:type="dxa"/>
            </w:tcMar>
            <w:vAlign w:val="center"/>
          </w:tcPr>
          <w:p>
            <w:pPr>
              <w:pStyle w:val="TableContents"/>
              <w:bidi w:val="0"/>
              <w:spacing w:before="0" w:after="283"/>
              <w:jc w:val="right"/>
              <w:rPr/>
            </w:pPr>
            <w:r>
              <w:rPr/>
              <w:t>4,546,330</w:t>
            </w:r>
          </w:p>
        </w:tc>
        <w:tc>
          <w:tcPr>
            <w:tcW w:w="80"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Interlocks and Insider Participation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Compensation Committee are Mr. Wood (chairman), Mr. Grounds, and Mr. Grasso. During fiscal year 2025, the Compensation Committee consisted of Mr. Wood (chairman), Mr. Grounds, and Mr. Roberts. During fiscal year 2025, Mr. Roberts served on the Compensation Committee until his resignation as director of the Company on January 30, 2026.  None of the members of the Compensation Committee is a present or past employee or officer of the Company or its subsidiaries. During the fiscal year 2025, none of our executive officers served on the board of directors or compensation committee of another company that had an executive officer who served on our Board or our Compensation Committee. As discussed below under the heading “Certain Relationships and Related Transactions – Other Transactions” to which discussion the reader is directed, Mr. Roberts sold 100,000 shares to the Company each on September 15, 2025, December 4, 2025, May 11, 2026, and August 18, 2026, and Mr. Wood sold 20,000 shares to the Company on March 13, 2026 as part of the Company’s stock repurchase program.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 versus Performance Chart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953(a) of the Dodd-Frank Wall Street Reform and Consumer Protection Act and Item 402(v) of Regulation S-K , we are providing the following information for the three most recent fiscal years. The Compensation Committee did not consider the disclosures below in making its compensation decisions. For information on our compensation decisions and policies related to Company performance, see the “Compensation Discussion and Analysis” section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footnote, the following tables and related disclosures provide information about (i) the total compensation of our principal executive officer (“PEO”) and our non-PEO Named Executive Officers (collectively, the “NEOs”) as presented in the “Summary Compensation Table” (the “SCT”) section above, (ii) the “compensation actually paid” (“CAP”) to our PEO and our non-PEO NEOs, as calculated pursuant to Item 402(v), (iii) certain financial performance measures, and (iv) the relationship of the CAP to those financial performance measures.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xdx_883_eecd--PvpTableTextBlock_zQWsUnaf"/>
      <w:bookmarkStart w:id="10" w:name="xdx_883_eecd--PvpTableTextBlock_zQWsUnaf"/>
      <w:bookmarkEnd w:id="10"/>
    </w:p>
    <w:tbl>
      <w:tblPr>
        <w:tblW w:w="10205" w:type="dxa"/>
        <w:jc w:val="left"/>
        <w:tblInd w:w="0" w:type="dxa"/>
        <w:tblLayout w:type="fixed"/>
        <w:tblCellMar>
          <w:top w:w="0" w:type="dxa"/>
          <w:left w:w="0" w:type="dxa"/>
          <w:bottom w:w="0" w:type="dxa"/>
          <w:right w:w="0" w:type="dxa"/>
        </w:tblCellMar>
      </w:tblPr>
      <w:tblGrid>
        <w:gridCol w:w="545"/>
        <w:gridCol w:w="60"/>
        <w:gridCol w:w="197"/>
        <w:gridCol w:w="1388"/>
        <w:gridCol w:w="60"/>
        <w:gridCol w:w="60"/>
        <w:gridCol w:w="195"/>
        <w:gridCol w:w="1372"/>
        <w:gridCol w:w="60"/>
        <w:gridCol w:w="60"/>
        <w:gridCol w:w="205"/>
        <w:gridCol w:w="1437"/>
        <w:gridCol w:w="60"/>
        <w:gridCol w:w="60"/>
        <w:gridCol w:w="202"/>
        <w:gridCol w:w="1420"/>
        <w:gridCol w:w="60"/>
        <w:gridCol w:w="60"/>
        <w:gridCol w:w="227"/>
        <w:gridCol w:w="1036"/>
        <w:gridCol w:w="60"/>
        <w:gridCol w:w="60"/>
        <w:gridCol w:w="140"/>
        <w:gridCol w:w="1100"/>
        <w:gridCol w:w="81"/>
      </w:tblGrid>
      <w:tr>
        <w:trPr/>
        <w:tc>
          <w:tcPr>
            <w:tcW w:w="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545" w:type="dxa"/>
            <w:tcBorders>
              <w:bottom w:val="single" w:sz="8" w:space="0" w:color="000000"/>
            </w:tcBorders>
            <w:tcMar>
              <w:bottom w:w="28" w:type="dxa"/>
            </w:tcMar>
            <w:vAlign w:val="center"/>
          </w:tcPr>
          <w:p>
            <w:pPr>
              <w:pStyle w:val="TableContents"/>
              <w:bidi w:val="0"/>
              <w:spacing w:before="0" w:after="283"/>
              <w:jc w:val="left"/>
              <w:rPr>
                <w:b/>
              </w:rPr>
            </w:pPr>
            <w:r>
              <w:rPr>
                <w:b/>
              </w:rPr>
              <w:t>Year</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Summary Compensation Table Total for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 Actually Paid to PEO (1)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Summary Compensation Table Total for Non-PEO NEOs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Compensation Actually Paid to Non-PEO NEOs (1)(2)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 Initial Fixed $100 Investment 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Income</w:t>
            </w:r>
          </w:p>
        </w:tc>
        <w:tc>
          <w:tcPr>
            <w:tcW w:w="81"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vAlign w:val="center"/>
          </w:tcPr>
          <w:p>
            <w:pPr>
              <w:pStyle w:val="TableContents"/>
              <w:bidi w:val="0"/>
              <w:spacing w:before="0" w:after="283"/>
              <w:jc w:val="center"/>
              <w:rPr/>
            </w:pPr>
            <w:r>
              <w:rPr/>
              <w:t>Total Shareholder Return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545" w:type="dxa"/>
            <w:tcBorders>
              <w:bottom w:val="single" w:sz="8" w:space="0" w:color="000000"/>
            </w:tcBorders>
            <w:tcMar>
              <w:bottom w:w="28" w:type="dxa"/>
            </w:tcMar>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pPr>
            <w:r>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center"/>
          </w:tcPr>
          <w:p>
            <w:pPr>
              <w:pStyle w:val="TableContents"/>
              <w:bidi w:val="0"/>
              <w:spacing w:before="0" w:after="283"/>
              <w:jc w:val="center"/>
              <w:rPr/>
            </w:pPr>
            <w:r>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center"/>
          </w:tcPr>
          <w:p>
            <w:pPr>
              <w:pStyle w:val="TableContents"/>
              <w:bidi w:val="0"/>
              <w:spacing w:before="0" w:after="283"/>
              <w:jc w:val="center"/>
              <w:rPr/>
            </w:pPr>
            <w:r>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283"/>
              <w:jc w:val="center"/>
              <w:rPr/>
            </w:pPr>
            <w:r>
              <w:rPr/>
              <w: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pPr>
            <w:r>
              <w:rPr/>
              <w:t>(f)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(g)</w:t>
            </w:r>
          </w:p>
        </w:tc>
        <w:tc>
          <w:tcPr>
            <w:tcW w:w="81" w:type="dxa"/>
            <w:tcBorders/>
            <w:vAlign w:val="center"/>
          </w:tcPr>
          <w:p>
            <w:pPr>
              <w:pStyle w:val="TableContents"/>
              <w:bidi w:val="0"/>
              <w:spacing w:before="0" w:after="283"/>
              <w:jc w:val="left"/>
              <w:rPr/>
            </w:pPr>
            <w:r>
              <w:rPr/>
              <w:t> </w:t>
            </w:r>
          </w:p>
        </w:tc>
      </w:tr>
      <w:tr>
        <w:trPr/>
        <w:tc>
          <w:tcPr>
            <w:tcW w:w="545" w:type="dxa"/>
            <w:tcBorders/>
            <w:shd w:fill="EEEEEE" w:val="clear"/>
            <w:vAlign w:val="center"/>
          </w:tcPr>
          <w:p>
            <w:pPr>
              <w:pStyle w:val="TableContents"/>
              <w:bidi w:val="0"/>
              <w:spacing w:before="0" w:after="283"/>
              <w:jc w:val="left"/>
              <w:rPr>
                <w:b/>
              </w:rPr>
            </w:pPr>
            <w:r>
              <w:rPr>
                <w:b/>
              </w:rPr>
              <w:t>2025</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bookmarkStart w:id="11" w:name="xdx_987_eecd--PeoTotalCompAmt_c20250101_"/>
            <w:bookmarkEnd w:id="11"/>
          </w:p>
        </w:tc>
        <w:tc>
          <w:tcPr>
            <w:tcW w:w="1388" w:type="dxa"/>
            <w:tcBorders/>
            <w:shd w:fill="EEEEEE" w:val="clear"/>
            <w:vAlign w:val="center"/>
          </w:tcPr>
          <w:p>
            <w:pPr>
              <w:pStyle w:val="TableContents"/>
              <w:bidi w:val="0"/>
              <w:spacing w:before="0" w:after="283"/>
              <w:jc w:val="right"/>
              <w:rPr/>
            </w:pPr>
            <w:r>
              <w:rPr/>
              <w:t>5,439,647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w:t>
            </w:r>
            <w:bookmarkStart w:id="12" w:name="xdx_98F_eecd--PeoActuallyPaidCompAmt_c20"/>
            <w:bookmarkEnd w:id="12"/>
          </w:p>
        </w:tc>
        <w:tc>
          <w:tcPr>
            <w:tcW w:w="1372" w:type="dxa"/>
            <w:tcBorders/>
            <w:shd w:fill="EEEEEE" w:val="clear"/>
            <w:vAlign w:val="center"/>
          </w:tcPr>
          <w:p>
            <w:pPr>
              <w:pStyle w:val="TableContents"/>
              <w:bidi w:val="0"/>
              <w:spacing w:before="0" w:after="283"/>
              <w:jc w:val="right"/>
              <w:rPr/>
            </w:pPr>
            <w:r>
              <w:rPr/>
              <w:t>3,860,394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bookmarkStart w:id="13" w:name="xdx_98C_eecd--NonPeoNeoAvgTotalCompAmt_c"/>
            <w:bookmarkEnd w:id="13"/>
          </w:p>
        </w:tc>
        <w:tc>
          <w:tcPr>
            <w:tcW w:w="1437" w:type="dxa"/>
            <w:tcBorders/>
            <w:shd w:fill="EEEEEE" w:val="clear"/>
            <w:vAlign w:val="center"/>
          </w:tcPr>
          <w:p>
            <w:pPr>
              <w:pStyle w:val="TableContents"/>
              <w:bidi w:val="0"/>
              <w:spacing w:before="0" w:after="283"/>
              <w:jc w:val="right"/>
              <w:rPr/>
            </w:pPr>
            <w:r>
              <w:rPr/>
              <w:t>1,320,719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w:t>
            </w:r>
            <w:bookmarkStart w:id="14" w:name="xdx_98A_eecd--NonPeoNeoAvgCompActuallyPa"/>
            <w:bookmarkEnd w:id="14"/>
          </w:p>
        </w:tc>
        <w:tc>
          <w:tcPr>
            <w:tcW w:w="1420" w:type="dxa"/>
            <w:tcBorders/>
            <w:shd w:fill="EEEEEE" w:val="clear"/>
            <w:vAlign w:val="center"/>
          </w:tcPr>
          <w:p>
            <w:pPr>
              <w:pStyle w:val="TableContents"/>
              <w:bidi w:val="0"/>
              <w:spacing w:before="0" w:after="283"/>
              <w:jc w:val="right"/>
              <w:rPr/>
            </w:pPr>
            <w:r>
              <w:rPr/>
              <w:t>1,040,259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7" w:type="dxa"/>
            <w:tcBorders/>
            <w:shd w:fill="EEEEEE" w:val="clear"/>
            <w:vAlign w:val="center"/>
          </w:tcPr>
          <w:p>
            <w:pPr>
              <w:pStyle w:val="TableContents"/>
              <w:bidi w:val="0"/>
              <w:spacing w:before="0" w:after="283"/>
              <w:jc w:val="left"/>
              <w:rPr/>
            </w:pPr>
            <w:r>
              <w:rPr/>
              <w:t>$</w:t>
            </w:r>
            <w:bookmarkStart w:id="15" w:name="xdx_98B_eecd--TotalShareholderRtnAmt_pp2"/>
            <w:bookmarkEnd w:id="15"/>
          </w:p>
        </w:tc>
        <w:tc>
          <w:tcPr>
            <w:tcW w:w="1036" w:type="dxa"/>
            <w:tcBorders/>
            <w:shd w:fill="EEEEEE" w:val="clear"/>
            <w:vAlign w:val="center"/>
          </w:tcPr>
          <w:p>
            <w:pPr>
              <w:pStyle w:val="TableContents"/>
              <w:bidi w:val="0"/>
              <w:spacing w:before="0" w:after="283"/>
              <w:jc w:val="right"/>
              <w:rPr/>
            </w:pPr>
            <w:r>
              <w:rPr/>
              <w:t>105.42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16" w:name="xdx_98F_eus-gaap--NetIncomeLoss_c2025010"/>
            <w:bookmarkEnd w:id="16"/>
          </w:p>
        </w:tc>
        <w:tc>
          <w:tcPr>
            <w:tcW w:w="1100" w:type="dxa"/>
            <w:tcBorders/>
            <w:shd w:fill="EEEEEE" w:val="clear"/>
            <w:vAlign w:val="center"/>
          </w:tcPr>
          <w:p>
            <w:pPr>
              <w:pStyle w:val="TableContents"/>
              <w:bidi w:val="0"/>
              <w:spacing w:before="0" w:after="283"/>
              <w:jc w:val="right"/>
              <w:rPr/>
            </w:pPr>
            <w:r>
              <w:rPr/>
              <w:t>19,325,000</w:t>
            </w:r>
          </w:p>
        </w:tc>
        <w:tc>
          <w:tcPr>
            <w:tcW w:w="81" w:type="dxa"/>
            <w:tcBorders/>
            <w:shd w:fill="EEEEEE" w:val="clear"/>
            <w:vAlign w:val="center"/>
          </w:tcPr>
          <w:p>
            <w:pPr>
              <w:pStyle w:val="TableContents"/>
              <w:bidi w:val="0"/>
              <w:spacing w:before="0" w:after="283"/>
              <w:jc w:val="left"/>
              <w:rPr/>
            </w:pPr>
            <w:r>
              <w:rPr/>
              <w:t> </w:t>
            </w:r>
          </w:p>
        </w:tc>
      </w:tr>
      <w:tr>
        <w:trPr/>
        <w:tc>
          <w:tcPr>
            <w:tcW w:w="545" w:type="dxa"/>
            <w:tcBorders/>
            <w:shd w:fill="FFFFFF" w:val="clear"/>
            <w:vAlign w:val="center"/>
          </w:tcPr>
          <w:p>
            <w:pPr>
              <w:pStyle w:val="TableContents"/>
              <w:bidi w:val="0"/>
              <w:spacing w:before="0" w:after="283"/>
              <w:jc w:val="left"/>
              <w:rPr>
                <w:b/>
              </w:rPr>
            </w:pPr>
            <w:r>
              <w:rPr>
                <w:b/>
              </w:rPr>
              <w:t>2024</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bookmarkStart w:id="17" w:name="xdx_981_eecd--PeoTotalCompAmt_c20240101_"/>
            <w:bookmarkEnd w:id="17"/>
          </w:p>
        </w:tc>
        <w:tc>
          <w:tcPr>
            <w:tcW w:w="1388" w:type="dxa"/>
            <w:tcBorders/>
            <w:shd w:fill="FFFFFF" w:val="clear"/>
            <w:vAlign w:val="center"/>
          </w:tcPr>
          <w:p>
            <w:pPr>
              <w:pStyle w:val="TableContents"/>
              <w:bidi w:val="0"/>
              <w:spacing w:before="0" w:after="283"/>
              <w:jc w:val="right"/>
              <w:rPr/>
            </w:pPr>
            <w:r>
              <w:rPr/>
              <w:t>4,165,611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18" w:name="xdx_989_eecd--PeoActuallyPaidCompAmt_c20"/>
            <w:bookmarkEnd w:id="18"/>
          </w:p>
        </w:tc>
        <w:tc>
          <w:tcPr>
            <w:tcW w:w="1372" w:type="dxa"/>
            <w:tcBorders/>
            <w:shd w:fill="FFFFFF" w:val="clear"/>
            <w:vAlign w:val="center"/>
          </w:tcPr>
          <w:p>
            <w:pPr>
              <w:pStyle w:val="TableContents"/>
              <w:bidi w:val="0"/>
              <w:spacing w:before="0" w:after="283"/>
              <w:jc w:val="right"/>
              <w:rPr/>
            </w:pPr>
            <w:r>
              <w:rPr/>
              <w:t>3,258,651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9" w:name="xdx_988_eecd--NonPeoNeoAvgTotalCompAmt_c"/>
            <w:bookmarkEnd w:id="19"/>
          </w:p>
        </w:tc>
        <w:tc>
          <w:tcPr>
            <w:tcW w:w="1437" w:type="dxa"/>
            <w:tcBorders/>
            <w:shd w:fill="FFFFFF" w:val="clear"/>
            <w:vAlign w:val="center"/>
          </w:tcPr>
          <w:p>
            <w:pPr>
              <w:pStyle w:val="TableContents"/>
              <w:bidi w:val="0"/>
              <w:spacing w:before="0" w:after="283"/>
              <w:jc w:val="right"/>
              <w:rPr/>
            </w:pPr>
            <w:r>
              <w:rPr/>
              <w:t>839,162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20" w:name="xdx_988_eecd--NonPeoNeoAvgCompActuallyPa"/>
            <w:bookmarkEnd w:id="20"/>
          </w:p>
        </w:tc>
        <w:tc>
          <w:tcPr>
            <w:tcW w:w="1420" w:type="dxa"/>
            <w:tcBorders/>
            <w:shd w:fill="FFFFFF" w:val="clear"/>
            <w:vAlign w:val="center"/>
          </w:tcPr>
          <w:p>
            <w:pPr>
              <w:pStyle w:val="TableContents"/>
              <w:bidi w:val="0"/>
              <w:spacing w:before="0" w:after="283"/>
              <w:jc w:val="right"/>
              <w:rPr/>
            </w:pPr>
            <w:r>
              <w:rPr/>
              <w:t>758,397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bookmarkStart w:id="21" w:name="xdx_982_eecd--TotalShareholderRtnAmt_pp2"/>
            <w:bookmarkEnd w:id="21"/>
          </w:p>
        </w:tc>
        <w:tc>
          <w:tcPr>
            <w:tcW w:w="1036" w:type="dxa"/>
            <w:tcBorders/>
            <w:shd w:fill="FFFFFF" w:val="clear"/>
            <w:vAlign w:val="center"/>
          </w:tcPr>
          <w:p>
            <w:pPr>
              <w:pStyle w:val="TableContents"/>
              <w:bidi w:val="0"/>
              <w:spacing w:before="0" w:after="283"/>
              <w:jc w:val="right"/>
              <w:rPr/>
            </w:pPr>
            <w:r>
              <w:rPr/>
              <w:t>122.71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 w:name="xdx_98D_eus-gaap--NetIncomeLoss_c2024010"/>
            <w:bookmarkEnd w:id="22"/>
          </w:p>
        </w:tc>
        <w:tc>
          <w:tcPr>
            <w:tcW w:w="1100" w:type="dxa"/>
            <w:tcBorders/>
            <w:shd w:fill="FFFFFF" w:val="clear"/>
            <w:vAlign w:val="center"/>
          </w:tcPr>
          <w:p>
            <w:pPr>
              <w:pStyle w:val="TableContents"/>
              <w:bidi w:val="0"/>
              <w:spacing w:before="0" w:after="283"/>
              <w:jc w:val="right"/>
              <w:rPr/>
            </w:pPr>
            <w:r>
              <w:rPr/>
              <w:t>19,203,000</w:t>
            </w:r>
          </w:p>
        </w:tc>
        <w:tc>
          <w:tcPr>
            <w:tcW w:w="81" w:type="dxa"/>
            <w:tcBorders/>
            <w:shd w:fill="FFFFFF" w:val="clear"/>
            <w:vAlign w:val="center"/>
          </w:tcPr>
          <w:p>
            <w:pPr>
              <w:pStyle w:val="TableContents"/>
              <w:bidi w:val="0"/>
              <w:spacing w:before="0" w:after="283"/>
              <w:jc w:val="left"/>
              <w:rPr/>
            </w:pPr>
            <w:r>
              <w:rPr/>
              <w:t> </w:t>
            </w:r>
          </w:p>
        </w:tc>
      </w:tr>
      <w:tr>
        <w:trPr/>
        <w:tc>
          <w:tcPr>
            <w:tcW w:w="545" w:type="dxa"/>
            <w:tcBorders/>
            <w:shd w:fill="EEEEEE" w:val="clear"/>
            <w:vAlign w:val="center"/>
          </w:tcPr>
          <w:p>
            <w:pPr>
              <w:pStyle w:val="TableContents"/>
              <w:bidi w:val="0"/>
              <w:spacing w:before="0" w:after="283"/>
              <w:jc w:val="left"/>
              <w:rPr>
                <w:b/>
              </w:rPr>
            </w:pPr>
            <w:r>
              <w:rPr>
                <w:b/>
              </w:rPr>
              <w:t>2023</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bookmarkStart w:id="23" w:name="xdx_984_eecd--PeoTotalCompAmt_c20230101_"/>
            <w:bookmarkEnd w:id="23"/>
          </w:p>
        </w:tc>
        <w:tc>
          <w:tcPr>
            <w:tcW w:w="1388" w:type="dxa"/>
            <w:tcBorders/>
            <w:shd w:fill="EEEEEE" w:val="clear"/>
            <w:vAlign w:val="center"/>
          </w:tcPr>
          <w:p>
            <w:pPr>
              <w:pStyle w:val="TableContents"/>
              <w:bidi w:val="0"/>
              <w:spacing w:before="0" w:after="283"/>
              <w:jc w:val="right"/>
              <w:rPr/>
            </w:pPr>
            <w:r>
              <w:rPr/>
              <w:t>4,000,342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 </w:t>
            </w:r>
            <w:bookmarkStart w:id="24" w:name="xdx_98A_eecd--PeoActuallyPaidCompAmt_c20"/>
            <w:bookmarkEnd w:id="24"/>
          </w:p>
        </w:tc>
        <w:tc>
          <w:tcPr>
            <w:tcW w:w="1372" w:type="dxa"/>
            <w:tcBorders/>
            <w:shd w:fill="EEEEEE" w:val="clear"/>
            <w:vAlign w:val="center"/>
          </w:tcPr>
          <w:p>
            <w:pPr>
              <w:pStyle w:val="TableContents"/>
              <w:bidi w:val="0"/>
              <w:spacing w:before="0" w:after="283"/>
              <w:jc w:val="right"/>
              <w:rPr/>
            </w:pPr>
            <w:r>
              <w:rPr/>
              <w:t>4,586,692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bookmarkStart w:id="25" w:name="xdx_989_eecd--NonPeoNeoAvgTotalCompAmt_c"/>
            <w:bookmarkEnd w:id="25"/>
          </w:p>
        </w:tc>
        <w:tc>
          <w:tcPr>
            <w:tcW w:w="1437" w:type="dxa"/>
            <w:tcBorders/>
            <w:shd w:fill="EEEEEE" w:val="clear"/>
            <w:vAlign w:val="center"/>
          </w:tcPr>
          <w:p>
            <w:pPr>
              <w:pStyle w:val="TableContents"/>
              <w:bidi w:val="0"/>
              <w:spacing w:before="0" w:after="283"/>
              <w:jc w:val="right"/>
              <w:rPr/>
            </w:pPr>
            <w:r>
              <w:rPr/>
              <w:t>836,241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bookmarkStart w:id="26" w:name="xdx_983_eecd--NonPeoNeoAvgCompActuallyPa"/>
            <w:bookmarkEnd w:id="26"/>
          </w:p>
        </w:tc>
        <w:tc>
          <w:tcPr>
            <w:tcW w:w="1420" w:type="dxa"/>
            <w:tcBorders/>
            <w:shd w:fill="EEEEEE" w:val="clear"/>
            <w:vAlign w:val="center"/>
          </w:tcPr>
          <w:p>
            <w:pPr>
              <w:pStyle w:val="TableContents"/>
              <w:bidi w:val="0"/>
              <w:spacing w:before="0" w:after="283"/>
              <w:jc w:val="right"/>
              <w:rPr/>
            </w:pPr>
            <w:r>
              <w:rPr/>
              <w:t>998,575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7" w:type="dxa"/>
            <w:tcBorders/>
            <w:shd w:fill="EEEEEE" w:val="clear"/>
            <w:vAlign w:val="center"/>
          </w:tcPr>
          <w:p>
            <w:pPr>
              <w:pStyle w:val="TableContents"/>
              <w:bidi w:val="0"/>
              <w:spacing w:before="0" w:after="283"/>
              <w:jc w:val="left"/>
              <w:rPr/>
            </w:pPr>
            <w:r>
              <w:rPr/>
              <w:t> </w:t>
            </w:r>
            <w:bookmarkStart w:id="27" w:name="xdx_98F_eecd--TotalShareholderRtnAmt_pp2"/>
            <w:bookmarkEnd w:id="27"/>
          </w:p>
        </w:tc>
        <w:tc>
          <w:tcPr>
            <w:tcW w:w="1036" w:type="dxa"/>
            <w:tcBorders/>
            <w:shd w:fill="EEEEEE" w:val="clear"/>
            <w:vAlign w:val="center"/>
          </w:tcPr>
          <w:p>
            <w:pPr>
              <w:pStyle w:val="TableContents"/>
              <w:bidi w:val="0"/>
              <w:spacing w:before="0" w:after="283"/>
              <w:jc w:val="right"/>
              <w:rPr/>
            </w:pPr>
            <w:r>
              <w:rPr/>
              <w:t>105.88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28" w:name="xdx_98F_eus-gaap--NetIncomeLoss_c2023010"/>
            <w:bookmarkEnd w:id="28"/>
          </w:p>
        </w:tc>
        <w:tc>
          <w:tcPr>
            <w:tcW w:w="1100" w:type="dxa"/>
            <w:tcBorders/>
            <w:shd w:fill="EEEEEE" w:val="clear"/>
            <w:vAlign w:val="center"/>
          </w:tcPr>
          <w:p>
            <w:pPr>
              <w:pStyle w:val="TableContents"/>
              <w:bidi w:val="0"/>
              <w:spacing w:before="0" w:after="283"/>
              <w:jc w:val="right"/>
              <w:rPr/>
            </w:pPr>
            <w:r>
              <w:rPr/>
              <w:t>45,343,000</w:t>
            </w:r>
          </w:p>
        </w:tc>
        <w:tc>
          <w:tcPr>
            <w:tcW w:w="81"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29" w:name="xdx_84D_eecd--NamedExecutiveOfficersFnTe"/>
      <w:bookmarkEnd w:id="29"/>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 each year identified, our PEO was </w:t>
            </w:r>
            <w:bookmarkStart w:id="30" w:name="xdx_90C_eecd--PeoName_c20230101__2023123"/>
            <w:bookmarkStart w:id="31" w:name="xdx_905_eecd--PeoName_c20240101__2024123"/>
            <w:bookmarkStart w:id="32" w:name="xdx_906_eecd--PeoName_c20250101__2025123"/>
            <w:bookmarkEnd w:id="30"/>
            <w:bookmarkEnd w:id="31"/>
            <w:bookmarkEnd w:id="32"/>
            <w:r>
              <w:rPr>
                <w:rFonts w:ascii="Times New Roman;Times;Serif" w:hAnsi="Times New Roman;Times;Serif"/>
                <w:sz w:val="20"/>
              </w:rPr>
              <w:t xml:space="preserve">Mr. Bradley. For the fiscal year ended December 31, 2025, our non-PEO NEOs were Mr. Lavin and Mr. Bharwani. For the fiscal year ended December 31, 2024, our non-PEO NEOs were Mr. Lavin, Mr. Bharwani, Ms. Robinson, and Mr. Terry. For the fiscal year ended December 31, 2023, our non-PEO NEOs were Mr. Lavin, Mr. Bharwani, Ms. Robinson, and Ms. Laurie Straten. </w:t>
            </w:r>
          </w:p>
        </w:tc>
      </w:tr>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929" w:type="dxa"/>
            <w:tcBorders/>
            <w:vAlign w:val="center"/>
          </w:tcPr>
          <w:p>
            <w:pPr>
              <w:pStyle w:val="TableContents"/>
              <w:bidi w:val="0"/>
              <w:spacing w:before="0" w:after="283"/>
              <w:jc w:val="left"/>
              <w:rPr/>
            </w:pPr>
            <w:r>
              <w:rPr/>
              <w:t> </w:t>
            </w:r>
          </w:p>
        </w:tc>
      </w:tr>
    </w:tbl>
    <w:p>
      <w:pPr>
        <w:pStyle w:val="TextBody"/>
        <w:bidi w:val="0"/>
        <w:spacing w:before="0" w:after="283"/>
        <w:jc w:val="left"/>
        <w:rPr/>
      </w:pPr>
      <w:bookmarkStart w:id="33" w:name="xdx_85C_zBZ9KGLOXhhj"/>
      <w:bookmarkEnd w:id="33"/>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bookmarkStart w:id="34" w:name="xdx_84B_eecd--AdjToPeoCompFnTextBlock_dU"/>
      <w:bookmarkEnd w:id="34"/>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table below describes adjustments made to the calculation of CAP in accordance with Item 402(v) of Regulation S-K, to the amounts previously reported in the SCT. The adjustments are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7"/>
        <w:gridCol w:w="60"/>
        <w:gridCol w:w="140"/>
        <w:gridCol w:w="1055"/>
        <w:gridCol w:w="95"/>
        <w:gridCol w:w="60"/>
        <w:gridCol w:w="140"/>
        <w:gridCol w:w="980"/>
        <w:gridCol w:w="95"/>
        <w:gridCol w:w="60"/>
        <w:gridCol w:w="140"/>
        <w:gridCol w:w="980"/>
        <w:gridCol w:w="95"/>
        <w:gridCol w:w="60"/>
        <w:gridCol w:w="141"/>
        <w:gridCol w:w="987"/>
        <w:gridCol w:w="95"/>
        <w:gridCol w:w="60"/>
        <w:gridCol w:w="142"/>
        <w:gridCol w:w="814"/>
        <w:gridCol w:w="95"/>
        <w:gridCol w:w="60"/>
        <w:gridCol w:w="142"/>
        <w:gridCol w:w="814"/>
        <w:gridCol w:w="78"/>
      </w:tblGrid>
      <w:tr>
        <w:trPr/>
        <w:tc>
          <w:tcPr>
            <w:tcW w:w="28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Average for</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Average for</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Average for</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Non-PEO NEOs</w:t>
            </w:r>
          </w:p>
        </w:tc>
        <w:tc>
          <w:tcPr>
            <w:tcW w:w="78" w:type="dxa"/>
            <w:tcBorders/>
            <w:vAlign w:val="center"/>
          </w:tcPr>
          <w:p>
            <w:pPr>
              <w:pStyle w:val="TableContents"/>
              <w:bidi w:val="0"/>
              <w:spacing w:before="0" w:after="283"/>
              <w:jc w:val="left"/>
              <w:rPr/>
            </w:pPr>
            <w:r>
              <w:rPr/>
              <w:t> </w:t>
            </w:r>
          </w:p>
        </w:tc>
      </w:tr>
      <w:tr>
        <w:trPr/>
        <w:tc>
          <w:tcPr>
            <w:tcW w:w="2817" w:type="dxa"/>
            <w:tcBorders>
              <w:bottom w:val="single" w:sz="8" w:space="0" w:color="000000"/>
            </w:tcBorders>
            <w:tcMar>
              <w:bottom w:w="28" w:type="dxa"/>
            </w:tcMar>
            <w:vAlign w:val="center"/>
          </w:tcPr>
          <w:p>
            <w:pPr>
              <w:pStyle w:val="TableContents"/>
              <w:bidi w:val="0"/>
              <w:spacing w:before="0" w:after="283"/>
              <w:jc w:val="left"/>
              <w:rPr>
                <w:b/>
              </w:rPr>
            </w:pPr>
            <w:r>
              <w:rPr>
                <w:b/>
              </w:rPr>
              <w:t>Fiscal Year</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ind w:left="0" w:right="0" w:hanging="200"/>
              <w:jc w:val="left"/>
              <w:rPr/>
            </w:pPr>
            <w:r>
              <w:rPr/>
              <w:t> </w:t>
            </w:r>
          </w:p>
        </w:tc>
      </w:tr>
      <w:tr>
        <w:trPr/>
        <w:tc>
          <w:tcPr>
            <w:tcW w:w="2817" w:type="dxa"/>
            <w:tcBorders/>
            <w:shd w:fill="EEEEEE" w:val="clear"/>
            <w:vAlign w:val="center"/>
          </w:tcPr>
          <w:p>
            <w:pPr>
              <w:pStyle w:val="TableContents"/>
              <w:bidi w:val="0"/>
              <w:spacing w:before="0" w:after="283"/>
              <w:jc w:val="left"/>
              <w:rPr>
                <w:b/>
              </w:rPr>
            </w:pPr>
            <w:r>
              <w:rPr>
                <w:b/>
              </w:rPr>
              <w:t>Summary Compensation Table Total</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5" w:name="xdx_985_eecd--PeoTotalCompAmt_c20250101_"/>
            <w:bookmarkEnd w:id="35"/>
          </w:p>
        </w:tc>
        <w:tc>
          <w:tcPr>
            <w:tcW w:w="1055" w:type="dxa"/>
            <w:tcBorders/>
            <w:shd w:fill="EEEEEE" w:val="clear"/>
            <w:vAlign w:val="center"/>
          </w:tcPr>
          <w:p>
            <w:pPr>
              <w:pStyle w:val="TableContents"/>
              <w:bidi w:val="0"/>
              <w:spacing w:before="0" w:after="283"/>
              <w:jc w:val="right"/>
              <w:rPr/>
            </w:pPr>
            <w:r>
              <w:rPr/>
              <w:t>5,439,647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6" w:name="xdx_985_eecd--PeoTotalCompAmt_c20240101_"/>
            <w:bookmarkEnd w:id="36"/>
          </w:p>
        </w:tc>
        <w:tc>
          <w:tcPr>
            <w:tcW w:w="980" w:type="dxa"/>
            <w:tcBorders/>
            <w:shd w:fill="EEEEEE" w:val="clear"/>
            <w:vAlign w:val="center"/>
          </w:tcPr>
          <w:p>
            <w:pPr>
              <w:pStyle w:val="TableContents"/>
              <w:bidi w:val="0"/>
              <w:spacing w:before="0" w:after="283"/>
              <w:jc w:val="right"/>
              <w:rPr/>
            </w:pPr>
            <w:r>
              <w:rPr/>
              <w:t>4,165,611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7" w:name="xdx_98F_eecd--PeoTotalCompAmt_d0_c202301"/>
            <w:bookmarkEnd w:id="37"/>
          </w:p>
        </w:tc>
        <w:tc>
          <w:tcPr>
            <w:tcW w:w="980" w:type="dxa"/>
            <w:tcBorders/>
            <w:shd w:fill="EEEEEE" w:val="clear"/>
            <w:vAlign w:val="center"/>
          </w:tcPr>
          <w:p>
            <w:pPr>
              <w:pStyle w:val="TableContents"/>
              <w:bidi w:val="0"/>
              <w:spacing w:before="0" w:after="283"/>
              <w:jc w:val="right"/>
              <w:rPr/>
            </w:pPr>
            <w:r>
              <w:rPr/>
              <w:t>4,000,342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bookmarkStart w:id="38" w:name="xdx_982_eecd--NonPeoNeoAvgTotalCompAmt_c"/>
            <w:bookmarkEnd w:id="38"/>
          </w:p>
        </w:tc>
        <w:tc>
          <w:tcPr>
            <w:tcW w:w="987" w:type="dxa"/>
            <w:tcBorders/>
            <w:shd w:fill="EEEEEE" w:val="clear"/>
            <w:vAlign w:val="center"/>
          </w:tcPr>
          <w:p>
            <w:pPr>
              <w:pStyle w:val="TableContents"/>
              <w:bidi w:val="0"/>
              <w:spacing w:before="0" w:after="283"/>
              <w:jc w:val="right"/>
              <w:rPr/>
            </w:pPr>
            <w:r>
              <w:rPr/>
              <w:t>1,320,719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w:t>
            </w:r>
            <w:bookmarkStart w:id="39" w:name="xdx_983_eecd--NonPeoNeoAvgTotalCompAmt_c"/>
            <w:bookmarkEnd w:id="39"/>
          </w:p>
        </w:tc>
        <w:tc>
          <w:tcPr>
            <w:tcW w:w="814" w:type="dxa"/>
            <w:tcBorders/>
            <w:shd w:fill="EEEEEE" w:val="clear"/>
            <w:vAlign w:val="center"/>
          </w:tcPr>
          <w:p>
            <w:pPr>
              <w:pStyle w:val="TableContents"/>
              <w:bidi w:val="0"/>
              <w:spacing w:before="0" w:after="283"/>
              <w:jc w:val="right"/>
              <w:rPr/>
            </w:pPr>
            <w:r>
              <w:rPr/>
              <w:t>839,162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w:t>
            </w:r>
            <w:bookmarkStart w:id="40" w:name="xdx_98D_eecd--NonPeoNeoAvgTotalCompAmt_c"/>
            <w:bookmarkEnd w:id="40"/>
          </w:p>
        </w:tc>
        <w:tc>
          <w:tcPr>
            <w:tcW w:w="814" w:type="dxa"/>
            <w:tcBorders/>
            <w:shd w:fill="EEEEEE" w:val="clear"/>
            <w:vAlign w:val="center"/>
          </w:tcPr>
          <w:p>
            <w:pPr>
              <w:pStyle w:val="TableContents"/>
              <w:bidi w:val="0"/>
              <w:spacing w:before="0" w:after="283"/>
              <w:jc w:val="right"/>
              <w:rPr/>
            </w:pPr>
            <w:r>
              <w:rPr/>
              <w:t>836,241</w:t>
            </w:r>
          </w:p>
        </w:tc>
        <w:tc>
          <w:tcPr>
            <w:tcW w:w="78" w:type="dxa"/>
            <w:tcBorders/>
            <w:shd w:fill="EEEEEE" w:val="clear"/>
            <w:vAlign w:val="center"/>
          </w:tcPr>
          <w:p>
            <w:pPr>
              <w:pStyle w:val="TableContents"/>
              <w:bidi w:val="0"/>
              <w:spacing w:before="0" w:after="283"/>
              <w:ind w:left="0" w:right="0" w:hanging="200"/>
              <w:jc w:val="left"/>
              <w:rPr/>
            </w:pPr>
            <w:r>
              <w:rPr/>
              <w:t> </w:t>
            </w:r>
          </w:p>
        </w:tc>
      </w:tr>
      <w:tr>
        <w:trPr/>
        <w:tc>
          <w:tcPr>
            <w:tcW w:w="2817" w:type="dxa"/>
            <w:tcBorders/>
            <w:shd w:fill="FFFFFF" w:val="clear"/>
            <w:vAlign w:val="center"/>
          </w:tcPr>
          <w:p>
            <w:pPr>
              <w:pStyle w:val="TableContents"/>
              <w:bidi w:val="0"/>
              <w:spacing w:before="0" w:after="283"/>
              <w:jc w:val="left"/>
              <w:rPr/>
            </w:pPr>
            <w:r>
              <w:rPr/>
              <w:t>Deduct Amounts Reported under the “Option Awards” in the SCT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 w:name="xdx_98F_eecd--AdjToCompAmt_c20250101__20"/>
            <w:bookmarkEnd w:id="41"/>
          </w:p>
        </w:tc>
        <w:tc>
          <w:tcPr>
            <w:tcW w:w="1055" w:type="dxa"/>
            <w:tcBorders/>
            <w:shd w:fill="FFFFFF" w:val="clear"/>
            <w:vAlign w:val="center"/>
          </w:tcPr>
          <w:p>
            <w:pPr>
              <w:pStyle w:val="TableContents"/>
              <w:bidi w:val="0"/>
              <w:spacing w:before="0" w:after="283"/>
              <w:jc w:val="right"/>
              <w:rPr/>
            </w:pPr>
            <w:r>
              <w:rPr/>
              <w:t>(1,139,790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 w:name="xdx_980_eecd--AdjToCompAmt_d0_c20240101_"/>
            <w:bookmarkEnd w:id="42"/>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 w:name="xdx_985_eecd--AdjToCompAmt_d0_c20230101_"/>
            <w:bookmarkEnd w:id="43"/>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4" w:name="xdx_985_eecd--AdjToCompAmt_c20250101__20"/>
            <w:bookmarkEnd w:id="44"/>
          </w:p>
        </w:tc>
        <w:tc>
          <w:tcPr>
            <w:tcW w:w="987" w:type="dxa"/>
            <w:tcBorders/>
            <w:shd w:fill="FFFFFF" w:val="clear"/>
            <w:vAlign w:val="center"/>
          </w:tcPr>
          <w:p>
            <w:pPr>
              <w:pStyle w:val="TableContents"/>
              <w:bidi w:val="0"/>
              <w:spacing w:before="0" w:after="283"/>
              <w:jc w:val="right"/>
              <w:rPr/>
            </w:pPr>
            <w:r>
              <w:rPr/>
              <w:t>(398,927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45" w:name="xdx_98B_eecd--AdjToCompAmt_d0_c20240101_"/>
            <w:bookmarkEnd w:id="45"/>
          </w:p>
        </w:tc>
        <w:tc>
          <w:tcPr>
            <w:tcW w:w="8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46" w:name="xdx_98C_eecd--AdjToCompAmt_d0_c20230101_"/>
            <w:bookmarkEnd w:id="46"/>
          </w:p>
        </w:tc>
        <w:tc>
          <w:tcPr>
            <w:tcW w:w="81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817" w:type="dxa"/>
            <w:tcBorders/>
            <w:shd w:fill="EEEEEE" w:val="clear"/>
            <w:vAlign w:val="center"/>
          </w:tcPr>
          <w:p>
            <w:pPr>
              <w:pStyle w:val="TableContents"/>
              <w:bidi w:val="0"/>
              <w:spacing w:before="0" w:after="283"/>
              <w:jc w:val="left"/>
              <w:rPr/>
            </w:pPr>
            <w:r>
              <w:rPr/>
              <w:t>Add the fair value as of the end of the covered fiscal year of all awards granted during the covered fiscal year that are outstanding and unvested as of the end of the covered fiscal year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7" w:name="xdx_98B_eecd--AdjToCompAmt_c20250101__20"/>
            <w:bookmarkEnd w:id="47"/>
          </w:p>
        </w:tc>
        <w:tc>
          <w:tcPr>
            <w:tcW w:w="1055" w:type="dxa"/>
            <w:tcBorders/>
            <w:shd w:fill="EEEEEE" w:val="clear"/>
            <w:vAlign w:val="center"/>
          </w:tcPr>
          <w:p>
            <w:pPr>
              <w:pStyle w:val="TableContents"/>
              <w:bidi w:val="0"/>
              <w:spacing w:before="0" w:after="283"/>
              <w:jc w:val="right"/>
              <w:rPr/>
            </w:pPr>
            <w:r>
              <w:rPr/>
              <w:t>569,100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8" w:name="xdx_984_eecd--AdjToCompAmt_d0_c20240101_"/>
            <w:bookmarkEnd w:id="48"/>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9" w:name="xdx_98B_eecd--AdjToCompAmt_d0_c20230101_"/>
            <w:bookmarkEnd w:id="49"/>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50" w:name="xdx_98C_eecd--AdjToCompAmt_c20250101__20"/>
            <w:bookmarkEnd w:id="50"/>
          </w:p>
        </w:tc>
        <w:tc>
          <w:tcPr>
            <w:tcW w:w="987" w:type="dxa"/>
            <w:tcBorders/>
            <w:shd w:fill="EEEEEE" w:val="clear"/>
            <w:vAlign w:val="center"/>
          </w:tcPr>
          <w:p>
            <w:pPr>
              <w:pStyle w:val="TableContents"/>
              <w:bidi w:val="0"/>
              <w:spacing w:before="0" w:after="283"/>
              <w:jc w:val="right"/>
              <w:rPr/>
            </w:pPr>
            <w:r>
              <w:rPr/>
              <w:t>199,185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51" w:name="xdx_982_eecd--AdjToCompAmt_d0_c20240101_"/>
            <w:bookmarkEnd w:id="51"/>
          </w:p>
        </w:tc>
        <w:tc>
          <w:tcPr>
            <w:tcW w:w="814"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52" w:name="xdx_983_eecd--AdjToCompAmt_d0_c20230101_"/>
            <w:bookmarkEnd w:id="52"/>
          </w:p>
        </w:tc>
        <w:tc>
          <w:tcPr>
            <w:tcW w:w="814"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ind w:left="0" w:right="0" w:hanging="200"/>
              <w:jc w:val="left"/>
              <w:rPr/>
            </w:pPr>
            <w:r>
              <w:rPr/>
              <w:t> </w:t>
            </w:r>
          </w:p>
        </w:tc>
      </w:tr>
      <w:tr>
        <w:trPr/>
        <w:tc>
          <w:tcPr>
            <w:tcW w:w="2817" w:type="dxa"/>
            <w:tcBorders/>
            <w:shd w:fill="FFFFFF" w:val="clear"/>
            <w:vAlign w:val="center"/>
          </w:tcPr>
          <w:p>
            <w:pPr>
              <w:pStyle w:val="TableContents"/>
              <w:bidi w:val="0"/>
              <w:spacing w:before="0" w:after="283"/>
              <w:jc w:val="left"/>
              <w:rPr/>
            </w:pPr>
            <w:r>
              <w:rPr/>
              <w:t>Add the amount equal to the change as of the end of the covered fiscal year (from the end of the prior fiscal year) in fair value (whether positive or negative) of any awards granted in any prior fiscal year that are outstanding and unvested as of the end of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 w:name="xdx_982_eecd--AdjToCompAmt_c20250101__20"/>
            <w:bookmarkEnd w:id="53"/>
          </w:p>
        </w:tc>
        <w:tc>
          <w:tcPr>
            <w:tcW w:w="1055" w:type="dxa"/>
            <w:tcBorders/>
            <w:shd w:fill="FFFFFF" w:val="clear"/>
            <w:vAlign w:val="center"/>
          </w:tcPr>
          <w:p>
            <w:pPr>
              <w:pStyle w:val="TableContents"/>
              <w:bidi w:val="0"/>
              <w:spacing w:before="0" w:after="283"/>
              <w:jc w:val="right"/>
              <w:rPr/>
            </w:pPr>
            <w:r>
              <w:rPr/>
              <w:t>(444,300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 w:name="xdx_987_eecd--AdjToCompAmt_c20240101__20"/>
            <w:bookmarkEnd w:id="54"/>
          </w:p>
        </w:tc>
        <w:tc>
          <w:tcPr>
            <w:tcW w:w="980" w:type="dxa"/>
            <w:tcBorders/>
            <w:shd w:fill="FFFFFF" w:val="clear"/>
            <w:vAlign w:val="center"/>
          </w:tcPr>
          <w:p>
            <w:pPr>
              <w:pStyle w:val="TableContents"/>
              <w:bidi w:val="0"/>
              <w:spacing w:before="0" w:after="283"/>
              <w:jc w:val="right"/>
              <w:rPr/>
            </w:pPr>
            <w:r>
              <w:rPr/>
              <w:t>(235,800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 w:name="xdx_983_eecd--AdjToCompAmt_c20230101__20"/>
            <w:bookmarkEnd w:id="55"/>
          </w:p>
        </w:tc>
        <w:tc>
          <w:tcPr>
            <w:tcW w:w="980" w:type="dxa"/>
            <w:tcBorders/>
            <w:shd w:fill="FFFFFF" w:val="clear"/>
            <w:vAlign w:val="center"/>
          </w:tcPr>
          <w:p>
            <w:pPr>
              <w:pStyle w:val="TableContents"/>
              <w:bidi w:val="0"/>
              <w:spacing w:before="0" w:after="283"/>
              <w:jc w:val="right"/>
              <w:rPr/>
            </w:pPr>
            <w:r>
              <w:rPr/>
              <w:t>(187,830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56" w:name="xdx_984_eecd--AdjToCompAmt_c20250101__20"/>
            <w:bookmarkEnd w:id="56"/>
          </w:p>
        </w:tc>
        <w:tc>
          <w:tcPr>
            <w:tcW w:w="987" w:type="dxa"/>
            <w:tcBorders/>
            <w:shd w:fill="FFFFFF" w:val="clear"/>
            <w:vAlign w:val="center"/>
          </w:tcPr>
          <w:p>
            <w:pPr>
              <w:pStyle w:val="TableContents"/>
              <w:bidi w:val="0"/>
              <w:spacing w:before="0" w:after="283"/>
              <w:jc w:val="right"/>
              <w:rPr/>
            </w:pPr>
            <w:r>
              <w:rPr/>
              <w:t>(28,388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7" w:name="xdx_982_eecd--AdjToCompAmt_c20240101__20"/>
            <w:bookmarkEnd w:id="57"/>
          </w:p>
        </w:tc>
        <w:tc>
          <w:tcPr>
            <w:tcW w:w="814" w:type="dxa"/>
            <w:tcBorders/>
            <w:shd w:fill="FFFFFF" w:val="clear"/>
            <w:vAlign w:val="center"/>
          </w:tcPr>
          <w:p>
            <w:pPr>
              <w:pStyle w:val="TableContents"/>
              <w:bidi w:val="0"/>
              <w:spacing w:before="0" w:after="283"/>
              <w:jc w:val="right"/>
              <w:rPr/>
            </w:pPr>
            <w:r>
              <w:rPr/>
              <w:t>(7,695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8" w:name="xdx_988_eecd--AdjToCompAmt_c20230101__20"/>
            <w:bookmarkEnd w:id="58"/>
          </w:p>
        </w:tc>
        <w:tc>
          <w:tcPr>
            <w:tcW w:w="814" w:type="dxa"/>
            <w:tcBorders/>
            <w:shd w:fill="FFFFFF" w:val="clear"/>
            <w:vAlign w:val="center"/>
          </w:tcPr>
          <w:p>
            <w:pPr>
              <w:pStyle w:val="TableContents"/>
              <w:bidi w:val="0"/>
              <w:spacing w:before="0" w:after="283"/>
              <w:jc w:val="right"/>
              <w:rPr/>
            </w:pPr>
            <w:r>
              <w:rPr/>
              <w:t>10,655</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817" w:type="dxa"/>
            <w:tcBorders/>
            <w:shd w:fill="EEEEEE" w:val="clear"/>
            <w:vAlign w:val="center"/>
          </w:tcPr>
          <w:p>
            <w:pPr>
              <w:pStyle w:val="TableContents"/>
              <w:bidi w:val="0"/>
              <w:spacing w:before="0" w:after="283"/>
              <w:jc w:val="left"/>
              <w:rPr/>
            </w:pPr>
            <w:r>
              <w:rPr/>
              <w:t>Add, for awards that are granted and vest in the same year, the fair value as of the vesting date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9" w:name="xdx_984_eecd--AdjToCompAmt_d0_c20250101_"/>
            <w:bookmarkEnd w:id="59"/>
          </w:p>
        </w:tc>
        <w:tc>
          <w:tcPr>
            <w:tcW w:w="105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0" w:name="xdx_987_eecd--AdjToCompAmt_d0_c20240101_"/>
            <w:bookmarkEnd w:id="60"/>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1" w:name="xdx_984_eecd--AdjToCompAmt_d0_c20230101_"/>
            <w:bookmarkEnd w:id="61"/>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62" w:name="xdx_980_eecd--AdjToCompAmt_d0_c20250101_"/>
            <w:bookmarkEnd w:id="62"/>
          </w:p>
        </w:tc>
        <w:tc>
          <w:tcPr>
            <w:tcW w:w="98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63" w:name="xdx_98C_eecd--AdjToCompAmt_d0_c20240101_"/>
            <w:bookmarkEnd w:id="63"/>
          </w:p>
        </w:tc>
        <w:tc>
          <w:tcPr>
            <w:tcW w:w="814"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64" w:name="xdx_988_eecd--AdjToCompAmt_d0_c20230101_"/>
            <w:bookmarkEnd w:id="64"/>
          </w:p>
        </w:tc>
        <w:tc>
          <w:tcPr>
            <w:tcW w:w="814"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ind w:left="0" w:right="0" w:hanging="200"/>
              <w:jc w:val="left"/>
              <w:rPr/>
            </w:pPr>
            <w:r>
              <w:rPr/>
              <w:t> </w:t>
            </w:r>
          </w:p>
        </w:tc>
      </w:tr>
      <w:tr>
        <w:trPr/>
        <w:tc>
          <w:tcPr>
            <w:tcW w:w="2817" w:type="dxa"/>
            <w:tcBorders/>
            <w:shd w:fill="FFFFFF" w:val="clear"/>
            <w:vAlign w:val="center"/>
          </w:tcPr>
          <w:p>
            <w:pPr>
              <w:pStyle w:val="TableContents"/>
              <w:bidi w:val="0"/>
              <w:spacing w:before="0" w:after="283"/>
              <w:jc w:val="left"/>
              <w:rPr/>
            </w:pPr>
            <w:r>
              <w:rPr/>
              <w:t>Add the amount equal to the change as of the vesting date (from the end of the prior fiscal year) in fair value (whether positive or negative) of any awards granted in any prior fiscal year for which all applicable vesting conditions were satisfied at the end of or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 w:name="xdx_98B_eecd--AdjToCompAmt_c20250101__20"/>
            <w:bookmarkEnd w:id="65"/>
          </w:p>
        </w:tc>
        <w:tc>
          <w:tcPr>
            <w:tcW w:w="1055" w:type="dxa"/>
            <w:tcBorders/>
            <w:shd w:fill="FFFFFF" w:val="clear"/>
            <w:vAlign w:val="center"/>
          </w:tcPr>
          <w:p>
            <w:pPr>
              <w:pStyle w:val="TableContents"/>
              <w:bidi w:val="0"/>
              <w:spacing w:before="0" w:after="283"/>
              <w:jc w:val="right"/>
              <w:rPr/>
            </w:pPr>
            <w:r>
              <w:rPr/>
              <w:t>(564,263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 w:name="xdx_98C_eecd--AdjToCompAmt_c20240101__20"/>
            <w:bookmarkEnd w:id="66"/>
          </w:p>
        </w:tc>
        <w:tc>
          <w:tcPr>
            <w:tcW w:w="980" w:type="dxa"/>
            <w:tcBorders/>
            <w:shd w:fill="FFFFFF" w:val="clear"/>
            <w:vAlign w:val="center"/>
          </w:tcPr>
          <w:p>
            <w:pPr>
              <w:pStyle w:val="TableContents"/>
              <w:bidi w:val="0"/>
              <w:spacing w:before="0" w:after="283"/>
              <w:jc w:val="right"/>
              <w:rPr/>
            </w:pPr>
            <w:r>
              <w:rPr/>
              <w:t>(671,160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 w:name="xdx_989_eecd--AdjToCompAmt_c20230101__20"/>
            <w:bookmarkEnd w:id="67"/>
          </w:p>
        </w:tc>
        <w:tc>
          <w:tcPr>
            <w:tcW w:w="980" w:type="dxa"/>
            <w:tcBorders/>
            <w:shd w:fill="FFFFFF" w:val="clear"/>
            <w:vAlign w:val="center"/>
          </w:tcPr>
          <w:p>
            <w:pPr>
              <w:pStyle w:val="TableContents"/>
              <w:bidi w:val="0"/>
              <w:spacing w:before="0" w:after="283"/>
              <w:jc w:val="right"/>
              <w:rPr/>
            </w:pPr>
            <w:r>
              <w:rPr/>
              <w:t>774,180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68" w:name="xdx_981_eecd--AdjToCompAmt_c20250101__20"/>
            <w:bookmarkEnd w:id="68"/>
          </w:p>
        </w:tc>
        <w:tc>
          <w:tcPr>
            <w:tcW w:w="987" w:type="dxa"/>
            <w:tcBorders/>
            <w:shd w:fill="FFFFFF" w:val="clear"/>
            <w:vAlign w:val="center"/>
          </w:tcPr>
          <w:p>
            <w:pPr>
              <w:pStyle w:val="TableContents"/>
              <w:bidi w:val="0"/>
              <w:spacing w:before="0" w:after="283"/>
              <w:jc w:val="right"/>
              <w:rPr/>
            </w:pPr>
            <w:r>
              <w:rPr/>
              <w:t>(52,331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69" w:name="xdx_980_eecd--AdjToCompAmt_c20240101__20"/>
            <w:bookmarkEnd w:id="69"/>
          </w:p>
        </w:tc>
        <w:tc>
          <w:tcPr>
            <w:tcW w:w="814" w:type="dxa"/>
            <w:tcBorders/>
            <w:shd w:fill="FFFFFF" w:val="clear"/>
            <w:vAlign w:val="center"/>
          </w:tcPr>
          <w:p>
            <w:pPr>
              <w:pStyle w:val="TableContents"/>
              <w:bidi w:val="0"/>
              <w:spacing w:before="0" w:after="283"/>
              <w:jc w:val="right"/>
              <w:rPr/>
            </w:pPr>
            <w:r>
              <w:rPr/>
              <w:t>(73,069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0" w:name="xdx_98C_eecd--AdjToCompAmt_c20230101__20"/>
            <w:bookmarkEnd w:id="70"/>
          </w:p>
        </w:tc>
        <w:tc>
          <w:tcPr>
            <w:tcW w:w="814" w:type="dxa"/>
            <w:tcBorders/>
            <w:shd w:fill="FFFFFF" w:val="clear"/>
            <w:vAlign w:val="center"/>
          </w:tcPr>
          <w:p>
            <w:pPr>
              <w:pStyle w:val="TableContents"/>
              <w:bidi w:val="0"/>
              <w:spacing w:before="0" w:after="283"/>
              <w:jc w:val="right"/>
              <w:rPr/>
            </w:pPr>
            <w:r>
              <w:rPr/>
              <w:t>151,679</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817" w:type="dxa"/>
            <w:tcBorders/>
            <w:shd w:fill="EEEEEE" w:val="clear"/>
            <w:vAlign w:val="center"/>
          </w:tcPr>
          <w:p>
            <w:pPr>
              <w:pStyle w:val="TableContents"/>
              <w:bidi w:val="0"/>
              <w:spacing w:before="0" w:after="283"/>
              <w:jc w:val="left"/>
              <w:rPr/>
            </w:pPr>
            <w:r>
              <w:rPr/>
              <w:t>Subtract, for any awards granted in any prior fiscal year that fail to meet the applicable vesting conditions during the covered fiscal year, the amount equal to the fair value at the end of the prior fiscal year</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1" w:name="xdx_98D_eecd--AdjToCompAmt_d0_c20250101_"/>
            <w:bookmarkEnd w:id="71"/>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2" w:name="xdx_98D_eecd--AdjToCompAmt_d0_c20240101_"/>
            <w:bookmarkEnd w:id="72"/>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3" w:name="xdx_98B_eecd--AdjToCompAmt_d0_c20230101_"/>
            <w:bookmarkEnd w:id="73"/>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4" w:name="xdx_986_eecd--AdjToCompAmt_d0_c20250101_"/>
            <w:bookmarkEnd w:id="74"/>
          </w:p>
        </w:tc>
        <w:tc>
          <w:tcPr>
            <w:tcW w:w="98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5" w:name="xdx_984_eecd--AdjToCompAmt_d0_c20240101_"/>
            <w:bookmarkEnd w:id="75"/>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6" w:name="xdx_98B_eecd--AdjToCompAmt_d0_c20230101_"/>
            <w:bookmarkEnd w:id="76"/>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ind w:left="0" w:right="0" w:hanging="200"/>
              <w:jc w:val="left"/>
              <w:rPr/>
            </w:pPr>
            <w:r>
              <w:rPr/>
              <w:t> </w:t>
            </w:r>
          </w:p>
        </w:tc>
      </w:tr>
      <w:tr>
        <w:trPr/>
        <w:tc>
          <w:tcPr>
            <w:tcW w:w="2817" w:type="dxa"/>
            <w:tcBorders/>
            <w:shd w:fill="FFFFFF" w:val="clear"/>
            <w:vAlign w:val="center"/>
          </w:tcPr>
          <w:p>
            <w:pPr>
              <w:pStyle w:val="TableContents"/>
              <w:bidi w:val="0"/>
              <w:spacing w:before="0" w:after="283"/>
              <w:jc w:val="left"/>
              <w:rPr>
                <w:b/>
              </w:rPr>
            </w:pPr>
            <w:r>
              <w:rPr>
                <w:b/>
              </w:rPr>
              <w:t>Compensation Actually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 w:name="xdx_98A_eecd--PeoActuallyPaidCompAmt_c20"/>
            <w:bookmarkEnd w:id="7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3,860,394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 w:name="xdx_985_eecd--PeoActuallyPaidCompAmt_c20"/>
            <w:bookmarkEnd w:id="7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3,258,651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9" w:name="xdx_985_eecd--PeoActuallyPaidCompAmt_c20"/>
            <w:bookmarkEnd w:id="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4,586,692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0" w:name="xdx_982_eecd--NonPeoNeoAvgCompActuallyPa"/>
            <w:bookmarkEnd w:id="80"/>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1,040,259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1" w:name="xdx_984_eecd--NonPeoNeoAvgCompActuallyPa"/>
            <w:bookmarkEnd w:id="81"/>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758,397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2" w:name="xdx_989_eecd--NonPeoNeoAvgCompActuallyPa"/>
            <w:bookmarkEnd w:id="82"/>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998,575</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3" w:name="xdx_854_z06wE4vjLQ2c"/>
      <w:bookmarkEnd w:id="83"/>
      <w:r>
        <w:rPr>
          <w:caps w:val="false"/>
          <w:smallCaps w:val="false"/>
        </w:rPr>
        <w:t> </w:t>
      </w:r>
    </w:p>
    <w:p>
      <w:pPr>
        <w:pStyle w:val="TextBody"/>
        <w:bidi w:val="0"/>
        <w:jc w:val="left"/>
        <w:rPr>
          <w:caps w:val="false"/>
          <w:smallCaps w:val="false"/>
        </w:rPr>
      </w:pPr>
      <w:bookmarkStart w:id="84" w:name="xdx_84F_eecd--PeerGroupIssuersFnTextBloc"/>
      <w:bookmarkEnd w:id="84"/>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 Return assumes $100 was invested in our common stock on December 30, 2022 and assumes the reinvestment of dividends and is cumulative for the measurement periods beginning on that date and ending on the last fiscal day in 2025, 2024 and 2023, respectively.  </w:t>
            </w:r>
          </w:p>
        </w:tc>
      </w:tr>
    </w:tbl>
    <w:p>
      <w:pPr>
        <w:pStyle w:val="TextBody"/>
        <w:bidi w:val="0"/>
        <w:jc w:val="left"/>
        <w:rPr>
          <w:caps w:val="false"/>
          <w:smallCaps w:val="false"/>
        </w:rPr>
      </w:pPr>
      <w:bookmarkStart w:id="85" w:name="xdx_851_zhMnsksAOYG8"/>
      <w:bookmarkEnd w:id="85"/>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bookmarkStart w:id="86" w:name="xdx_848_eecd--CompActuallyPaidVsTotalSha"/>
      <w:bookmarkEnd w:id="86"/>
      <w:r>
        <w:rPr>
          <w:rFonts w:ascii="Times New Roman;Times;Serif" w:hAnsi="Times New Roman;Times;Serif"/>
          <w:b w:val="false"/>
          <w:i/>
          <w:caps w:val="false"/>
          <w:smallCaps w:val="false"/>
          <w:sz w:val="20"/>
        </w:rPr>
        <w:t xml:space="preserve">Relationship Between Compensation Actually Paid and Cumulative Total Shareholder Return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 below shows the relationship between (i) the CAP to our PEO and the average CAP to the non-PEO NEOs, and (ii) the Company’s total shareholder returns across the last three completed fiscal years.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572250" cy="406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72250" cy="40671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87" w:name="xdx_855_zW8Dt8i6igl1"/>
      <w:bookmarkEnd w:id="87"/>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bookmarkStart w:id="88" w:name="xdx_848_eecd--CompActuallyPaidVsNetIncom"/>
      <w:bookmarkEnd w:id="88"/>
      <w:r>
        <w:rPr>
          <w:rFonts w:ascii="Times New Roman;Times;Serif" w:hAnsi="Times New Roman;Times;Serif"/>
          <w:b w:val="false"/>
          <w:i/>
          <w:caps w:val="false"/>
          <w:smallCaps w:val="false"/>
          <w:sz w:val="20"/>
        </w:rPr>
        <w:t>Relationship Between Compensation Actually Paid and Net Income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 below shows the relationship between (i) the CAP to our PEO and the average CAP to the non-PEO NEOs, and (ii) the Company’s net income during the last three completed fiscal years.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572250" cy="406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2250" cy="4067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89" w:name="xdx_85E_zMSLSvalyoxl"/>
      <w:bookmarkEnd w:id="89"/>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Subordinated Notes. </w:t>
      </w:r>
      <w:r>
        <w:rPr>
          <w:rFonts w:ascii="Times New Roman;Times;Serif" w:hAnsi="Times New Roman;Times;Serif"/>
          <w:b w:val="false"/>
          <w:i w:val="false"/>
          <w:caps w:val="false"/>
          <w:smallCaps w:val="false"/>
          <w:sz w:val="20"/>
        </w:rPr>
        <w:t>The Company has offered and sold its subordinated notes in a continuous public offering. Executive officer Teri L. Robinson has purchased such notes directly from the Company in the offering, in each case on the same terms then offered to the public generally. The largest aggregate amount of principal outstanding on Ms. Robinson’s notes in 2024 was $459,351. In 2024, the Company paid $496,663 of principal on Ms. Robinson’s notes, which includes principal paid more than once due to the renewal of matured notes during the year. In 2024, the Company paid $23,125 of interest at rates fixed at the time of purchase of each note. The interest rates on Ms. Robinson’s notes in 2024 range from 4.9% to 8.9%. The largest aggregate amount of principal outstanding on Ms. Robinson’s notes in 2025 was $1,070,269. The amount of principal outstanding on Ms. Robinson’s notes as of September 21, 2026 was $306,781. In 2025, the Company paid $1,040,936 of principal on Ms. Robinson’s notes, which includes principal paid more than once due to the renewal of matured notes during the year. In 2025, the Company paid $24,891 of interest at rates fixed at the time of purchase of each note. The interest rates on Ms. Robinson’s notes in 2025 range from 5.4% to 8.9%.</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 Steve Schween purchased such subordinated notes from the Company before he became an executive officer. The largest aggregate amount of principal outstanding on Mr. Schween’s note in each of 2024 and 2025 was $665,460. The amount of principal outstanding as of September 21, 2026 was $0. In 2024 and 2025, no principal was paid on the note. In 2024 and 2025 and the Company paid $148,013 and $166,869, respectively, in interest at a rate fixed at the time of purchase of the note. The interest rate on the note in 2024 and 2025 was 12.25%.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w:t>
      </w:r>
      <w:r>
        <w:rPr>
          <w:rFonts w:ascii="Times New Roman;Times;Serif" w:hAnsi="Times New Roman;Times;Serif"/>
          <w:b w:val="false"/>
          <w:i w:val="false"/>
          <w:caps w:val="false"/>
          <w:smallCaps w:val="false"/>
          <w:sz w:val="20"/>
        </w:rPr>
        <w:t>. Ms. Noel Jackson, an executive officer and the Company’s Senior Vice President of Asset Recovery, is the sister of Mr. Bradley, the Company’s Chief Executive Officer and chairman of the board. For fiscal year 2024 and 2025, Ms. Jackson received annual compensation of a base salary of $181,000 for 2024 and a base salary of $201,000 for 2025 and was also eligible for an award under the Executive Management Bonus Plan, which was approved by the Compensation Committee for 2024 and 2025. Ms. Jackson’s employment with the Company was authorized by the Board of Directors and her base salary and Executive Management Bonus Plan award is reviewed and approved by the Compensation Committee on an annual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Consulting Engagement. </w:t>
      </w:r>
      <w:r>
        <w:rPr>
          <w:rFonts w:ascii="Times New Roman;Times;Serif" w:hAnsi="Times New Roman;Times;Serif"/>
          <w:b w:val="false"/>
          <w:i w:val="false"/>
          <w:caps w:val="false"/>
          <w:smallCaps w:val="false"/>
          <w:sz w:val="20"/>
        </w:rPr>
        <w:t>Mr. Carnahan was appointed as director on February 18, 2026, and has been a senior advisor to FTI Consulting, Inc. (“FTI”) since 2023. The Company previously engaged FTI to provide consulting services to the Company. During the fiscal year ended December 31, 2024 and December 31, 2025, the Company paid FTI approximately $127,000 and $173,000, respectively, for such services. The Company’s engagement with FTI ended in September 2025. Beginning in October 2025, the Company engaged Carnahan Black Pearl LLC (“Black Pearl”), of which Mr. Carnahan is the sole member, to perform similar services. The dollar amount involved in the transaction with Black Pearl has not exceeded and is not expected to exceed $120,000 in any 12-month period.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Transactions</w:t>
      </w:r>
      <w:r>
        <w:rPr>
          <w:rFonts w:ascii="Times New Roman;Times;Serif" w:hAnsi="Times New Roman;Times;Serif"/>
          <w:b w:val="false"/>
          <w:i w:val="false"/>
          <w:caps w:val="false"/>
          <w:smallCaps w:val="false"/>
          <w:sz w:val="20"/>
        </w:rPr>
        <w:t>. On June 14, 2024, and as part of the Company’s stock repurchase program, the Company purchased directly from the Company’s chief executive officer, Charles E. Bradley, Jr., 50,000 shares of Company common stock at the previous day’s market closing price of $8.98. The dollar amount involved in the transaction and Mr. Bradley’s interest in the transaction was $449,000. On September 10, 2024, the Company purchased an additional 70,000 shares of Company common stock at the market closing price of $9.85 per share from Mr. Bradley, and Mr. Bradley’s interest in the transaction was $689,500. On August 26, 2026, the Company purchased 125,000 shares of Company stock at the market closing price of $9.46 per share from Mr. Bradley, and Mr. Bradley’s interest in transaction was $1,182,500. On September 15, 2025, as part of the Company’s stock repurchase program, the Company purchased directly from the Company’s director, William B. Roberts, 100,000 shares of Company common stock at that day’s closing price of $8.62. The dollar amount involved in the transaction and Mr. Roberts’ interest in the transaction was $862,000. On December 4, 2025, the Company purchased 100,000 shares of Company common stock at that day’s closing price of $8.69 per share from Mr. Roberts, and Mr. Roberts’ interest in the transaction was $869,000. On May 11, 2026, the Company purchased 100,000 shares of Company common stock at that day’s closing price of $9.90 per share from Mr. Roberts, and Mr. Roberts’ interest in the transaction was $990,000. On August 18, 2026, the Company purchased 100,000 shares of Company common stock at that day’s closing price of $9.16 per share from Mr. Roberts, and Mr. Roberts’ interest in the transaction was $916,000. On March 13, 2026, as part of the Company’s stock repurchase program, the Company purchased directly from the Company’s director, Daniel S. Wood, 20,000 shares of Company common stock at that day’s closing price of $7.53. The dollar amount involved in the transaction and Mr. Wood’s interest in the transaction was $150,600.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Director Independence. </w:t>
      </w:r>
      <w:r>
        <w:rPr>
          <w:rFonts w:ascii="Times New Roman;Times;Serif" w:hAnsi="Times New Roman;Times;Serif"/>
          <w:b w:val="false"/>
          <w:i w:val="false"/>
          <w:caps w:val="false"/>
          <w:smallCaps w:val="false"/>
          <w:sz w:val="20"/>
        </w:rPr>
        <w:t>The nine directors of the Company following the Annual Meeting will be (assuming the election of each of the nominees named in this proxy statement) Charles E. Bradley, Jr., Scott W. Carnahan, Stephen H. Deckoff, Louis M. Grasso, William W. Grounds, Brian J. Rayhill, James E. Walker III, Gregory S. Washer, and Daniel S. Wood. The Board has concluded that other than Mr. Bradley (who is the Company’s Chief Executive Officer), each of the other nominees is independent in accordance with the director independence standards prescribed by Nasdaq, and has determined that none of them has a material relationship with the Company that would impair his independence from management or otherwise compromise his ability to act as an independent director.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 RELATING TO THE ANNUAL MEETING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an affirmative vote be cast in favor of each of the nominees and proposals listed on the proxy card. The Board knows of no other matters that may be brought before the Annual Meeting which require submission to a vote of the shareholders. If any other matters are properly brought before the meeting, however, the persons named in the enclosed proxy or their substitutes will vote in accordance with their best judgment on such matters to the extent permitted by Rule 14a-4(c) of the Exchange 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 in person or by proxy at the Annual Meeting will be tabulated by the Inspector of Elections with the assistance of the Company’s transfer agent. The Inspector of Elections will also determine whether or not a quorum is present. In general, California law provides that a quorum consists of a majority of the shares entitled to vote, represented either in person or by proxy, that is, a minimum of 10,952,593 shares of the 21,905,185 shares outstanding at the Record Date.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one vote per share on each matter other than election of directors. As to election of directors, you may cumulate votes and give any nominee an aggregate number of votes equal to the number of directors to be elected (nine) times the number of your shares, or distribute that number of votes among as many nominees as you see fit. However, no one will be entitled to cumulate votes for any nominee unless the nominee’s name has been placed in nomination prior to the voting and the shareholder wishing to cumulate votes has given notice at the Annual Meeting prior to the voting of his intention to cumulate votes. If anyone has given such notice, all shareholders may cumulate their votes for nominees. We are seeking discretionary authority to cumulate votes of shares represented by proxies. The nine persons properly placed in nomination at the meeting and receiving the most affirmative votes will be elected as directors.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each of the other proposals requires the affirmative vote of a majority of those shares voting on the proposal, provided that such affirmative votes are at least a majority of the required quorum, that is, the affirmative votes must be greater than the negative votes, and must be no less than 5,476,297. Provided that at least the minimum number of affirmative votes are cast in favor of such proposals, an abstention will have no effect on the outcome; however, if less than 5,476,297 affirmative votes are cast in favor of such proposals, then each abstention will have an effect equivalent to that of a negative vote.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Inspector of Elections will treat abstentions as shares that are present and entitled to vote for purposes of determining the presence of a quorum, but as not voting for purposes of determining the approval of any matter submitted to the shareholders for a vote. Any proxy that is returned using the form of proxy enclosed and that is not marked as to a particular item will be voted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director nominees named in this proxy statement,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ratification of Crowe as the Company’s auditors for the fiscal year 2026,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approval, on an advisory basis, of named executive officer compensation; and will be deemed to grant discretionary authority to vote upon any other matters properly coming before the Annual Meeting, including procedural matters such as a recess or adjournment. We believe that brokers holding shares for their customers in general will not be permitted to vote without instruction from their customers on any proposal other than ratification of the selection of independent auditors. If a broker indicates on the enclosed proxy or its substitute that it does not have discretionary authority as to certain shares to vote on a particular matter (“broker non-votes”), those shares will be considered as abstentions with respect to that matter, and will have the effect of abstentions as described above. While there is no definitive specific statutory or case law authority in California concerning the proper treatment of abstentions and broker non-votes, the Company believes that the tabulation procedures to be followed by the Inspector of Elections are consistent with the general statutory requirements in California concerning voting of shares and determination of a quorum.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Nominations and Proposals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14a-8, in order to be considered for inclusion in our proxy statement and form of proxy for the 2027 Annual Meeting, any proposals by shareholders intended to be presented at such meeting must be received by the Secretary of the Company at 3800 Howard Hughes Parkway, Suite 1400, Las Vegas, Nevada 89169 no later than June 2, 2027, which is 120 calendar days before the date our proxy statement was released to shareholders in connection with the 2026 Annual Meeting. However, if the date of the 2027 Annual Meeting is changed by more than 30 calendar days from the date of the 2026 Annual Meeting, then the deadline is a reasonable time before we begin to print and send our proxy materials for the 2027 Annual Meeting.  In addition, such proposals must comply with Rule 14a-8 adopted under the Exchange Act, which lists the requirements for the inclusion of shareholder proposals in company-sponsored proxy materials.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director nomination, or other shareholder proposal (not pursuant to Rule 14a-8 of the Exchange Act and not intended to be included in the proxy statement and form of proxy relating to the 2027 Annual Meeting), that a shareholder intends to present at the 2027 Annual Meeting must be delivered to the Secretary of the Company by mail at the address given above, no later than August 28, 2027, which is 60 calendar days prior to the anniversary of the 2026 Annual Meeting. However, if the date of the meeting has changed by more than 30 calendar days from the date of the 2026 Annual Meeting, then notice must be provided by the later of 60 calendar days prior to the date of the 2027 Annual Meeting or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day on which public announcement of the date of the 2027 Annual Meeting is first made by us. The proxy we solicit for the 2027 Annual Meeting will confer discretionary authority on the Company’s proxies to vote on any proposal presented by a shareholder at that meeting for which we have not been provided with such notice.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strongly encourage shareholders who wish to submit a proposal or nomination to seek independent counsel. The above-mentioned nominations and proposals must also comply with the Bylaws and the proxy solicitation rules of the SEC and Nasdaq, including but not limited to the information requirements set forth in the Bylaws. In addition, shareholders who intend to solicit proxies in support of director nominees other than the Company’s nominees must also comply with the additional requirements of Rule 14a-19(b) of the Exchange Act, to the extent applicable. The Company reserves the right to reject, rule out of order or take other appropriate action with respect to any director nomination or proposal that does not comply with the foregoing and other applicable requirements.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Annual Report on Form 10-K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its Annual Report on Form 10-K for the fiscal year ended December 31, 2025 with the SEC. It is available free of charge at the SEC’s web site at www.sec.gov. Shareholders can also access this proxy statement at www.consumerportfolio.com/AnnualMeeting2026.html and the Company’s Annual Report on Form 10-K at www.consumerportfolio.com/2026Form10K.html. Shareholders may also obtain, without charge, a copy of the Company’s annual report on Form 10-K, upon written request. Any such request should be directed to “Corporate Secretary, Consumer Portfolio Services, Inc., 3800 Howard Hughes Parkway, Suite 1400, Las Vegas, Nevada 89169.” We will provide copies of exhibits to the Annual Report on Form 10-K, if requested, but will charge a reasonable fee per page to any requesting shareholder. The request must include a representation by the shareholder that as of September 21, 2026, the shareholder was entitled to vote at the Annual Meeting.</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i w:val="false"/>
          <w:caps w:val="false"/>
          <w:smallCaps w:val="false"/>
          <w:sz w:val="20"/>
        </w:rPr>
        <w:t>Householding” of Proxy Materials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banks, trustees and other nominees)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banks, brokers, trustees and other nominees with account holders who are our shareholders may be householding our proxy materials. A single notice of annual meeting, proxy statement and annual report may be delivered to multiple shareholders sharing an address unless contrary instructions have been received from one or more of the affected shareholders. Once you have received notice from your bank, broker, trust or other nominee that it will be householding communications to your address, householding will continue until you are notified otherwise or until you revoke your consent. If, at any time, you no longer wish to participate in householding and would prefer to receive a separate notice of annual meeting, proxy statement, and annual report, please notify your bank, broker, trust or other nominee and direct your request to c/o the Secretary of the Company at the Company’s principal executive office. Shareholders who currently receive multiple copies of this proxy statement at their address and would like to request householding of their communications should contact their bank, broker, trust or other nominee.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Annual Meeting. If any other matters are properly brought before the meeting, it is the intention of the persons named in the associated proxy to vote on such matters in accordance with their best judgment.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437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437197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olor w:val="FFFFFF"/>
          <w:sz w:val="2"/>
        </w:rPr>
      </w:pPr>
      <w:r>
        <w:rPr>
          <w:color w:val="FFFFFF"/>
          <w:sz w:val="2"/>
        </w:rPr>
        <w:t>Ƒ Ŷ CONSUMER PORTFOLIO SERVICES, INC. THI S PR OX Y IS S O LI CI TED O N BEHALF OF THE B O ARD OF D I RECTORS F O R THE ANNUAL MEETING OF SHAREHOLDER S T O BE HELD O N O C T O BER 27 , 2026 T he u n dersigned s h are h o l d er of CONSUM E R POR T F O LI O S E R V I C E S , INC , a Ca l i f orn i a c orpora ti o n , he r eby ac k now l edges rece i p t o f the N ot i ce of Annua l Meet i ng o f Share h olders and P r oxy Stateme n t wit h r espec t to the Annua l Meet i ng o f Shareho l ders o f Co n sume r P o rtf o l i o Serv i ces , I n c . t o b e he ld a t t he offices o f sa i d corporat i o n a t 3800 Howard Hu g hes Par k way , Las Ve g as, N V 89169 , on OC T OB E R 27 , 2026 , at 10 : 00 a . m . , a nd he r eby appoints Charles E . Bradley, J r . and C h r i s t opher T e r ry, a nd each o f t h em , pr oxies and attorneys - i n - f act, each wit h power o f substitution and re v ocat i o n , and each with all powers that the un d e r s i g ned wou l d p ossess i f pe r so n ally prese n t , t o vote t he Consumer Portfol i o Services, Inc . Common Stock of the undersigned a t such meet i ng and any postpo n ements or adjournmen t s o f such meet i ng , as set fort h be l ow . Th is proxy , when properly executed , wi ll be voted i n the manner di r ected herein . I f no such d i rect i on i s made , this proxy w i ll be voted in accordance w i th the B oard of D i rectors ' recommendat i ons . (Co ntin ued a nd to be s ign e d o n t he r everse si d e) ■ 1 - 1 1447 5 Ŷ</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6667500" cy="822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0" cy="8229600"/>
                    </a:xfrm>
                    <a:prstGeom prst="rect">
                      <a:avLst/>
                    </a:prstGeom>
                  </pic:spPr>
                </pic:pic>
              </a:graphicData>
            </a:graphic>
          </wp:inline>
        </w:drawing>
      </w:r>
    </w:p>
    <w:p>
      <w:pPr>
        <w:pStyle w:val="TextBody"/>
        <w:bidi w:val="0"/>
        <w:jc w:val="center"/>
        <w:rPr/>
      </w:pPr>
      <w:r>
        <w:rPr/>
        <w:t> </w:t>
      </w:r>
    </w:p>
    <w:p>
      <w:pPr>
        <w:pStyle w:val="TextBody"/>
        <w:bidi w:val="0"/>
        <w:jc w:val="left"/>
        <w:rPr>
          <w:color w:val="FFFFFF"/>
          <w:sz w:val="2"/>
        </w:rPr>
      </w:pPr>
      <w:r>
        <w:rPr>
          <w:color w:val="FFFFFF"/>
          <w:sz w:val="2"/>
        </w:rPr>
        <w:t>ANNUAL MEETING OF SHAREHOLDERS OF Consumer Portfolio Services , Inc. October 27 , 2026 NOTICE OF INTERNET AVA I LAB I LI TY OF PROXY MATER I AL : T h e N o ti ce of Mee ti n g , p r oxy s t a t eme nt , proxy ca r d , a n d a n y add i t i o n a l p r o xy ma t e ri a l s a re ava i l ab l e at www . co n s u merportfo l i o . com / A n n ua 1 Mee ti n g2 026 . h tm l P l ease sign , date and mail you r proxy card in t he enve l ope provided as soon as possib l e . f P l ease detleh a l ong perfof'a:ed l in e and mai1 i n th e enve l ope provided . l ■ 20'l30300000000000000 7 10272b T HE BOARDOF DIRECTORS R . E COM.M . E NDS A VO T E " FOR A L L NOMIN . E ES " IN lliE E LECTION OF DIRECTORS , AND " ' FOR " PROPOSA L S 2 AND S . PLEASE StGN . DAT E AND RETURN PROMPTLY I N THEENC L OSED E NVELOP E . PLEASE MARK YO U R VOTE I N B L U E OR BLACK I NK AS SHOWN H E RE @ Ƒ AU . w O • o � 1 . E l eccion of Directors : NOM I NEES: wrnlHOlONJnlOIIJTY F O R AU. N0Jal!E$ 0 Cha rl es E . B r adley . J r . O Scott W . Ca m ahan 0 0 O 0 0 O O S tephen H. Deckoff Lou i s M . Grasso Wi Ui am W . Grounds B ri a n J . Ra yh iD James E . Wa l k e r Ill Gregory S . Washer Da n i el S . Wood fOR J&amp;.HSlM!StA.N 2 . T o r atify th e appo i n tm e n t of Crowe L LP as th e C.c11T1p .m y' s O O O i ndepe n dent aud it ors for the fisca.l y ea r e nd i "9 Decembe r 3 1 . 2026 . 3 . T o approve . a n a d \ li sory r es oluti on on n ame d e x ecuti v e offic e r O O O compe n sa tion . 4 . T o tr an . sact s u ch other b u s i ness as may properly come before th e meeting o r any ad j oum m e n t( s ) o r pos t ponemen t{ s ) t hereo f T H I S PROXY, WHEN PROPERLY E XECUT E D , WILL BE VOTED AS SP EC I F I ED tli!I B I PGD98't TO � Cl �� IO YO! e r,r ¥rJ 1nt1MC1 u,1 r..o,o,,: nee(s ). � "FOR AL L OR . I F NO CHO I CE I S SP EC I F I ED , I T W I LL B E VO TED " FOR A LL NOM I NEES " I N ucur :,nci a 1t wi lhe c uc;e nex t ,ioNC nnoml'l « )'Ol.rW1$1'1 to• ':tl'l"CI CI , � PROPOSAL 1 AND .. FOR "' PROPOSALS 2 A ND 3 - . THE P RO X I ES ARE AUT HO R - ----- - � n - o - - n � - : . - --------------- &lt; I ZED TO VOT E I N THE I R D I SCRET I ON UPON ANY OT HE R MATTERS THAT MAY PROPERLY COME BEFORE T HE MEET I NG ANO A LL ADJOURNM ENT S OR POSTPONEMENTS T HE REOF. P L EASE VOTE, S IG N , DATE AND PROMPTLY RE T URN TH IS CARD . To crunge me aa a re" o n y o ur account. pi:e ase cn eCk me 00:r a ; ris,it ana 1 n lle3 te rou r new a a cwess I n th e aa a re" space a l&gt;O't'e . Pfease n o te th at O cn ange,ro me reg � tere a na m e ( s ) onth e accou ntm ay not b e su tMM: eo v,a thlS m e - :noa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r>
        <w:rPr/>
        <w:drawing>
          <wp:inline distT="0" distB="0" distL="0" distR="0">
            <wp:extent cx="6667500" cy="437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4371975"/>
                    </a:xfrm>
                    <a:prstGeom prst="rect">
                      <a:avLst/>
                    </a:prstGeom>
                  </pic:spPr>
                </pic:pic>
              </a:graphicData>
            </a:graphic>
          </wp:inline>
        </w:drawing>
      </w:r>
    </w:p>
    <w:p>
      <w:pPr>
        <w:pStyle w:val="TextBody"/>
        <w:bidi w:val="0"/>
        <w:jc w:val="center"/>
        <w:rPr/>
      </w:pPr>
      <w:r>
        <w:rPr/>
        <w:t> </w:t>
      </w:r>
    </w:p>
    <w:p>
      <w:pPr>
        <w:pStyle w:val="TextBody"/>
        <w:bidi w:val="0"/>
        <w:jc w:val="left"/>
        <w:rPr>
          <w:color w:val="FFFFFF"/>
          <w:sz w:val="2"/>
        </w:rPr>
      </w:pPr>
      <w:r>
        <w:rPr>
          <w:color w:val="FFFFFF"/>
          <w:sz w:val="2"/>
        </w:rPr>
        <w:t>Ƒ Ŷ CONSUMER PORTFOLIO SERVICES, INC. THI S PR OX Y IS S O LI CI TED O N BEHALF OF THE B O ARD OF D I RECTORS F O R THE ANNUAL MEETING OF SHAREHOLDER S T O BE HELD O N O C T O BER 27 , 2026 T he u n dersigned s h are h o l d er of CONSUM E R POR T F O LI O S E R V I C E S , INC , a Ca l i f orn i a c orpora ti o n , he r eby ac k now l edges rece i p t o f the N ot i ce of Annua l Meet i ng o f Share h olders and P r oxy Stateme n t wit h r espec t to the Annua l Meet i ng o f Shareho l ders o f Co n sume r P o rtf o l i o Serv i ces , I n c . t o b e he ld a t t he offices o f sa i d corporat i o n a t 3800 Howard Hu g hes Par k way , Las Ve g as, N V 89169 , on OC T OB E R 27 , 2026 , at 10 : 00 a . m . , a nd he r eby appoints Charles E . Bradley, J r . and C h r i s t opher T e r ry, a nd each o f t h em , pr oxies and attorneys - i n - f act, each wit h power o f substitution and re v ocat i o n , and each with all powers that the un d e r s i g ned wou l d p ossess i f pe r so n ally prese n t , t o vote t he Consumer Portfol i o Services, Inc . Common Stock of the undersigned a t such meet i ng and any postpo n ements or adjournmen t s o f such meet i ng , as set fort h be l ow . Th is proxy , when properly executed , wi ll be voted i n the manner di r ected herein . I f no such d i rect i on i s made , this proxy w i ll be voted in accordance w i th the B oard of D i rectors ' recommendat i ons . (Co ntin ued a nd to be s ign e d o n t he r everse si d e) ■ 1 - 1 1447 5 Ŷ</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6667500" cy="8620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0" cy="8620125"/>
                    </a:xfrm>
                    <a:prstGeom prst="rect">
                      <a:avLst/>
                    </a:prstGeom>
                  </pic:spPr>
                </pic:pic>
              </a:graphicData>
            </a:graphic>
          </wp:inline>
        </w:drawing>
      </w:r>
    </w:p>
    <w:p>
      <w:pPr>
        <w:pStyle w:val="TextBody"/>
        <w:bidi w:val="0"/>
        <w:jc w:val="center"/>
        <w:rPr/>
      </w:pPr>
      <w:r>
        <w:rPr/>
        <w:t> </w:t>
      </w:r>
    </w:p>
    <w:p>
      <w:pPr>
        <w:pStyle w:val="TextBody"/>
        <w:bidi w:val="0"/>
        <w:jc w:val="left"/>
        <w:rPr>
          <w:color w:val="FFFFFF"/>
          <w:sz w:val="2"/>
        </w:rPr>
      </w:pPr>
      <w:r>
        <w:rPr>
          <w:color w:val="FFFFFF"/>
          <w:sz w:val="2"/>
        </w:rPr>
        <w:t>ANNUAL MEETING OF SHARE H OLDERS OF Consumer Portfolio Services , Inc. October 27 , 2026 PROXY VO T IN G IN STR U CT I ONS INTER NET • Access www . v oteproxy . com and k&gt; H ow the i nstructions or sca n the QR Code with you r srnartpllone . Hav e your pr oxy ca r d a va i l a b l e when you access th e web page . TELEPHONE • ca ll tol l - free 1 - 800 - PROXI ES (UOO - TTS - 9437 I i n th e U nited S t a t es and Ganada o r + 1 - 2 0 1 - 299 - 4446 worktwide and fo l low tile i nstructions . \ ibte on l i ne or by phone un ti l 1 1 : 59 p . m . Eastern Ti me tile da y before tile meeting . MAIL - S i gn , da t e andma i l your p roxy ca r d i n the en velope provided as soon as poss i b l e . I N PERSON • You may vo t e your s h ares i n p erso n b y a tte - nd i ng the Annua l Meeti n g . GO GREEN - e - C onsen t makes i t easy t o go p ape r 1 ess . Wrth e - Consen t , you can q u i c kty access you r pr oxy materia l , statements and otne r e l ig i b l e docl . l'llents on l i ne , wh i le reducing costs , c l utte r and pape r waste . E n r ol l today a t eq u i n it i . comtus/as t - ac ce ss . CO M PANY N UMBER ACCOUNT NUMBER CON TR OL NUMBER NOT I CE OF I NTERNET AVAILABILITY OF PROXY MATERIAL : T h e No ti ce o f Mee t i n g , p r oxy stateme nt , proxy ca rd , a n d a ny add iti o n a l p ro xy mate ri a l s a re a va il ab l e a t www . consumerportfo l i o.com/Ann u a 1 Mee ti n g202 6.htm l. P l ease detach a l ong perfof'a:ed l in e and mail i n the enve l ope provided !E you are nol voting on li ne or by phone . ■ 20'l30300000000000000 7 102726 T HE BOARD OF DIRECTORS R . EC OM.M . E NDS A VO TE "FO R A L L NOM I N . E ES " I N lliE E LECTION OF DIRECTORS , AND " FOR ,. PROPOSA L S 2 AND S . P LEAS E StGN . DA T E AND RETURN PROMPTL Y I N THEENC L OSED E NVELOP E . P LEAS E MARK YOUR VOTE I N B L U E OR BLACK I NK AS SHOWN H E RE @ 1 . e I ecoon of Oi:rectors : Ƒ W AU . N O � Ƒ WITMHOU ) NJnlOAJTY F O RAU.N O � NOM I NE ES: 0 Chartes E . B rad ley . J r . O Scott W . Ca m .lhan 0 S t ephe n H . Deckoff 0 Lou i s M . Grasso O Wi Ui am W . Grounds 0 B ri a n J . Rlyh iD 0 J a me s E . Wa l k e r Ill O Gregory S . Wa sher O Da n i el S . Wood tli!IB!!GDPNt : TO � a fOR J&amp;.HS1 J.SStA.N 2. T o r atify the ap poi n tm en t of Crowe LLP as the C,Ompany's O O O i nd epe n dent aud it ors for the fiscal y ea r e nd i "9 Decem be r 3 1 . 2026 . 3. T o approve . a n ad \ lisory r e solution on n ame d e xecu ti v e offic e r O O O com pe n sation . 4 . T o tra n . sact suc h other b u s i ness as may property come before the meeting o r any ad j oumme n t(s ) o r pos t ponement(s ) thereo f :, uc,,ony IO YO t e 1t1t ¥'IJ lnCIMClu.31 l"JOl'.!i'. n e c&lt;, ). � "F OR AL L T H I S PROXY , WHEN PROPERLY E X E C U T E D , WILL BE VO T ED AS SPEC I F I ED OR . I F NO CHO I CE I S SPEC I F I ED , I T W I LL BE VOTED " FOR A LL NOM I NEES " I N excur , ni:1 , 1t wi lh e c w;e n exi,ioe.x hnomll ee )'OV � 10 • � 1'de1 , xa PROPOSAL 1 AND .. FOR "' PROPOSALS 2 A ND 3 - . THE PROX I ES AR E AUT HOR - � l'lelllln � : e ----- - ---------------- l l ZE D TO VOT E I N T HE I R D I SCRETION UP ON A NY OT HER MATTERS T HAT M AY PROPERLY COME BEFORE T HE MEE T I NG A N D A LL AD JOURNMENTS OR POS T PONEMENTS T HEREOF . PLEASE VO T E , S IG N , DATE A ND PROMPTLY RETURN T HIS CARD . Tocrunge ene aaaress o n yoi.accou nt. pleasecn eCk tne ooxa 1 f9lt ana I nlle3t e rou r new aaaress In th e aaaress space a D O \ - e . Pfea se n o te that O cnang es1o me reg � area name ( s ) onth e accountmaynot ti e su0m1te&lt;1 vu th lS m e - :noa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20208</Words>
  <Characters>100225</Characters>
  <CharactersWithSpaces>121381</CharactersWithSpaces>
  <Paragraphs>2711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