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ind w:left="4020" w:right="1500" w:hanging="4012"/>
        <w:spacing w:after="0" w:line="500" w:lineRule="auto"/>
        <w:tabs>
          <w:tab w:leader="none" w:pos="5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_____to_____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001-11416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2025, the registrant had 22,224,186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818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2025, and December 31, 2024</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three-month and six-month periods ended June 30, 2025, 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 month and six-month periods ended June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30, 2025, and 2024</w:t>
            </w:r>
          </w:p>
        </w:tc>
        <w:tc>
          <w:tcPr>
            <w:tcW w:w="7980" w:type="dxa"/>
            <w:vAlign w:val="bottom"/>
            <w:tcBorders>
              <w:top w:val="single" w:sz="8" w:color="0000EE"/>
            </w:tcBorders>
            <w:gridSpan w:val="13"/>
          </w:tcPr>
          <w:p>
            <w:pPr>
              <w:spacing w:after="0"/>
              <w:rPr>
                <w:sz w:val="17"/>
                <w:szCs w:val="17"/>
                <w:color w:val="auto"/>
              </w:rPr>
            </w:pPr>
          </w:p>
        </w:tc>
        <w:tc>
          <w:tcPr>
            <w:tcW w:w="32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six-month periods ended June 30, 2025, and 2024</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 and six-month periods ended June 30, 2025,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2024</w:t>
            </w:r>
          </w:p>
        </w:tc>
        <w:tc>
          <w:tcPr>
            <w:tcW w:w="8660" w:type="dxa"/>
            <w:vAlign w:val="bottom"/>
            <w:tcBorders>
              <w:top w:val="single" w:sz="8" w:color="0000EE"/>
            </w:tcBorders>
            <w:gridSpan w:val="17"/>
          </w:tcPr>
          <w:p>
            <w:pPr>
              <w:spacing w:after="0"/>
              <w:rPr>
                <w:sz w:val="17"/>
                <w:szCs w:val="17"/>
                <w:color w:val="auto"/>
              </w:rPr>
            </w:pPr>
          </w:p>
        </w:tc>
        <w:tc>
          <w:tcPr>
            <w:tcW w:w="36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90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24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3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8360" w:type="dxa"/>
            <w:vAlign w:val="bottom"/>
            <w:gridSpan w:val="1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34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17"/>
                <w:szCs w:val="17"/>
                <w:color w:val="auto"/>
              </w:rPr>
            </w:pPr>
          </w:p>
        </w:tc>
        <w:tc>
          <w:tcPr>
            <w:tcW w:w="8380" w:type="dxa"/>
            <w:vAlign w:val="bottom"/>
            <w:gridSpan w:val="1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8920" w:type="dxa"/>
            <w:vAlign w:val="bottom"/>
            <w:gridSpan w:val="1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20"/>
                <w:szCs w:val="20"/>
                <w:color w:val="auto"/>
              </w:rPr>
            </w:pPr>
          </w:p>
        </w:tc>
      </w:tr>
      <w:tr>
        <w:trPr>
          <w:trHeight w:val="20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144,396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3,559,029</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4,987</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41,882</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36,774</w:t>
            </w:r>
          </w:p>
        </w:tc>
      </w:tr>
      <w:tr>
        <w:trPr>
          <w:trHeight w:val="263"/>
        </w:trPr>
        <w:tc>
          <w:tcPr>
            <w:tcW w:w="75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3,763,790</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3,493,868</w:t>
            </w:r>
          </w:p>
        </w:tc>
        <w:tc>
          <w:tcPr>
            <w:tcW w:w="100" w:type="dxa"/>
            <w:vAlign w:val="bottom"/>
            <w:tcBorders>
              <w:bottom w:val="single" w:sz="8" w:color="EEEEEE"/>
            </w:tcBorders>
          </w:tcPr>
          <w:p>
            <w:pPr>
              <w:spacing w:after="0"/>
              <w:rPr>
                <w:sz w:val="22"/>
                <w:szCs w:val="22"/>
                <w:color w:val="auto"/>
              </w:rPr>
            </w:pPr>
          </w:p>
        </w:tc>
      </w:tr>
      <w:tr>
        <w:trPr>
          <w:trHeight w:val="197"/>
        </w:trPr>
        <w:tc>
          <w:tcPr>
            <w:tcW w:w="75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67,928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70,151</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395,596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155,103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99,176</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2,813,234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2,594,384</w:t>
            </w: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28,828</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r>
      <w:tr>
        <w:trPr>
          <w:trHeight w:val="223"/>
        </w:trPr>
        <w:tc>
          <w:tcPr>
            <w:tcW w:w="7500" w:type="dxa"/>
            <w:vAlign w:val="bottom"/>
            <w:tcBorders>
              <w:top w:val="single" w:sz="8" w:color="EEEEEE"/>
            </w:tcBorders>
            <w:shd w:val="clear" w:color="auto" w:fill="EEEEEE"/>
          </w:tcPr>
          <w:p>
            <w:pPr>
              <w:spacing w:after="0"/>
              <w:rPr>
                <w:sz w:val="19"/>
                <w:szCs w:val="19"/>
                <w:color w:val="auto"/>
              </w:rPr>
            </w:pPr>
          </w:p>
        </w:tc>
        <w:tc>
          <w:tcPr>
            <w:tcW w:w="160" w:type="dxa"/>
            <w:vAlign w:val="bottom"/>
            <w:tcBorders>
              <w:top w:val="single" w:sz="8" w:color="EEEEEE"/>
            </w:tcBorders>
            <w:shd w:val="clear" w:color="auto" w:fill="EEEEEE"/>
          </w:tcPr>
          <w:p>
            <w:pPr>
              <w:spacing w:after="0"/>
              <w:rPr>
                <w:sz w:val="19"/>
                <w:szCs w:val="19"/>
                <w:color w:val="auto"/>
              </w:rPr>
            </w:pPr>
          </w:p>
        </w:tc>
        <w:tc>
          <w:tcPr>
            <w:tcW w:w="280" w:type="dxa"/>
            <w:vAlign w:val="bottom"/>
            <w:tcBorders>
              <w:top w:val="single" w:sz="8" w:color="auto"/>
            </w:tcBorders>
            <w:shd w:val="clear" w:color="auto" w:fill="EEEEEE"/>
          </w:tcPr>
          <w:p>
            <w:pPr>
              <w:spacing w:after="0"/>
              <w:rPr>
                <w:sz w:val="19"/>
                <w:szCs w:val="19"/>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3,460,689</w:t>
            </w:r>
          </w:p>
        </w:tc>
        <w:tc>
          <w:tcPr>
            <w:tcW w:w="32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auto"/>
            </w:tcBorders>
            <w:shd w:val="clear" w:color="auto" w:fill="EEEEEE"/>
          </w:tcPr>
          <w:p>
            <w:pPr>
              <w:spacing w:after="0"/>
              <w:rPr>
                <w:sz w:val="19"/>
                <w:szCs w:val="19"/>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3,201,098</w:t>
            </w:r>
          </w:p>
        </w:tc>
        <w:tc>
          <w:tcPr>
            <w:tcW w:w="100" w:type="dxa"/>
            <w:vAlign w:val="bottom"/>
            <w:tcBorders>
              <w:top w:val="single" w:sz="8" w:color="EEEEEE"/>
            </w:tcBorders>
            <w:shd w:val="clear" w:color="auto" w:fill="EEEEEE"/>
          </w:tcPr>
          <w:p>
            <w:pPr>
              <w:spacing w:after="0"/>
              <w:rPr>
                <w:sz w:val="19"/>
                <w:szCs w:val="19"/>
                <w:color w:val="auto"/>
              </w:rPr>
            </w:pP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22,224,186 and 21,432,698 shares issued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June 30, 2025 and December 31, 2024, respectively</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26,560</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25,720</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276,551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267,060</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303,101</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00" w:type="dxa"/>
            <w:vAlign w:val="bottom"/>
            <w:shd w:val="clear" w:color="auto" w:fill="EEEEEE"/>
          </w:tcPr>
          <w:p>
            <w:pPr>
              <w:spacing w:after="0"/>
              <w:rPr>
                <w:sz w:val="21"/>
                <w:szCs w:val="21"/>
                <w:color w:val="auto"/>
              </w:rPr>
            </w:pPr>
          </w:p>
        </w:tc>
        <w:tc>
          <w:tcPr>
            <w:tcW w:w="4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3,763,790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3,493,868</w:t>
            </w:r>
          </w:p>
        </w:tc>
      </w:tr>
      <w:tr>
        <w:trPr>
          <w:trHeight w:val="20"/>
        </w:trPr>
        <w:tc>
          <w:tcPr>
            <w:tcW w:w="75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19"/>
                <w:szCs w:val="19"/>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105,362</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88,367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207,295</w:t>
            </w:r>
          </w:p>
        </w:tc>
        <w:tc>
          <w:tcPr>
            <w:tcW w:w="4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172,655</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r>
      <w:tr>
        <w:trPr>
          <w:trHeight w:val="209"/>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109,764</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95,880</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216,638</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187,624</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23,725</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48,141</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13,260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26,726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27,013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46,710</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113,622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88,678</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(1,950)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(3,585)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5,883</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10,753</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2,959</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09"/>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102,812</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89,208</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202,884</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174,395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Pr>
          <w:p>
            <w:pPr>
              <w:spacing w:after="0"/>
              <w:rPr>
                <w:sz w:val="18"/>
                <w:szCs w:val="18"/>
                <w:color w:val="auto"/>
              </w:rPr>
            </w:pP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r>
      <w:tr>
        <w:trPr>
          <w:trHeight w:val="263"/>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tcBorders>
              <w:bottom w:val="single" w:sz="8" w:color="EEEEEE"/>
            </w:tcBorders>
          </w:tcPr>
          <w:p>
            <w:pPr>
              <w:spacing w:after="0"/>
              <w:rPr>
                <w:sz w:val="22"/>
                <w:szCs w:val="22"/>
                <w:color w:val="auto"/>
              </w:rPr>
            </w:pPr>
          </w:p>
        </w:tc>
      </w:tr>
      <w:tr>
        <w:trPr>
          <w:trHeight w:val="196"/>
        </w:trPr>
        <w:tc>
          <w:tcPr>
            <w:tcW w:w="5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420" w:type="dxa"/>
            <w:vAlign w:val="bottom"/>
            <w:gridSpan w:val="2"/>
            <w:shd w:val="clear" w:color="auto" w:fill="EEEEEE"/>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42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21,893</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21,263</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21,670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21,203</w:t>
            </w: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24,263</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24,433</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500" w:type="dxa"/>
            <w:vAlign w:val="bottom"/>
            <w:gridSpan w:val="5"/>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4,797</w:t>
            </w:r>
          </w:p>
        </w:tc>
        <w:tc>
          <w:tcPr>
            <w:tcW w:w="102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4,672</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9,491</w:t>
            </w:r>
          </w:p>
        </w:tc>
        <w:tc>
          <w:tcPr>
            <w:tcW w:w="340" w:type="dxa"/>
            <w:vAlign w:val="bottom"/>
            <w:gridSpan w:val="2"/>
            <w:shd w:val="clear" w:color="auto" w:fill="EEEEEE"/>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9,262</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0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change in funded status of</w:t>
            </w:r>
          </w:p>
        </w:tc>
        <w:tc>
          <w:tcPr>
            <w:tcW w:w="9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pension plan</w:t>
            </w:r>
          </w:p>
        </w:tc>
        <w:tc>
          <w:tcPr>
            <w:tcW w:w="920" w:type="dxa"/>
            <w:vAlign w:val="bottom"/>
            <w:shd w:val="clear" w:color="auto" w:fill="EEEEEE"/>
          </w:tcPr>
          <w:p>
            <w:pPr>
              <w:spacing w:after="0"/>
              <w:rPr>
                <w:sz w:val="21"/>
                <w:szCs w:val="21"/>
                <w:color w:val="auto"/>
              </w:rPr>
            </w:pPr>
          </w:p>
        </w:tc>
        <w:tc>
          <w:tcPr>
            <w:tcW w:w="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EEEEEE"/>
            </w:tcBorders>
          </w:tcPr>
          <w:p>
            <w:pPr>
              <w:spacing w:after="0"/>
              <w:rPr>
                <w:sz w:val="19"/>
                <w:szCs w:val="19"/>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9,491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9,262</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126,548</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106,648</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498</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6,021</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(6,500)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(1,760)</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1,361</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1,010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1,318</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(6,118)</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(18,116)</w:t>
            </w:r>
          </w:p>
        </w:tc>
      </w:tr>
      <w:tr>
        <w:trPr>
          <w:trHeight w:val="229"/>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(2,223)</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3,849</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128,328</w:t>
            </w:r>
          </w:p>
        </w:tc>
        <w:tc>
          <w:tcPr>
            <w:tcW w:w="32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95,996</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5,076</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16,239</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(882,879)</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(753,760)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517,569</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419,899</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(595)</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(360,829</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862,370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1,037,105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3,212</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5,489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(873)</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(16,564)</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(150,659)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56,795</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(642,697)</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(563,679)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(6,450)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(9,677)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(5,138)</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(11,172)</w:t>
            </w:r>
          </w:p>
        </w:tc>
      </w:tr>
      <w:tr>
        <w:trPr>
          <w:trHeight w:val="229"/>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4,617</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5,915</w:t>
            </w:r>
          </w:p>
        </w:tc>
      </w:tr>
      <w:tr>
        <w:trPr>
          <w:trHeight w:val="210"/>
        </w:trPr>
        <w:tc>
          <w:tcPr>
            <w:tcW w:w="68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255,272</w:t>
            </w:r>
          </w:p>
        </w:tc>
        <w:tc>
          <w:tcPr>
            <w:tcW w:w="32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363,001</w:t>
            </w:r>
          </w:p>
        </w:tc>
        <w:tc>
          <w:tcPr>
            <w:tcW w:w="100" w:type="dxa"/>
            <w:vAlign w:val="bottom"/>
            <w:tcBorders>
              <w:bottom w:val="single" w:sz="8" w:color="EEEEEE"/>
            </w:tcBorders>
          </w:tcPr>
          <w:p>
            <w:pPr>
              <w:spacing w:after="0"/>
              <w:rPr>
                <w:sz w:val="18"/>
                <w:szCs w:val="18"/>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141,180</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137,397</w:t>
            </w:r>
          </w:p>
        </w:tc>
        <w:tc>
          <w:tcPr>
            <w:tcW w:w="5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125,431</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160,168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266,611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106,773</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83,091</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5,306</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9,245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21,148</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21,433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21,175</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1,248</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(1,091)</w:t>
            </w:r>
          </w:p>
        </w:tc>
        <w:tc>
          <w:tcPr>
            <w:tcW w:w="3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26,683</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28,518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25,720</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5,210</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4,617</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(9,475)</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(11,172)</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809</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EEEEEE"/>
          </w:tcPr>
          <w:p>
            <w:pPr>
              <w:spacing w:after="0"/>
              <w:rPr>
                <w:sz w:val="19"/>
                <w:szCs w:val="19"/>
                <w:color w:val="auto"/>
              </w:rPr>
            </w:pPr>
          </w:p>
        </w:tc>
      </w:tr>
      <w:tr>
        <w:trPr>
          <w:trHeight w:val="209"/>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2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271,754</w:t>
            </w:r>
          </w:p>
        </w:tc>
        <w:tc>
          <w:tcPr>
            <w:tcW w:w="420" w:type="dxa"/>
            <w:vAlign w:val="bottom"/>
            <w:gridSpan w:val="2"/>
            <w:shd w:val="clear" w:color="auto" w:fill="EEEEEE"/>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252,447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267,060</w:t>
            </w:r>
          </w:p>
        </w:tc>
        <w:tc>
          <w:tcPr>
            <w:tcW w:w="340" w:type="dxa"/>
            <w:vAlign w:val="bottom"/>
            <w:gridSpan w:val="2"/>
            <w:shd w:val="clear" w:color="auto" w:fill="EEEEEE"/>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247,857</w:t>
            </w:r>
          </w:p>
        </w:tc>
        <w:tc>
          <w:tcPr>
            <w:tcW w:w="80" w:type="dxa"/>
            <w:vAlign w:val="bottom"/>
            <w:shd w:val="clear" w:color="auto" w:fill="EEEEEE"/>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4,672</w:t>
            </w:r>
          </w:p>
        </w:tc>
        <w:tc>
          <w:tcPr>
            <w:tcW w:w="3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80" w:type="dxa"/>
            <w:vAlign w:val="bottom"/>
          </w:tcPr>
          <w:p>
            <w:pPr>
              <w:spacing w:after="0"/>
              <w:rPr>
                <w:sz w:val="19"/>
                <w:szCs w:val="19"/>
                <w:color w:val="auto"/>
              </w:rPr>
            </w:pP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276,551</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257,119</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276,551</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257,119</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(1,867)</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EEEEEE"/>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303,101</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280,314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303,101</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280,314</w:t>
            </w:r>
          </w:p>
        </w:tc>
        <w:tc>
          <w:tcPr>
            <w:tcW w:w="8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2025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six-month periods ending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1,384</w:t>
            </w:r>
          </w:p>
        </w:tc>
        <w:tc>
          <w:tcPr>
            <w:tcW w:w="102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2,815</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EEEEEE"/>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c>
          <w:tcPr>
            <w:tcW w:w="0" w:type="dxa"/>
            <w:vAlign w:val="bottom"/>
          </w:tcPr>
          <w:p>
            <w:pPr>
              <w:spacing w:after="0"/>
              <w:rPr>
                <w:sz w:val="1"/>
                <w:szCs w:val="1"/>
                <w:color w:val="auto"/>
              </w:rPr>
            </w:pPr>
          </w:p>
        </w:tc>
      </w:tr>
      <w:tr>
        <w:trPr>
          <w:trHeight w:val="229"/>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(34,017)</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(31,644)</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(21,471)</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4,039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(3,586)</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98"/>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Maturities of lease liabilities were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0"/>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5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5,242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3,761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708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0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1,310</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1,311</w:t>
            </w:r>
          </w:p>
        </w:tc>
        <w:tc>
          <w:tcPr>
            <w:tcW w:w="980" w:type="dxa"/>
            <w:vAlign w:val="bottom"/>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2,621</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30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gridSpan w:val="2"/>
          </w:tcPr>
          <w:p>
            <w:pPr>
              <w:jc w:val="center"/>
              <w:ind w:right="490"/>
              <w:spacing w:after="0" w:line="17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jc w:val="center"/>
              <w:ind w:left="550"/>
              <w:spacing w:after="0" w:line="17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measurement of lease liabilities: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1,310</w:t>
            </w:r>
          </w:p>
        </w:tc>
        <w:tc>
          <w:tcPr>
            <w:tcW w:w="124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1,311</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2,621</w:t>
            </w:r>
          </w:p>
        </w:tc>
        <w:tc>
          <w:tcPr>
            <w:tcW w:w="74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2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7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we recorded stock-based compensation costs in the amount of $645,000 and $1.4 million, respectively. These stock-based compensation costs were $809,000 and $1.6 million for the three and six months ended June 30, 2024. As of June 30, 2025, unrecognized stock-based compensation costs to be recognized over future periods equaled $1.6 million. This amount will be recognized as expense over a weighted-average period of 0.5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six months ended June 30, 2025:</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6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64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29"/>
        </w:trPr>
        <w:tc>
          <w:tcPr>
            <w:tcW w:w="664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664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4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66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(1,318)</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3"/>
        </w:trPr>
        <w:tc>
          <w:tcPr>
            <w:tcW w:w="6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4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EEEEEE"/>
            </w:tcBorders>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1460" w:type="dxa"/>
            <w:vAlign w:val="bottom"/>
            <w:tcBorders>
              <w:top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2.68 years</w:t>
            </w:r>
          </w:p>
        </w:tc>
      </w:tr>
      <w:tr>
        <w:trPr>
          <w:trHeight w:val="20"/>
        </w:trPr>
        <w:tc>
          <w:tcPr>
            <w:tcW w:w="66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3"/>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5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4,189</w:t>
            </w:r>
          </w:p>
        </w:tc>
        <w:tc>
          <w:tcPr>
            <w:tcW w:w="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2.56 years</w:t>
            </w:r>
          </w:p>
        </w:tc>
      </w:tr>
      <w:tr>
        <w:trPr>
          <w:trHeight w:val="20"/>
        </w:trPr>
        <w:tc>
          <w:tcPr>
            <w:tcW w:w="66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1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3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31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20" w:type="dxa"/>
            <w:vAlign w:val="bottom"/>
            <w:tcBorders>
              <w:top w:val="single" w:sz="8" w:color="auto"/>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1,128</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1,197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1,190</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1,612</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the aggregate intrinsic value of options outstanding and exercisable was $19.8 million and $18.4 million, respectively. There were $1.3 million options exercised for the six months ended June 30, 2025, compared to $1.4 million for the comparable period in 2024. The total intrinsic value of options exercised was $8.2 million and $6.2 million for the six-month periods ended June 30, 2025, and 2024. There were 2,931,000 shares available for future stock option grants under existing plans as of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31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508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100" w:type="dxa"/>
            <w:vAlign w:val="bottom"/>
          </w:tcPr>
          <w:p>
            <w:pPr>
              <w:spacing w:after="0"/>
              <w:rPr>
                <w:sz w:val="19"/>
                <w:szCs w:val="19"/>
                <w:color w:val="auto"/>
              </w:rPr>
            </w:pP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76,880</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9.72</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473,202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Shares redeemed upon net exercise of stock options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449,772</w:t>
            </w:r>
          </w:p>
        </w:tc>
        <w:tc>
          <w:tcPr>
            <w:tcW w:w="180" w:type="dxa"/>
            <w:vAlign w:val="bottom"/>
          </w:tcPr>
          <w:p>
            <w:pPr>
              <w:spacing w:after="0"/>
              <w:rPr>
                <w:sz w:val="19"/>
                <w:szCs w:val="19"/>
                <w:color w:val="auto"/>
              </w:rPr>
            </w:pP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9.76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824,511</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526,652</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9.76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1,297,713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2025,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17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net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net acquired after 2017. Finance receivables, net measured at fair value are recorded separately on the Company’s Balance Sheet and are excluded from all tables in this footnote.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Finance Receivables, net of allowance for finance credit losses:</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2280" w:type="dxa"/>
            <w:vAlign w:val="bottom"/>
            <w:gridSpan w:val="2"/>
            <w:shd w:val="clear" w:color="auto" w:fill="EEEEEE"/>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20" w:type="dxa"/>
            <w:vAlign w:val="bottom"/>
          </w:tcPr>
          <w:p>
            <w:pPr>
              <w:spacing w:after="0"/>
              <w:rPr>
                <w:sz w:val="19"/>
                <w:szCs w:val="19"/>
                <w:color w:val="auto"/>
              </w:rPr>
            </w:pPr>
          </w:p>
        </w:tc>
        <w:tc>
          <w:tcPr>
            <w:tcW w:w="41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0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3060" w:type="dxa"/>
            <w:vAlign w:val="bottom"/>
            <w:gridSpan w:val="2"/>
            <w:shd w:val="clear" w:color="auto" w:fill="EEEEEE"/>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50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19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91 + days</w:t>
            </w:r>
          </w:p>
        </w:tc>
        <w:tc>
          <w:tcPr>
            <w:tcW w:w="1940" w:type="dxa"/>
            <w:vAlign w:val="bottom"/>
            <w:tcBorders>
              <w:bottom w:val="single" w:sz="8" w:color="EEEEEE"/>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shd w:val="clear" w:color="auto" w:fill="EEEEEE"/>
          </w:tcPr>
          <w:p>
            <w:pPr>
              <w:spacing w:after="0"/>
              <w:rPr>
                <w:sz w:val="19"/>
                <w:szCs w:val="19"/>
                <w:color w:val="auto"/>
              </w:rPr>
            </w:pPr>
          </w:p>
        </w:tc>
        <w:tc>
          <w:tcPr>
            <w:tcW w:w="194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receivables totaling $104,000 and $271,000 at June 30, 2025, and December 31, 2024, respectively,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June 30, 2025, and December 31, 2024.</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60" w:type="dxa"/>
            <w:vAlign w:val="bottom"/>
            <w:gridSpan w:val="3"/>
          </w:tcPr>
          <w:p>
            <w:pPr>
              <w:spacing w:after="0"/>
              <w:rPr>
                <w:sz w:val="20"/>
                <w:szCs w:val="20"/>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980" w:type="dxa"/>
            <w:vAlign w:val="bottom"/>
            <w:gridSpan w:val="4"/>
            <w:vMerge w:val="restart"/>
          </w:tcPr>
          <w:p>
            <w:pPr>
              <w:jc w:val="right"/>
              <w:ind w:right="3032"/>
              <w:spacing w:after="0"/>
              <w:rPr>
                <w:sz w:val="20"/>
                <w:szCs w:val="20"/>
                <w:color w:val="auto"/>
              </w:rPr>
            </w:pPr>
            <w:r>
              <w:rPr>
                <w:rFonts w:ascii="Times New Roman" w:cs="Times New Roman" w:eastAsia="Times New Roman" w:hAnsi="Times New Roman"/>
                <w:sz w:val="18"/>
                <w:szCs w:val="18"/>
                <w:color w:val="auto"/>
              </w:rPr>
              <w:t>Annual Vintage Pool</w:t>
            </w:r>
          </w:p>
        </w:tc>
        <w:tc>
          <w:tcPr>
            <w:tcW w:w="23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98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 and prior</w:t>
            </w:r>
          </w:p>
        </w:tc>
        <w:tc>
          <w:tcPr>
            <w:tcW w:w="4980" w:type="dxa"/>
            <w:vAlign w:val="bottom"/>
            <w:gridSpan w:val="4"/>
            <w:shd w:val="clear" w:color="auto" w:fill="EEEEEE"/>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shd w:val="clear" w:color="auto" w:fill="EEEEEE"/>
          </w:tcPr>
          <w:p>
            <w:pPr>
              <w:spacing w:after="0"/>
              <w:rPr>
                <w:sz w:val="18"/>
                <w:szCs w:val="18"/>
                <w:color w:val="auto"/>
              </w:rPr>
            </w:pPr>
          </w:p>
        </w:tc>
        <w:tc>
          <w:tcPr>
            <w:tcW w:w="180" w:type="dxa"/>
            <w:vAlign w:val="bottom"/>
            <w:gridSpan w:val="2"/>
            <w:shd w:val="clear" w:color="auto" w:fill="EEEEEE"/>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shd w:val="clear" w:color="auto" w:fill="EEEEEE"/>
          </w:tcPr>
          <w:p>
            <w:pPr>
              <w:spacing w:after="0"/>
              <w:rPr>
                <w:sz w:val="19"/>
                <w:szCs w:val="19"/>
                <w:color w:val="auto"/>
              </w:rPr>
            </w:pPr>
          </w:p>
        </w:tc>
        <w:tc>
          <w:tcPr>
            <w:tcW w:w="1500" w:type="dxa"/>
            <w:vAlign w:val="bottom"/>
            <w:shd w:val="clear" w:color="auto" w:fill="EEEEEE"/>
          </w:tcPr>
          <w:p>
            <w:pPr>
              <w:spacing w:after="0"/>
              <w:rPr>
                <w:sz w:val="19"/>
                <w:szCs w:val="19"/>
                <w:color w:val="auto"/>
              </w:rPr>
            </w:pPr>
          </w:p>
        </w:tc>
        <w:tc>
          <w:tcPr>
            <w:tcW w:w="2000" w:type="dxa"/>
            <w:vAlign w:val="bottom"/>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2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and six-month periods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48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960" w:type="dxa"/>
            <w:vAlign w:val="bottom"/>
            <w:gridSpan w:val="2"/>
            <w:shd w:val="clear" w:color="auto" w:fill="EEEEEE"/>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1,890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54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(1,950)</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(3,585)</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9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three-month and six-month periods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Annual Vintage Pool</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gridSpan w:val="3"/>
          </w:tcPr>
          <w:p>
            <w:pPr>
              <w:jc w:val="center"/>
              <w:ind w:right="550"/>
              <w:spacing w:after="0" w:line="14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shd w:val="clear" w:color="auto" w:fill="EEEEEE"/>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shd w:val="clear" w:color="auto" w:fill="EEEEEE"/>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209</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1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268</w:t>
            </w:r>
          </w:p>
        </w:tc>
        <w:tc>
          <w:tcPr>
            <w:tcW w:w="9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5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10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r>
      <w:tr>
        <w:trPr>
          <w:trHeight w:val="230"/>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2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2025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2020-C</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November 2027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252,200</w:t>
            </w:r>
          </w:p>
        </w:tc>
        <w:tc>
          <w:tcPr>
            <w:tcW w:w="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22,453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2021-A</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March 2028</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230,545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June 2028</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29,554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23,023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31,903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September 2028</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49,739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20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December</w:t>
            </w:r>
          </w:p>
        </w:tc>
        <w:tc>
          <w:tcPr>
            <w:tcW w:w="5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99"/>
              </w:rPr>
              <w:t>2028</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64,995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349,202</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54,571</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April 2029</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57,572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77,872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2022-B</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October 2029</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117,786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395,600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99,362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132,002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2022-C</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April 2030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391,600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105,164</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141,176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2022-D</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June 2030</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126,674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307,018</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108,996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135,857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2023-A</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August 2030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324,768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111,467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146,020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2023-B</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November 2030</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167,809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332,885</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133,225</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172,154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2023-C</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February 2031</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291,732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138,597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175,219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2023-D</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May 2031</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174,949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286,149</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152,693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191,621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2024-A</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August 2031</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280,924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164,296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206,348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2024-B</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November 2031</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236,246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319,871</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215,726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262,768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2024-C</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March 2032</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343,047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436,310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314,979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379,254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2024-D</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June 2032</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358,440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416,816</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329,292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390,983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2025-A</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August 2032</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415,167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442,420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385,944</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2025-B</w:t>
            </w:r>
          </w:p>
        </w:tc>
        <w:tc>
          <w:tcPr>
            <w:tcW w:w="170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March 2033</w:t>
            </w:r>
          </w:p>
        </w:tc>
        <w:tc>
          <w:tcPr>
            <w:tcW w:w="1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423,051</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419,950</w:t>
            </w:r>
          </w:p>
        </w:tc>
        <w:tc>
          <w:tcPr>
            <w:tcW w:w="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398,252</w:t>
            </w:r>
          </w:p>
        </w:tc>
        <w:tc>
          <w:tcPr>
            <w:tcW w:w="12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r>
      <w:tr>
        <w:trPr>
          <w:trHeight w:val="228"/>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3,222,563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6,325,790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2,829,527</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-2540</wp:posOffset>
            </wp:positionV>
            <wp:extent cx="3848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-151130</wp:posOffset>
            </wp:positionV>
            <wp:extent cx="38487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jc w:val="both"/>
        <w:ind w:left="340" w:hanging="332"/>
        <w:spacing w:after="0" w:line="249" w:lineRule="auto"/>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$550.8 million in 2025, $921.8 million in 2026, $638.9 million in 2027, $391.5 million in 2028, $208.8 million in 2029, $93.3 million in 2030, and $8.1 million in 2031.</w:t>
      </w:r>
    </w:p>
    <w:p>
      <w:pPr>
        <w:spacing w:after="0" w:line="3"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 of $16.3 million and $15.5 million as of June 30, 2025, and December 31, 2024, respectively, have been excluded from the table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debt issuance costs are presented as a direct deduction to the carrying amount of the Securitization trust debt on our Consolidated Balance Sheets.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securitization trust debt was sold in private placement transactions to qualified institutional buyers. The debt was issued through our wholly 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followed all such covenants as of June 30,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June 30, 2025, restricted cash under the various agreements totaled approximately $144.4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 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June 30, 2025, and December 31, 2024,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Subordinate Lender Interest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Description</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Interest Rate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Maturity</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38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2.85% over CP yield rate</w:t>
            </w:r>
          </w:p>
        </w:tc>
        <w:tc>
          <w:tcPr>
            <w:tcW w:w="2380" w:type="dxa"/>
            <w:vAlign w:val="bottom"/>
            <w:gridSpan w:val="2"/>
            <w:shd w:val="clear" w:color="auto" w:fill="EEEEEE"/>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6.40% over SOFR yield rate</w:t>
            </w:r>
          </w:p>
        </w:tc>
        <w:tc>
          <w:tcPr>
            <w:tcW w:w="1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(Minimum 3.75%) 7.28% and</w:t>
            </w: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(Minimum 7.15%) 10.97% and</w:t>
            </w: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Warehouse lines of credit</w:t>
            </w: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7.52% at June 30, 2025 and</w:t>
            </w:r>
          </w:p>
        </w:tc>
        <w:tc>
          <w:tcPr>
            <w:tcW w:w="238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11.09% at June 30, 2025 and</w:t>
            </w: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2024,</w:t>
            </w: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2024,</w:t>
            </w: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15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273,305</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269,602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38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4.50% over a commercial</w:t>
            </w:r>
          </w:p>
        </w:tc>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paper rate (Minimum 7.50%)</w:t>
            </w: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Warehouse lines of credit</w:t>
            </w: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8.81% and 8.90% at June 30</w:t>
            </w: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2025, and December 31 2024,</w:t>
            </w: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38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125,331</w:t>
            </w:r>
          </w:p>
        </w:tc>
        <w:tc>
          <w:tcPr>
            <w:tcW w:w="2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145,597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Residual interest financing</w:t>
            </w:r>
          </w:p>
        </w:tc>
        <w:tc>
          <w:tcPr>
            <w:tcW w:w="2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7.86%</w:t>
            </w:r>
          </w:p>
        </w:tc>
        <w:tc>
          <w:tcPr>
            <w:tcW w:w="12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June 2026</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41,795</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Residual interest financing</w:t>
            </w:r>
          </w:p>
        </w:tc>
        <w:tc>
          <w:tcPr>
            <w:tcW w:w="2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11.50%</w:t>
            </w:r>
          </w:p>
        </w:tc>
        <w:tc>
          <w:tcPr>
            <w:tcW w:w="12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March 2029</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Residual interest financing</w:t>
            </w:r>
          </w:p>
        </w:tc>
        <w:tc>
          <w:tcPr>
            <w:tcW w:w="2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2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June 2032</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56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Weighted average</w:t>
            </w: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8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 average rate of</w:t>
            </w:r>
          </w:p>
        </w:tc>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maturity of July</w:t>
            </w: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380" w:type="dxa"/>
            <w:vAlign w:val="bottom"/>
            <w:gridSpan w:val="2"/>
            <w:vMerge w:val="continue"/>
            <w:shd w:val="clear" w:color="auto" w:fill="EEEEEE"/>
          </w:tcPr>
          <w:p>
            <w:pPr>
              <w:spacing w:after="0"/>
              <w:rPr>
                <w:sz w:val="9"/>
                <w:szCs w:val="9"/>
                <w:color w:val="auto"/>
              </w:rPr>
            </w:pPr>
          </w:p>
        </w:tc>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56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2027 and December</w:t>
            </w:r>
          </w:p>
        </w:tc>
        <w:tc>
          <w:tcPr>
            <w:tcW w:w="16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38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8.94% and 9.24% at June 30,</w:t>
            </w:r>
          </w:p>
        </w:tc>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560" w:type="dxa"/>
            <w:vAlign w:val="bottom"/>
            <w:gridSpan w:val="2"/>
            <w:vMerge w:val="continue"/>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Subordinated renewable notes</w:t>
            </w:r>
          </w:p>
        </w:tc>
        <w:tc>
          <w:tcPr>
            <w:tcW w:w="2380" w:type="dxa"/>
            <w:vAlign w:val="bottom"/>
            <w:gridSpan w:val="2"/>
            <w:vMerge w:val="continue"/>
            <w:shd w:val="clear" w:color="auto" w:fill="EEEEEE"/>
          </w:tcPr>
          <w:p>
            <w:pPr>
              <w:spacing w:after="0"/>
              <w:rPr>
                <w:sz w:val="9"/>
                <w:szCs w:val="9"/>
                <w:color w:val="auto"/>
              </w:rPr>
            </w:pPr>
          </w:p>
        </w:tc>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56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2026 at June 30,</w:t>
            </w:r>
          </w:p>
        </w:tc>
        <w:tc>
          <w:tcPr>
            <w:tcW w:w="16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gridSpan w:val="2"/>
            <w:vMerge w:val="continue"/>
            <w:shd w:val="clear" w:color="auto" w:fill="EEEEEE"/>
          </w:tcPr>
          <w:p>
            <w:pPr>
              <w:spacing w:after="0"/>
              <w:rPr>
                <w:sz w:val="9"/>
                <w:szCs w:val="9"/>
                <w:color w:val="auto"/>
              </w:rPr>
            </w:pPr>
          </w:p>
        </w:tc>
        <w:tc>
          <w:tcPr>
            <w:tcW w:w="238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2025 and December 31, 2024,</w:t>
            </w:r>
          </w:p>
        </w:tc>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560" w:type="dxa"/>
            <w:vAlign w:val="bottom"/>
            <w:gridSpan w:val="2"/>
            <w:vMerge w:val="continue"/>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380" w:type="dxa"/>
            <w:vAlign w:val="bottom"/>
            <w:gridSpan w:val="2"/>
            <w:vMerge w:val="continue"/>
            <w:shd w:val="clear" w:color="auto" w:fill="EEEEEE"/>
          </w:tcPr>
          <w:p>
            <w:pPr>
              <w:spacing w:after="0"/>
              <w:rPr>
                <w:sz w:val="9"/>
                <w:szCs w:val="9"/>
                <w:color w:val="auto"/>
              </w:rPr>
            </w:pPr>
          </w:p>
        </w:tc>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56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2025 and December</w:t>
            </w:r>
          </w:p>
        </w:tc>
        <w:tc>
          <w:tcPr>
            <w:tcW w:w="16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38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2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560" w:type="dxa"/>
            <w:vAlign w:val="bottom"/>
            <w:gridSpan w:val="2"/>
            <w:vMerge w:val="continue"/>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380" w:type="dxa"/>
            <w:vAlign w:val="bottom"/>
            <w:gridSpan w:val="2"/>
            <w:vMerge w:val="continue"/>
            <w:shd w:val="clear" w:color="auto" w:fill="EEEEEE"/>
          </w:tcPr>
          <w:p>
            <w:pPr>
              <w:spacing w:after="0"/>
              <w:rPr>
                <w:sz w:val="10"/>
                <w:szCs w:val="10"/>
                <w:color w:val="auto"/>
              </w:rPr>
            </w:pPr>
          </w:p>
        </w:tc>
        <w:tc>
          <w:tcPr>
            <w:tcW w:w="22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60" w:type="dxa"/>
            <w:vAlign w:val="bottom"/>
            <w:vMerge w:val="restart"/>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6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226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226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1460" w:type="dxa"/>
            <w:vAlign w:val="bottom"/>
            <w:vMerge w:val="continue"/>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60" w:type="dxa"/>
            <w:vAlign w:val="bottom"/>
            <w:shd w:val="clear" w:color="auto" w:fill="EEEEEE"/>
          </w:tcPr>
          <w:p>
            <w:pPr>
              <w:spacing w:after="0"/>
              <w:rPr>
                <w:sz w:val="7"/>
                <w:szCs w:val="7"/>
                <w:color w:val="auto"/>
              </w:rPr>
            </w:pPr>
          </w:p>
        </w:tc>
        <w:tc>
          <w:tcPr>
            <w:tcW w:w="940" w:type="dxa"/>
            <w:vAlign w:val="bottom"/>
            <w:shd w:val="clear" w:color="auto" w:fill="EEEEEE"/>
          </w:tcPr>
          <w:p>
            <w:pPr>
              <w:spacing w:after="0"/>
              <w:rPr>
                <w:sz w:val="7"/>
                <w:szCs w:val="7"/>
                <w:color w:val="auto"/>
              </w:rPr>
            </w:pPr>
          </w:p>
        </w:tc>
        <w:tc>
          <w:tcPr>
            <w:tcW w:w="220" w:type="dxa"/>
            <w:vAlign w:val="bottom"/>
            <w:shd w:val="clear" w:color="auto" w:fill="EEEEEE"/>
          </w:tcPr>
          <w:p>
            <w:pPr>
              <w:spacing w:after="0"/>
              <w:rPr>
                <w:sz w:val="7"/>
                <w:szCs w:val="7"/>
                <w:color w:val="auto"/>
              </w:rPr>
            </w:pPr>
          </w:p>
        </w:tc>
        <w:tc>
          <w:tcPr>
            <w:tcW w:w="240" w:type="dxa"/>
            <w:vAlign w:val="bottom"/>
            <w:shd w:val="clear" w:color="auto" w:fill="EEEEEE"/>
          </w:tcPr>
          <w:p>
            <w:pPr>
              <w:spacing w:after="0"/>
              <w:rPr>
                <w:sz w:val="7"/>
                <w:szCs w:val="7"/>
                <w:color w:val="auto"/>
              </w:rPr>
            </w:pPr>
          </w:p>
        </w:tc>
        <w:tc>
          <w:tcPr>
            <w:tcW w:w="88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5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respectively</w:t>
            </w:r>
          </w:p>
        </w:tc>
        <w:tc>
          <w:tcPr>
            <w:tcW w:w="16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28,828</w:t>
            </w:r>
          </w:p>
        </w:tc>
        <w:tc>
          <w:tcPr>
            <w:tcW w:w="24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584,259</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541,688</w:t>
            </w:r>
          </w:p>
        </w:tc>
        <w:tc>
          <w:tcPr>
            <w:tcW w:w="0" w:type="dxa"/>
            <w:vAlign w:val="bottom"/>
          </w:tcPr>
          <w:p>
            <w:pPr>
              <w:spacing w:after="0"/>
              <w:rPr>
                <w:sz w:val="1"/>
                <w:szCs w:val="1"/>
                <w:color w:val="auto"/>
              </w:rPr>
            </w:pPr>
          </w:p>
        </w:tc>
      </w:tr>
      <w:tr>
        <w:trPr>
          <w:trHeight w:val="20"/>
        </w:trPr>
        <w:tc>
          <w:tcPr>
            <w:tcW w:w="2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 At June 30, 2025, there was $65.0 million outstanding under this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we increased the capacity of our revolving credit agreement with Citibank, N.A., to $335 million. This follows the November 2024 closing of a revolving credit agreement with Oaktree Capital Management, which is subordinate to our credit agreement with Citibank, N.A. The facility provides effective advances up to 10.00% of eligible finance receivables, effectively increasing the advance rate up to 95% across the facility for eligible receivables. The revolving credit agreement with Citibank, N.A. was last renewed in July 2024, extending the maturity date to July 2026 followed by an amortization period through July 2027 for any receivables pledged at the end of the revolving period. There was $273.3 million outstanding under this facility at June 30,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There was $125.3 million outstanding under this facility at June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June 30, 2025, there was $50.0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June 30, 2025, there was $41.8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$1.7 million and $824,000 as of June 30, 2025, and December 31, 2024, respectively, have been excluded from the amount reported above for residual interest financing. Similarly, unamortized debt issuance costs of $3.0 million and $4.3 million as of June 30, 2025, and December 31, 2024,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29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8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10"/>
        </w:trPr>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100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9"/>
              </w:rPr>
              <w:t>103,027</w:t>
            </w: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85,099</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202,594</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165,604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10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934</w:t>
            </w: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1,782</w:t>
            </w: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2,105</w:t>
            </w: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4,119</w:t>
            </w:r>
          </w:p>
        </w:tc>
      </w:tr>
      <w:tr>
        <w:trPr>
          <w:trHeight w:val="229"/>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0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1,401</w:t>
            </w: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1,486</w:t>
            </w: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2,596</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2,932</w:t>
            </w:r>
          </w:p>
        </w:tc>
      </w:tr>
      <w:tr>
        <w:trPr>
          <w:trHeight w:val="210"/>
        </w:trPr>
        <w:tc>
          <w:tcPr>
            <w:tcW w:w="38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9"/>
              </w:rPr>
              <w:t>105,362</w:t>
            </w: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88,367</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207,295</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172,655</w:t>
            </w:r>
          </w:p>
        </w:tc>
      </w:tr>
      <w:tr>
        <w:trPr>
          <w:trHeight w:val="20"/>
        </w:trPr>
        <w:tc>
          <w:tcPr>
            <w:tcW w:w="38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9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40" w:type="dxa"/>
            <w:vAlign w:val="bottom"/>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45,557</w:t>
            </w: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37,928</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90,602</w:t>
            </w:r>
          </w:p>
        </w:tc>
        <w:tc>
          <w:tcPr>
            <w:tcW w:w="58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73,860</w:t>
            </w: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8,216</w:t>
            </w: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5,702</w:t>
            </w: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14,729</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4,247</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2,538</w:t>
            </w: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6,962</w:t>
            </w: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EEEEEE"/>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684</w:t>
            </w:r>
          </w:p>
        </w:tc>
        <w:tc>
          <w:tcPr>
            <w:tcW w:w="10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1,329</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r>
      <w:tr>
        <w:trPr>
          <w:trHeight w:val="209"/>
        </w:trPr>
        <w:tc>
          <w:tcPr>
            <w:tcW w:w="38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58,704</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46,710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113,622</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100" w:type="dxa"/>
            <w:vAlign w:val="bottom"/>
          </w:tcPr>
          <w:p>
            <w:pPr>
              <w:spacing w:after="0"/>
              <w:rPr>
                <w:sz w:val="21"/>
                <w:szCs w:val="21"/>
                <w:color w:val="auto"/>
              </w:rPr>
            </w:pPr>
          </w:p>
        </w:tc>
      </w:tr>
      <w:tr>
        <w:trPr>
          <w:trHeight w:val="20"/>
        </w:trPr>
        <w:tc>
          <w:tcPr>
            <w:tcW w:w="3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and six-month periods ended June 30, 2025, and 2024 were calculated using the weighted average number of shares outstanding for the related period. The following table reconciles the number of shares used in the computations of basic and diluted earnings per share for the three-month and six-month periods ended June 30, 2025, and 2024:</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spacing w:after="0" w:line="162" w:lineRule="exact"/>
        <w:rPr>
          <w:sz w:val="20"/>
          <w:szCs w:val="20"/>
          <w:color w:val="auto"/>
        </w:rPr>
      </w:pPr>
    </w:p>
    <w:p>
      <w:pPr>
        <w:ind w:left="180" w:right="120" w:hanging="179"/>
        <w:spacing w:after="0" w:line="282" w:lineRule="auto"/>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p>
      <w:pPr>
        <w:spacing w:after="0" w:line="189" w:lineRule="exact"/>
        <w:rPr>
          <w:sz w:val="20"/>
          <w:szCs w:val="20"/>
          <w:color w:val="auto"/>
        </w:rPr>
      </w:pPr>
    </w:p>
    <w:p>
      <w:pPr>
        <w:ind w:left="180" w:right="44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23"/>
        </w:trPr>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32"/>
        </w:trPr>
        <w:tc>
          <w:tcPr>
            <w:tcW w:w="20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20"/>
                <w:szCs w:val="20"/>
                <w:color w:val="auto"/>
              </w:rPr>
            </w:pPr>
          </w:p>
        </w:tc>
      </w:tr>
      <w:tr>
        <w:trPr>
          <w:trHeight w:val="391"/>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21,893</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21,670</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r>
      <w:tr>
        <w:trPr>
          <w:trHeight w:val="234"/>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5"/>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2,287</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2,584</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28"/>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41"/>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24,180</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24,254</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-1156970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-744855</wp:posOffset>
            </wp:positionV>
            <wp:extent cx="7132320" cy="282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-316865</wp:posOffset>
            </wp:positionV>
            <wp:extent cx="71323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160"/>
            <w:col w:w="6160"/>
          </w:cols>
          <w:pgMar w:left="320" w:top="79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six-month period ended June 30, 2025, would have included an additional 1.6 million shares attributable to the exercise of outstanding options and warrants. For the three-month and six-month periods ended June 30, 2024, 1.7 million shares, would be included in the diluted earnings per share calculation.</w:t>
      </w:r>
    </w:p>
    <w:p>
      <w:pPr>
        <w:spacing w:after="0" w:line="1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events that have been recognized in the financial statements. A valuation allowance is recognized to reduce a deferred tax asset if, based on the weight of all available evidence, it is more likely than not that some or all of the deferred tax asset will not be realized. When making this judgment, both positive and negative evidence is considered, with the most weight given to evidence that can be objectively verified. The recognition of deferred tax liabilities, however, does not require a similar more likely than not test for realization. They are recognized with the expectation that they will be settled in future periods when the related taxable temporary differences reverse. As of June 30, 2025, we have a net deferred tax liabilities of $90,000. Our net deferred tax liabilities of $90,000 consists of approximately $378,000 of net U.S. federal deferred tax liabilities and $288,000 of net state deferred tax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$2.2 million for the three months and $4.3 million six months ended June 30, 2025, representing effective income tax rates of 31%, compared to income tax expense of $2.0 million and 4.0 million for the three months and six months ended June 30, 2024, and representing effective income tax rates of 30% respectively.</w:t>
      </w:r>
    </w:p>
    <w:p>
      <w:pPr>
        <w:spacing w:after="0" w:line="17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Prior to the motion being ruled upon, summary judgment was granted in our favor, disposing of the claims against CPS. An appeal of the summary judgment ruling was filed on October 25, 2024, and we filed a cross appeal of the denial of the motion to compel arbitration on October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30, 2025, our best estimate of probable incurred losses for legal contingencies, including the matters identified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identified above, as of June 30, 2025, does not exceed $3.2 million.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effect on our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measurement.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2025,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3,449,106</w:t>
            </w:r>
          </w:p>
        </w:tc>
        <w:tc>
          <w:tcPr>
            <w:tcW w:w="54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2,791,373</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3,313,767</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2,722,662</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433,277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424,867</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882,879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753,760</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(264,713)</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(208,964)</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(517,569)</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(419,899)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(52,401)</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(126,548)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(106,648)</w:t>
            </w: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6,500</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3,559,029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2,960,375</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3,559,029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1"/>
        </w:trPr>
        <w:tc>
          <w:tcPr>
            <w:tcW w:w="5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33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60" w:type="dxa"/>
            <w:vAlign w:val="bottom"/>
          </w:tcPr>
          <w:p>
            <w:pPr>
              <w:spacing w:after="0"/>
              <w:rPr>
                <w:sz w:val="20"/>
                <w:szCs w:val="20"/>
                <w:color w:val="auto"/>
              </w:rPr>
            </w:pPr>
          </w:p>
        </w:tc>
        <w:tc>
          <w:tcPr>
            <w:tcW w:w="11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2"/>
        </w:trPr>
        <w:tc>
          <w:tcPr>
            <w:tcW w:w="5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3,706,565</w:t>
            </w:r>
          </w:p>
        </w:tc>
        <w:tc>
          <w:tcPr>
            <w:tcW w:w="56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3,559,029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3,485,540</w:t>
            </w:r>
          </w:p>
        </w:tc>
        <w:tc>
          <w:tcPr>
            <w:tcW w:w="3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Weight Avg. Inputs as of</w:t>
            </w: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3,559,029</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3,313,767</w:t>
            </w:r>
          </w:p>
        </w:tc>
        <w:tc>
          <w:tcPr>
            <w:tcW w:w="212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15.84%</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June 30, 2025, and December 31, 2024:</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2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3,220,543</w:t>
            </w: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2,969,864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31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228,139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241,883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61</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31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56,671</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64,810</w:t>
            </w:r>
          </w:p>
        </w:tc>
        <w:tc>
          <w:tcPr>
            <w:tcW w:w="100" w:type="dxa"/>
            <w:vAlign w:val="bottom"/>
            <w:shd w:val="clear" w:color="auto" w:fill="EEEEEE"/>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32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19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95,321</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3120" w:type="dxa"/>
            <w:vAlign w:val="bottom"/>
            <w:tcBorders>
              <w:bottom w:val="single" w:sz="8" w:color="EEEEEE"/>
            </w:tcBorders>
            <w:shd w:val="clear" w:color="auto" w:fill="EEEEEE"/>
          </w:tcPr>
          <w:p>
            <w:pPr>
              <w:spacing w:after="0"/>
              <w:rPr>
                <w:sz w:val="19"/>
                <w:szCs w:val="19"/>
                <w:color w:val="auto"/>
              </w:rPr>
            </w:pPr>
          </w:p>
        </w:tc>
        <w:tc>
          <w:tcPr>
            <w:tcW w:w="194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3,706,565</w:t>
            </w: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3,485,540</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June 30, 2025, and December 31, 2024,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15,772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15,772</w:t>
            </w:r>
          </w:p>
        </w:tc>
        <w:tc>
          <w:tcPr>
            <w:tcW w:w="13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15,772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144,396</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144,396</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144,396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395,596</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395,596</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395,596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155,103</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155,103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11,491</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11,491</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2,813,234</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2,802,071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2,802,071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40" w:type="dxa"/>
            <w:vAlign w:val="bottom"/>
            <w:gridSpan w:val="2"/>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28,828</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28,828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28,828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11,713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125,684</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410,898</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10,663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2,594,384</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26,489</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Company’s one reportable segment, it provides indirect vehicle financing to motor vehicle dealer’s less credit- worthy borrowers. The Company’s revenue primarily consists of interest income and is derived from the interest recorded on contracts the Company has purchased, The revenue generated from any individual borrower is deemed to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2025, we executed our third securitization of 2025. In the transaction, qualified institutional buyers purchased $418.33 million of asset-backed notes secured by $433.50 million in automobile receivables originated by CPS. The sold notes, issued by CPS Auto Receivables Trust 2025-C,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5.43%.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8" w:name="page29"/>
    <w:bookmarkEnd w:id="28"/>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June 30, 2025, we have originated a total of approximately $23.9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31" w:lineRule="exact"/>
        <w:rPr>
          <w:sz w:val="20"/>
          <w:szCs w:val="20"/>
          <w:color w:val="auto"/>
        </w:rPr>
      </w:pPr>
    </w:p>
    <w:tbl>
      <w:tblPr>
        <w:tblLayout w:type="fixed"/>
        <w:tblInd w:w="2320" w:type="dxa"/>
        <w:tblCellMar>
          <w:top w:w="0" w:type="dxa"/>
          <w:left w:w="0" w:type="dxa"/>
          <w:bottom w:w="0" w:type="dxa"/>
          <w:right w:w="0" w:type="dxa"/>
        </w:tblCellMar>
      </w:tblPr>
      <w:tr>
        <w:trPr>
          <w:trHeight w:val="229"/>
        </w:trPr>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80" w:type="dxa"/>
            <w:vAlign w:val="bottom"/>
            <w:gridSpan w:val="4"/>
          </w:tcPr>
          <w:p>
            <w:pPr>
              <w:jc w:val="right"/>
              <w:ind w:right="13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5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Managed Portfolio</w:t>
            </w:r>
          </w:p>
        </w:tc>
        <w:tc>
          <w:tcPr>
            <w:tcW w:w="120" w:type="dxa"/>
            <w:vAlign w:val="bottom"/>
          </w:tcPr>
          <w:p>
            <w:pPr>
              <w:spacing w:after="0"/>
              <w:rPr>
                <w:sz w:val="16"/>
                <w:szCs w:val="16"/>
                <w:color w:val="auto"/>
              </w:rPr>
            </w:pPr>
          </w:p>
        </w:tc>
      </w:tr>
      <w:tr>
        <w:trPr>
          <w:trHeight w:val="238"/>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Purchased in Period</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210"/>
        </w:trPr>
        <w:tc>
          <w:tcPr>
            <w:tcW w:w="28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2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3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2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742,584</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2,174,972</w:t>
            </w:r>
          </w:p>
        </w:tc>
      </w:tr>
      <w:tr>
        <w:trPr>
          <w:trHeight w:val="216"/>
        </w:trPr>
        <w:tc>
          <w:tcPr>
            <w:tcW w:w="28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20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1,146,321</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2,249,069</w:t>
            </w:r>
          </w:p>
        </w:tc>
      </w:tr>
      <w:tr>
        <w:trPr>
          <w:trHeight w:val="216"/>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2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1,854,385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3,001,308</w:t>
            </w:r>
          </w:p>
        </w:tc>
      </w:tr>
      <w:tr>
        <w:trPr>
          <w:trHeight w:val="216"/>
        </w:trPr>
        <w:tc>
          <w:tcPr>
            <w:tcW w:w="28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20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1,357,752</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3,194,623</w:t>
            </w:r>
          </w:p>
        </w:tc>
      </w:tr>
      <w:tr>
        <w:trPr>
          <w:trHeight w:val="216"/>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2024</w:t>
            </w:r>
          </w:p>
        </w:tc>
        <w:tc>
          <w:tcPr>
            <w:tcW w:w="20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1,681,941</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3,665,725</w:t>
            </w:r>
          </w:p>
        </w:tc>
      </w:tr>
      <w:tr>
        <w:trPr>
          <w:trHeight w:val="216"/>
        </w:trPr>
        <w:tc>
          <w:tcPr>
            <w:tcW w:w="30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8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884,236</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3,854,825</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six months ended June 30, 2025, we originated $8.3 million under this third-party program. As of June 30, 2025, our managed portfolio includes $146.4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1994 we have conducted 105 term securitizations of automobile contracts that we originated. As of June 30, 2025, 17 of those securitizations are active and all are structured as secured financings. We generally conduct our securitizations on a quarterly basis, near the beginning of each calendar quarter, resulting in four securitizations per calendar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p>
      <w:pPr>
        <w:spacing w:after="0" w:line="248" w:lineRule="exact"/>
        <w:rPr>
          <w:sz w:val="20"/>
          <w:szCs w:val="20"/>
          <w:color w:val="auto"/>
        </w:rPr>
      </w:pPr>
    </w:p>
    <w:tbl>
      <w:tblPr>
        <w:tblLayout w:type="fixed"/>
        <w:tblInd w:w="2320" w:type="dxa"/>
        <w:tblCellMar>
          <w:top w:w="0" w:type="dxa"/>
          <w:left w:w="0" w:type="dxa"/>
          <w:bottom w:w="0" w:type="dxa"/>
          <w:right w:w="0" w:type="dxa"/>
        </w:tblCellMar>
      </w:tblPr>
      <w:tr>
        <w:trPr>
          <w:trHeight w:val="232"/>
        </w:trPr>
        <w:tc>
          <w:tcPr>
            <w:tcW w:w="1620" w:type="dxa"/>
            <w:vAlign w:val="bottom"/>
          </w:tcPr>
          <w:p>
            <w:pPr>
              <w:spacing w:after="0"/>
              <w:rPr>
                <w:sz w:val="20"/>
                <w:szCs w:val="20"/>
                <w:color w:val="auto"/>
              </w:rPr>
            </w:pPr>
          </w:p>
        </w:tc>
        <w:tc>
          <w:tcPr>
            <w:tcW w:w="50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r>
      <w:tr>
        <w:trPr>
          <w:trHeight w:val="236"/>
        </w:trPr>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5"/>
          </w:tcPr>
          <w:p>
            <w:pPr>
              <w:ind w:left="13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Receivables Pledged</w:t>
            </w:r>
          </w:p>
        </w:tc>
        <w:tc>
          <w:tcPr>
            <w:tcW w:w="100" w:type="dxa"/>
            <w:vAlign w:val="bottom"/>
          </w:tcPr>
          <w:p>
            <w:pPr>
              <w:spacing w:after="0"/>
              <w:rPr>
                <w:sz w:val="16"/>
                <w:szCs w:val="16"/>
                <w:color w:val="auto"/>
              </w:rPr>
            </w:pPr>
          </w:p>
        </w:tc>
      </w:tr>
      <w:tr>
        <w:trPr>
          <w:trHeight w:val="216"/>
        </w:trPr>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162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10"/>
        </w:trPr>
        <w:tc>
          <w:tcPr>
            <w:tcW w:w="1620" w:type="dxa"/>
            <w:vAlign w:val="bottom"/>
            <w:tcBorders>
              <w:top w:val="single" w:sz="8" w:color="auto"/>
            </w:tcBorders>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333333"/>
                <w:w w:val="99"/>
              </w:rPr>
              <w:t>2019</w:t>
            </w:r>
          </w:p>
        </w:tc>
        <w:tc>
          <w:tcPr>
            <w:tcW w:w="10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333333"/>
                <w:w w:val="99"/>
              </w:rPr>
              <w:t>2020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741,867</w:t>
            </w:r>
          </w:p>
        </w:tc>
      </w:tr>
      <w:tr>
        <w:trPr>
          <w:trHeight w:val="216"/>
        </w:trPr>
        <w:tc>
          <w:tcPr>
            <w:tcW w:w="1620" w:type="dxa"/>
            <w:vAlign w:val="bottom"/>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333333"/>
                <w:w w:val="99"/>
              </w:rPr>
              <w:t>2021</w:t>
            </w: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1,145,002</w:t>
            </w:r>
          </w:p>
        </w:tc>
      </w:tr>
      <w:tr>
        <w:trPr>
          <w:trHeight w:val="216"/>
        </w:trPr>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333333"/>
                <w:w w:val="99"/>
              </w:rPr>
              <w:t>2022</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1,537,383</w:t>
            </w:r>
          </w:p>
        </w:tc>
      </w:tr>
      <w:tr>
        <w:trPr>
          <w:trHeight w:val="216"/>
        </w:trPr>
        <w:tc>
          <w:tcPr>
            <w:tcW w:w="1620" w:type="dxa"/>
            <w:vAlign w:val="bottom"/>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333333"/>
                <w:w w:val="99"/>
              </w:rPr>
              <w:t>2023</w:t>
            </w: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1,352,114</w:t>
            </w:r>
          </w:p>
        </w:tc>
      </w:tr>
      <w:tr>
        <w:trPr>
          <w:trHeight w:val="216"/>
        </w:trPr>
        <w:tc>
          <w:tcPr>
            <w:tcW w:w="16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333333"/>
                <w:w w:val="99"/>
              </w:rPr>
              <w:t>2024</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1,533,854</w:t>
            </w:r>
          </w:p>
        </w:tc>
      </w:tr>
      <w:tr>
        <w:trPr>
          <w:trHeight w:val="216"/>
        </w:trPr>
        <w:tc>
          <w:tcPr>
            <w:tcW w:w="4380" w:type="dxa"/>
            <w:vAlign w:val="bottom"/>
            <w:gridSpan w:val="4"/>
            <w:shd w:val="clear" w:color="auto" w:fill="EEEEEE"/>
          </w:tcPr>
          <w:p>
            <w:pPr>
              <w:jc w:val="center"/>
              <w:ind w:right="1670"/>
              <w:spacing w:after="0"/>
              <w:rPr>
                <w:sz w:val="20"/>
                <w:szCs w:val="20"/>
                <w:color w:val="auto"/>
              </w:rPr>
            </w:pPr>
            <w:r>
              <w:rPr>
                <w:rFonts w:ascii="Times New Roman" w:cs="Times New Roman" w:eastAsia="Times New Roman" w:hAnsi="Times New Roman"/>
                <w:sz w:val="18"/>
                <w:szCs w:val="18"/>
                <w:color w:val="333333"/>
                <w:w w:val="99"/>
              </w:rPr>
              <w:t>Six months ended June 30, 2025</w:t>
            </w:r>
          </w:p>
        </w:tc>
        <w:tc>
          <w:tcPr>
            <w:tcW w:w="4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901,826</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$535 million over two credit facilities. The first credit facility was established in May 2012 with Citibank, N.A. This facility was most recently renewed in July 2024, extending the revolving period to July 2026, with an optional amortization period through July 2027. In addition, a subordinated lender was added to the credit facility in November 2024, effectively increasing our advance rate to a maximum of 95% for eligible receivables across the facility. The capacity was then increased from $200 million at the most recent renewal date to $335 million in December 2024.</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with Ares Agent Services, L.P.. In June 2022, we increased the capacity of that credit agreement from $100 million to $200 million. This facility was most recently renewed in March 2024, extending the revolving period to March 2026, followed by an amortization period to March 2028.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have also completed financings of our residual interests in other securitizations that we and our affiliates previously sponsored. 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 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2025,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June 30, 2025, with the three months ended June30,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June 30, 2025, our revenues were $109.8 million, an increase of $13.9 million, or 14.5%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$95.9 million. The primary reason for the increase in revenues is the increase in interest income resulting from the increase in the average outstanding balance of finance receivables measured at fair value. Revenues for the three months ended June 30, 2025, include a $3.0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receivables and a mark down to the fair values of selected receivables. The net effect of the marks to the fair value resulted in a net mark up of $3.0 million. There was a $5.5 million mark up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June 30, 2025, increased $17.0 million, or 19.2%, to $105.4 million from $88.4 million in the prior year. The primary reason for the increase in interest income is the 18.0% increase in the average balance of our loan portfolio over the prior year period. The interest yield on our total loan portfolio increased from 11.3% in the prior year period to 11.4%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June 30,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3,682,959</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105,362</w:t>
            </w:r>
          </w:p>
        </w:tc>
        <w:tc>
          <w:tcPr>
            <w:tcW w:w="152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3,122,278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88,367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Other income was $1.4 million for </w:t>
      </w:r>
      <w:r>
        <w:rPr>
          <w:rFonts w:ascii="Times New Roman" w:cs="Times New Roman" w:eastAsia="Times New Roman" w:hAnsi="Times New Roman"/>
          <w:sz w:val="17"/>
          <w:szCs w:val="17"/>
          <w:color w:val="auto"/>
        </w:rPr>
        <w:t>the three months ended June 30, 2025, compared to $2.0 million for the comparable period in 2024. This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decrease was primarily driven by the decrease in origination and servicing fees we earned from third party receivables. These fees were $1.4 million for the quarter ended June 30, 2025, compared to $1.7 million in the prior year period.</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employee costs, sales and general and administrative expenses. Interest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were $102.8 million for the three months ended June 30, 2025, compared to $89.2 million for the prior period, an increase of $13.6 million, or 15.3%. The increase is primarily due to increases in interest expense.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$24.4 million during the three months ended June 30, 2025, compared to $23.7 million for the same quarter in the prior year, an increase of $637,000, or 2.7%. The table below summarizes our employees by category as well as contract purchases and units in our managed portfolio as of, and for the three-month periods ended, June 30, 2025, and 2024:</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340" w:type="dxa"/>
            <w:vAlign w:val="bottom"/>
            <w:gridSpan w:val="2"/>
            <w:shd w:val="clear" w:color="auto" w:fill="EEEEEE"/>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1340" w:type="dxa"/>
            <w:vAlign w:val="bottom"/>
            <w:gridSpan w:val="2"/>
            <w:shd w:val="clear" w:color="auto" w:fill="EEEEEE"/>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211,246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$13.2 million, a decrease of $77,000 from $13.3 million in the prior year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June 30, 2025, was $58.7 million and represented 57.1% of total operating expenses, compared to $46.7 million in the previous year, when it was 52.4% of total operating expenses. The $12.0 million increase in interest expense compared to the prior year period was largely due to increases in the average balance of our securitization trust debt, warehouse credit line debt and residual interest financing debt. To a lesser extent, the increase is also due to the increase in the interest rate on our securitization trust debt.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on securitization trust debt increased by $7.6 million for the three months ended June 30, 2025, compared to the prior period. The average balance of securitization trust debt increased to $2,811.9 million for the three months ended June 30, 2025, compared to $2,555.2 million for the three months ended June 30, 2024. The annualized average rate on our securitization trust debt was 6.5% for the three months ended June 30, 2025, compared to 5.9%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31"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28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top w:val="single" w:sz="8" w:color="EEEEEE"/>
            </w:tcBorders>
            <w:shd w:val="clear" w:color="auto" w:fill="EEEEEE"/>
          </w:tcPr>
          <w:p>
            <w:pPr>
              <w:spacing w:after="0"/>
              <w:rPr>
                <w:sz w:val="18"/>
                <w:szCs w:val="18"/>
                <w:color w:val="auto"/>
              </w:rPr>
            </w:pPr>
          </w:p>
        </w:tc>
        <w:tc>
          <w:tcPr>
            <w:tcW w:w="28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2023</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2023</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2024</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June 2024</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2025</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34"/>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May 2025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$2.5 million to $8.2 million for the three months ended June 30, 2025, compared to $5.7 million in the prior year period. The increase was primarily due to the higher utilization of our credit lines during the quarter compared to last year. The average balance of our warehouse debt was $353.2 million during the three months ended June 30, 2025, compared to $215.4 million for the same period in 2024. The annualized average rate on our credit line debt was 9.3% for the three months ended June 30, 2025, compared to 10.6% in the prior 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$684,000 for the three months ended June 30, 2025. The average balance of the outstanding subordinated debt was $28.0 million for the three months June 30, 2025, compared to $22.3 million for the prior year period. The average yield of subordinated notes is 9.7% for both current and in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and again on June 30, 2025, we completed a securitization of residual interests from other previously issued securitizations in the amount of $50 million, $50 million, and $65 million, respectively. Interest expense for these residual interest financings was $4.2 million for the three months ended June 30, 2025, compared to 2.5 million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jc w:val="right"/>
              <w:ind w:right="74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1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0" w:type="dxa"/>
            <w:vAlign w:val="bottom"/>
          </w:tcPr>
          <w:p>
            <w:pPr>
              <w:spacing w:after="0"/>
              <w:rPr>
                <w:sz w:val="1"/>
                <w:szCs w:val="1"/>
                <w:color w:val="auto"/>
              </w:rPr>
            </w:pPr>
          </w:p>
        </w:tc>
      </w:tr>
      <w:tr>
        <w:trPr>
          <w:trHeight w:val="145"/>
        </w:trPr>
        <w:tc>
          <w:tcPr>
            <w:tcW w:w="660" w:type="dxa"/>
            <w:vAlign w:val="bottom"/>
            <w:tcBorders>
              <w:top w:val="single" w:sz="8" w:color="EEEEEE"/>
            </w:tcBorders>
            <w:shd w:val="clear" w:color="auto" w:fill="EEEEEE"/>
          </w:tcPr>
          <w:p>
            <w:pPr>
              <w:spacing w:after="0"/>
              <w:rPr>
                <w:sz w:val="12"/>
                <w:szCs w:val="12"/>
                <w:color w:val="auto"/>
              </w:rPr>
            </w:pPr>
          </w:p>
        </w:tc>
        <w:tc>
          <w:tcPr>
            <w:tcW w:w="2620" w:type="dxa"/>
            <w:vAlign w:val="bottom"/>
            <w:tcBorders>
              <w:top w:val="single" w:sz="8" w:color="EEEEEE"/>
            </w:tcBorders>
            <w:gridSpan w:val="4"/>
            <w:shd w:val="clear" w:color="auto" w:fill="EEEEEE"/>
          </w:tcPr>
          <w:p>
            <w:pPr>
              <w:jc w:val="center"/>
              <w:ind w:right="780"/>
              <w:spacing w:after="0" w:line="145" w:lineRule="exact"/>
              <w:rPr>
                <w:sz w:val="20"/>
                <w:szCs w:val="20"/>
                <w:color w:val="auto"/>
              </w:rPr>
            </w:pPr>
            <w:r>
              <w:rPr>
                <w:rFonts w:ascii="Times New Roman" w:cs="Times New Roman" w:eastAsia="Times New Roman" w:hAnsi="Times New Roman"/>
                <w:sz w:val="16"/>
                <w:szCs w:val="16"/>
                <w:b w:val="1"/>
                <w:bCs w:val="1"/>
                <w:color w:val="auto"/>
                <w:w w:val="99"/>
              </w:rPr>
              <w:t>Interest Earning Assets</w:t>
            </w:r>
          </w:p>
        </w:tc>
        <w:tc>
          <w:tcPr>
            <w:tcW w:w="120" w:type="dxa"/>
            <w:vAlign w:val="bottom"/>
            <w:tcBorders>
              <w:top w:val="single" w:sz="8" w:color="auto"/>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spacing w:after="0"/>
              <w:rPr>
                <w:sz w:val="12"/>
                <w:szCs w:val="12"/>
                <w:color w:val="auto"/>
              </w:rPr>
            </w:pPr>
          </w:p>
        </w:tc>
        <w:tc>
          <w:tcPr>
            <w:tcW w:w="26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600" w:type="dxa"/>
            <w:vAlign w:val="bottom"/>
            <w:tcBorders>
              <w:top w:val="single" w:sz="8" w:color="auto"/>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76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00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940" w:type="dxa"/>
            <w:vAlign w:val="bottom"/>
            <w:tcBorders>
              <w:top w:val="single" w:sz="8" w:color="EEEEEE"/>
            </w:tcBorders>
            <w:shd w:val="clear" w:color="auto" w:fill="EEEEEE"/>
          </w:tcPr>
          <w:p>
            <w:pPr>
              <w:spacing w:after="0"/>
              <w:rPr>
                <w:sz w:val="2"/>
                <w:szCs w:val="2"/>
                <w:color w:val="auto"/>
              </w:rPr>
            </w:pPr>
          </w:p>
        </w:tc>
        <w:tc>
          <w:tcPr>
            <w:tcW w:w="240" w:type="dxa"/>
            <w:vAlign w:val="bottom"/>
            <w:tcBorders>
              <w:top w:val="single" w:sz="8" w:color="EEEEEE"/>
            </w:tcBorders>
            <w:shd w:val="clear" w:color="auto" w:fill="EEEEEE"/>
          </w:tcPr>
          <w:p>
            <w:pPr>
              <w:spacing w:after="0"/>
              <w:rPr>
                <w:sz w:val="2"/>
                <w:szCs w:val="2"/>
                <w:color w:val="auto"/>
              </w:rPr>
            </w:pPr>
          </w:p>
        </w:tc>
        <w:tc>
          <w:tcPr>
            <w:tcW w:w="114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98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9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12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Loan Portfolio</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3,682,959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105,362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3,122,278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88,367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6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620" w:type="dxa"/>
            <w:vAlign w:val="bottom"/>
            <w:gridSpan w:val="4"/>
          </w:tcPr>
          <w:p>
            <w:pPr>
              <w:jc w:val="center"/>
              <w:ind w:right="760"/>
              <w:spacing w:after="0" w:line="162" w:lineRule="exact"/>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353,153</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8,216</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215,403</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5,702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165,000</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4,247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Securitization trust debt</w:t>
            </w:r>
          </w:p>
        </w:tc>
        <w:tc>
          <w:tcPr>
            <w:tcW w:w="1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2,811,906</w:t>
            </w: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45,557</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2,555,220</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37,928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28,035</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22,259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6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36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line="20" w:lineRule="exact"/>
              <w:rPr>
                <w:sz w:val="1"/>
                <w:szCs w:val="1"/>
                <w:color w:val="auto"/>
              </w:rPr>
            </w:pPr>
          </w:p>
        </w:tc>
      </w:tr>
      <w:tr>
        <w:trPr>
          <w:trHeight w:val="223"/>
        </w:trPr>
        <w:tc>
          <w:tcPr>
            <w:tcW w:w="6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3,358,094</w:t>
            </w:r>
          </w:p>
        </w:tc>
        <w:tc>
          <w:tcPr>
            <w:tcW w:w="18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58,704</w:t>
            </w:r>
          </w:p>
        </w:tc>
        <w:tc>
          <w:tcPr>
            <w:tcW w:w="240" w:type="dxa"/>
            <w:vAlign w:val="bottom"/>
            <w:vMerge w:val="continue"/>
            <w:shd w:val="clear" w:color="auto" w:fill="EEEEEE"/>
          </w:tcPr>
          <w:p>
            <w:pPr>
              <w:spacing w:after="0"/>
              <w:rPr>
                <w:sz w:val="19"/>
                <w:szCs w:val="19"/>
                <w:color w:val="auto"/>
              </w:rPr>
            </w:pPr>
          </w:p>
        </w:tc>
        <w:tc>
          <w:tcPr>
            <w:tcW w:w="1360" w:type="dxa"/>
            <w:vAlign w:val="bottom"/>
            <w:gridSpan w:val="2"/>
            <w:vMerge w:val="continue"/>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2,892,882</w:t>
            </w:r>
          </w:p>
        </w:tc>
        <w:tc>
          <w:tcPr>
            <w:tcW w:w="18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46,710</w:t>
            </w:r>
          </w:p>
        </w:tc>
        <w:tc>
          <w:tcPr>
            <w:tcW w:w="220" w:type="dxa"/>
            <w:vAlign w:val="bottom"/>
            <w:vMerge w:val="continue"/>
            <w:shd w:val="clear" w:color="auto" w:fill="EEEEEE"/>
          </w:tcPr>
          <w:p>
            <w:pPr>
              <w:spacing w:after="0"/>
              <w:rPr>
                <w:sz w:val="19"/>
                <w:szCs w:val="19"/>
                <w:color w:val="auto"/>
              </w:rPr>
            </w:pPr>
          </w:p>
        </w:tc>
        <w:tc>
          <w:tcPr>
            <w:tcW w:w="122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7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Net interest income/spread</w:t>
            </w:r>
          </w:p>
        </w:tc>
        <w:tc>
          <w:tcPr>
            <w:tcW w:w="1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46,658</w:t>
            </w:r>
          </w:p>
        </w:tc>
        <w:tc>
          <w:tcPr>
            <w:tcW w:w="24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9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41,657</w:t>
            </w:r>
          </w:p>
        </w:tc>
        <w:tc>
          <w:tcPr>
            <w:tcW w:w="22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Net interest yield (2)</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line="20" w:lineRule="exact"/>
              <w:rPr>
                <w:sz w:val="1"/>
                <w:szCs w:val="1"/>
                <w:color w:val="auto"/>
              </w:rPr>
            </w:pPr>
          </w:p>
        </w:tc>
      </w:tr>
      <w:tr>
        <w:trPr>
          <w:trHeight w:val="183"/>
        </w:trPr>
        <w:tc>
          <w:tcPr>
            <w:tcW w:w="32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Ratio of average interest earning assets to</w:t>
            </w: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average interest bearing liabilities</w:t>
            </w: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Compared to June 30, 2024</w:t>
            </w: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9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680" w:type="dxa"/>
            <w:vAlign w:val="bottom"/>
            <w:gridSpan w:val="4"/>
            <w:shd w:val="clear" w:color="auto" w:fill="EEEEEE"/>
          </w:tcPr>
          <w:p>
            <w:pPr>
              <w:jc w:val="center"/>
              <w:ind w:right="6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62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800" w:type="dxa"/>
            <w:vAlign w:val="bottom"/>
            <w:tcBorders>
              <w:top w:val="single" w:sz="8" w:color="auto"/>
            </w:tcBorders>
          </w:tcPr>
          <w:p>
            <w:pPr>
              <w:spacing w:after="0"/>
              <w:rPr>
                <w:sz w:val="18"/>
                <w:szCs w:val="18"/>
                <w:color w:val="auto"/>
              </w:rPr>
            </w:pPr>
          </w:p>
        </w:tc>
        <w:tc>
          <w:tcPr>
            <w:tcW w:w="740" w:type="dxa"/>
            <w:vAlign w:val="bottom"/>
            <w:tcBorders>
              <w:top w:val="single" w:sz="8" w:color="EEEEEE"/>
            </w:tcBorders>
            <w:gridSpan w:val="2"/>
          </w:tcPr>
          <w:p>
            <w:pPr>
              <w:spacing w:after="0"/>
              <w:rPr>
                <w:sz w:val="18"/>
                <w:szCs w:val="18"/>
                <w:color w:val="auto"/>
              </w:rPr>
            </w:pPr>
          </w:p>
        </w:tc>
        <w:tc>
          <w:tcPr>
            <w:tcW w:w="1220" w:type="dxa"/>
            <w:vAlign w:val="bottom"/>
            <w:tcBorders>
              <w:top w:val="single" w:sz="8" w:color="EEEEEE"/>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320" w:type="dxa"/>
            <w:vAlign w:val="bottom"/>
            <w:tcBorders>
              <w:top w:val="single" w:sz="8" w:color="EEEEEE"/>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400" w:type="dxa"/>
            <w:vAlign w:val="bottom"/>
            <w:tcBorders>
              <w:top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Borders>
              <w:top w:val="single" w:sz="8" w:color="EEEEEE"/>
            </w:tcBorders>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4160" w:type="dxa"/>
            <w:vAlign w:val="bottom"/>
            <w:gridSpan w:val="5"/>
          </w:tcPr>
          <w:p>
            <w:pPr>
              <w:jc w:val="center"/>
              <w:ind w:left="7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vMerge w:val="continue"/>
          </w:tcPr>
          <w:p>
            <w:pPr>
              <w:spacing w:after="0"/>
              <w:rPr>
                <w:sz w:val="18"/>
                <w:szCs w:val="18"/>
                <w:color w:val="auto"/>
              </w:rPr>
            </w:pPr>
          </w:p>
        </w:tc>
        <w:tc>
          <w:tcPr>
            <w:tcW w:w="41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(1,148)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1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40" w:type="dxa"/>
            <w:vAlign w:val="bottom"/>
            <w:shd w:val="clear" w:color="auto" w:fill="EEEEE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tcBorders>
              <w:top w:val="single" w:sz="8" w:color="EEEEEE"/>
            </w:tcBorders>
            <w:shd w:val="clear" w:color="auto" w:fill="EEEEE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41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(2,183)</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bottom w:val="single" w:sz="8" w:color="EEEEEE"/>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June 30, 2025. 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we recorded a reduction to provision for credit losses on finance receivables in the amount of $781,000. The reserve decrease was primarily due to better than expected recovery rates and a decrease in lifetime expected credit losses resulting from improved credit performance as our previous estimates for future losses exceeded actual incurred losses. This compares to $2.0 million in reductions to provision for credit losses for the three months ended June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Sales expense decreased to $5.7 million during the three months ended June 30, 2025 from $5.9 million for the same quarter in 2024. We purchased $433.0 million of new contracts during the three months ended June 30, 2025 compared to $431.9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$1.4 million for the three months ending June 30, 2025, which is up from $1.3 million in the second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$249,000 compared to $221,000 in the previous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recorded income tax expense of $2.2 million, representing a 31% effective tax rate. In the prior period, our income tax expense was $2.0 million, representing a 30% effective tax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six months ended June 30, 2025 with the six months ended June 30,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six months ended June 30, 2025, our revenues were $216.6 million, an increase of $29.0 million, or 15.5%,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$187.6 million. The primary reason for the increase in revenues is the increase in interest income resulting from the increase in the average outstanding balance of finance receivables measured at fair value. Revenues for the six months ended June 30, 2025 include a $6.5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receivables and a mark down to the fair values of selected receivables. The net effect of the marks to the fair value resulted in a net mark up of $6.5 million.. There was a $10.5 million mark up to the fair value portfolio in the prior year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six months ended June 30, 2025 increased $34.6 million, or 20.1%, to $207.3 million from $172.7 million in the prior year. The primary reason for the increase in interest income is the 18.6% increase in the average balance of our loan portfolio over the prior year period. The interest yield on our total loan portfolio increased from 11.3% in the prior year period to 11.4%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six months ended June 30,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3,627,800</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207,295</w:t>
            </w:r>
          </w:p>
        </w:tc>
        <w:tc>
          <w:tcPr>
            <w:tcW w:w="152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3,058,047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172,655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810"/>
        </w:trPr>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$2.8 million for the six months ended June 30, 2025 compared to $4.5 million for the comparable period in 2024. This 36.4% decrease was primarily driven by the decrease in origination and servicing fees we earned from third party receivables. These fees were $2.8 million for the six months ended June 30, 2025 compared to $3.8 million in the prior year period.</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were $202.9 million for the six months ended June 30, 2025, compared to $174.4 million for the prior period, an increase of $28.5 million, or 16.3%. The increase is primarily due to increases in interest expense and a decrease in the reduction to provision for credit losses. To a lesser extent, increases to employee costs and sales expenses also contributed to the increase in operating expenses during the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$49.4 million during the six months ended June 30, 2025 compared to $48.1 million for the same period in the prior year. The table below summarizes our employees by category as well as contract purchases and units in our managed portfolio as of, and for the six-month periods ended, June 30, 2025 and 2024:</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211,246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$26.7 million for the six months ended June 30, 2025, an increase of $287,000 from $27.0 million in the prior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for the six months ended June 30, 2025 was $113.6 million, compared to $88.7 million in the previous year, an increase of $24.9 million.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$16.7 million for the six months ended June 30, 2025 compared to the prior period. The average balance of securitization trust debt increased to $2,836.9 million for the six months ended June 30, 2025 compared to $2,471.7 million for the six months ended June 30, 2024. The annualized average rate on our securitization trust debt was 6.4% for the six months ended June 30, 2025 compared to 6.0%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31"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28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top w:val="single" w:sz="8" w:color="EEEEEE"/>
            </w:tcBorders>
            <w:shd w:val="clear" w:color="auto" w:fill="EEEEEE"/>
          </w:tcPr>
          <w:p>
            <w:pPr>
              <w:spacing w:after="0"/>
              <w:rPr>
                <w:sz w:val="18"/>
                <w:szCs w:val="18"/>
                <w:color w:val="auto"/>
              </w:rPr>
            </w:pPr>
          </w:p>
        </w:tc>
        <w:tc>
          <w:tcPr>
            <w:tcW w:w="28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2023</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2023</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2024</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June 2024</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2025</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34"/>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May 2025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$4.7 million to $14.7 million for the six months ended June 30, 2025 compared to $10.0 million in the prior year period. The increase was due to higher rates on the debt during the six month period compared to last year. The average balance of our warehouse debt was $314.7 million during the six months ended June 30, 2025 compared to $190.1 million for the same period in 2024. The annualized average rate on our credit line debt was 9.4% for the six months ended June 30, 2025 compared to 10.5% in the prior 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$1.3 million for the six months ended June 30, 2025. The average balance of the outstanding subordinated debt increased by $5.9 million to $27.5 million for the six months ended June 30, 2025 compared to $21.6 million for the prior year. The average yield of subordinated notes was 9.7% in the current and prior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on the residual interest financing was $7.0 million for the six months ended June 30, 2025 compared to $3.7 million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six-month periods ended June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3"/>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3,627,800</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207,295</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3,058,047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172,655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66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314,698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190,143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136,989</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6,962</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83,516</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3,748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2,836,888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90,602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2,471,683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27,493</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1,329</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21,551</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line="20" w:lineRule="exact"/>
              <w:rPr>
                <w:sz w:val="1"/>
                <w:szCs w:val="1"/>
                <w:color w:val="auto"/>
              </w:rPr>
            </w:pPr>
          </w:p>
        </w:tc>
      </w:tr>
      <w:tr>
        <w:trPr>
          <w:trHeight w:val="276"/>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3,316,068</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113,622</w:t>
            </w:r>
          </w:p>
        </w:tc>
        <w:tc>
          <w:tcPr>
            <w:tcW w:w="240" w:type="dxa"/>
            <w:vAlign w:val="bottom"/>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2,766,893</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2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40" w:type="dxa"/>
            <w:vAlign w:val="bottom"/>
            <w:tcBorders>
              <w:top w:val="single" w:sz="8" w:color="EEEEEE"/>
              <w:bottom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2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00" w:type="dxa"/>
            <w:vAlign w:val="bottom"/>
            <w:tcBorders>
              <w:bottom w:val="single" w:sz="8" w:color="EEEEEE"/>
            </w:tcBorders>
          </w:tcPr>
          <w:p>
            <w:pPr>
              <w:spacing w:after="0"/>
              <w:rPr>
                <w:sz w:val="22"/>
                <w:szCs w:val="22"/>
                <w:color w:val="auto"/>
              </w:rPr>
            </w:pPr>
          </w:p>
        </w:tc>
        <w:tc>
          <w:tcPr>
            <w:tcW w:w="1280" w:type="dxa"/>
            <w:vAlign w:val="bottom"/>
            <w:tcBorders>
              <w:bottom w:val="single" w:sz="8" w:color="EEEEEE"/>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93,673</w:t>
            </w:r>
          </w:p>
        </w:tc>
        <w:tc>
          <w:tcPr>
            <w:tcW w:w="24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83,977</w:t>
            </w:r>
          </w:p>
        </w:tc>
        <w:tc>
          <w:tcPr>
            <w:tcW w:w="22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8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(2)</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32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Compared to June 30, 2024</w:t>
            </w: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9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80" w:type="dxa"/>
            <w:vAlign w:val="bottom"/>
          </w:tcPr>
          <w:p>
            <w:pPr>
              <w:spacing w:after="0"/>
              <w:rPr>
                <w:sz w:val="17"/>
                <w:szCs w:val="17"/>
                <w:color w:val="auto"/>
              </w:rPr>
            </w:pPr>
          </w:p>
        </w:tc>
        <w:tc>
          <w:tcPr>
            <w:tcW w:w="1160" w:type="dxa"/>
            <w:vAlign w:val="bottom"/>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80" w:type="dxa"/>
            <w:vAlign w:val="bottom"/>
            <w:gridSpan w:val="4"/>
            <w:vMerge w:val="restart"/>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0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29,696</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shd w:val="clear" w:color="auto" w:fill="EEEEEE"/>
          </w:tcPr>
          <w:p>
            <w:pPr>
              <w:spacing w:after="0"/>
              <w:rPr>
                <w:sz w:val="15"/>
                <w:szCs w:val="15"/>
                <w:color w:val="auto"/>
              </w:rPr>
            </w:pPr>
          </w:p>
        </w:tc>
        <w:tc>
          <w:tcPr>
            <w:tcW w:w="2880" w:type="dxa"/>
            <w:vAlign w:val="bottom"/>
            <w:gridSpan w:val="4"/>
            <w:shd w:val="clear" w:color="auto" w:fill="EEEEEE"/>
          </w:tcPr>
          <w:p>
            <w:pPr>
              <w:jc w:val="center"/>
              <w:ind w:right="8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80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1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2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4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22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Our evaluation of the allowance for credit losses indicated that the reserves against future losses are adequate as of June 30, 2025. The allowance applies only to our finance receivables originated through December 2017, which we refer to as our legacy portfolio. </w:t>
      </w:r>
      <w:r>
        <w:rPr>
          <w:rFonts w:ascii="Times New Roman" w:cs="Times New Roman" w:eastAsia="Times New Roman" w:hAnsi="Times New Roman"/>
          <w:sz w:val="17"/>
          <w:szCs w:val="17"/>
          <w:color w:val="auto"/>
        </w:rPr>
        <w:t>Finance receivables that we have originated since January 2018 are accounted for at fair value. Under the fair value method of accounting,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recognize interest income net of expected credit losses. Thus, no provision for credit loss expense is recorded for finance receivables measured at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we recorded a reduction to provision for credit losses on finance receivables in the amount of $1.8 million. The reserve decrease was primarily due to better than expected recovery rates and a decrease in lifetime expected credit losses resulting from improved credit performance as our previous estimates for future losses exceeded actual incurred losses. This compares to $3.6 million in reductions to provision for credit losses for the six months ended June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Sales expense increased to $11.6 million during the six months ended June 30, 2025 from $10.8 million in the same period in 2024. We purchased $884.2 million of new contracts during the six months ended June 30, 2025 compared to $778.2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$2.8 million for the six months ending June 30, 2025, which is down from $3.0 million for the same period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$498,000 compared to $436,000 in the previous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we recorded income tax expense of $4.3 million, representing a 31% effective tax rate. In the prior period, our income tax expense was $4.0 million, representing a 30%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1" w:name="page42"/>
    <w:bookmarkEnd w:id="41"/>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740" w:type="dxa"/>
            <w:vAlign w:val="bottom"/>
            <w:gridSpan w:val="5"/>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8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5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Delinquency Experience</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Gross servicing portfolio (1)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211,246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3,708,381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187,968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3,173,282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201,441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3,490,960</w:t>
            </w: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Period of delinquency (2)</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31-60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13,594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228,495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12,745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204,373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14,643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243,068</w:t>
            </w: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6"/>
                <w:szCs w:val="16"/>
                <w:color w:val="auto"/>
              </w:rPr>
              <w:t>61-90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6,504</w:t>
            </w: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103,947</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5,961</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92,970</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7,244</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114,633</w:t>
            </w: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91+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3,885</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56,775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47,565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65,081</w:t>
            </w:r>
          </w:p>
        </w:tc>
        <w:tc>
          <w:tcPr>
            <w:tcW w:w="0" w:type="dxa"/>
            <w:vAlign w:val="bottom"/>
          </w:tcPr>
          <w:p>
            <w:pPr>
              <w:spacing w:after="0"/>
              <w:rPr>
                <w:sz w:val="1"/>
                <w:szCs w:val="1"/>
                <w:color w:val="auto"/>
              </w:rPr>
            </w:pPr>
          </w:p>
        </w:tc>
      </w:tr>
      <w:tr>
        <w:trPr>
          <w:trHeight w:val="199"/>
        </w:trPr>
        <w:tc>
          <w:tcPr>
            <w:tcW w:w="3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(2)</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23,983</w:t>
            </w: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389,217</w:t>
            </w:r>
          </w:p>
        </w:tc>
        <w:tc>
          <w:tcPr>
            <w:tcW w:w="24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21,725</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344,908</w:t>
            </w: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26,364</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422,782</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Amount in repossession (3)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6,628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97,733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76,767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6,227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95,620</w:t>
            </w:r>
          </w:p>
        </w:tc>
        <w:tc>
          <w:tcPr>
            <w:tcW w:w="0" w:type="dxa"/>
            <w:vAlign w:val="bottom"/>
          </w:tcPr>
          <w:p>
            <w:pPr>
              <w:spacing w:after="0"/>
              <w:rPr>
                <w:sz w:val="1"/>
                <w:szCs w:val="1"/>
                <w:color w:val="auto"/>
              </w:rPr>
            </w:pPr>
          </w:p>
        </w:tc>
      </w:tr>
      <w:tr>
        <w:trPr>
          <w:trHeight w:val="171"/>
        </w:trPr>
        <w:tc>
          <w:tcPr>
            <w:tcW w:w="3280" w:type="dxa"/>
            <w:vAlign w:val="bottom"/>
            <w:tcBorders>
              <w:top w:val="single" w:sz="8" w:color="EEEEEE"/>
            </w:tcBorders>
            <w:shd w:val="clear" w:color="auto" w:fill="EEEEEE"/>
          </w:tcPr>
          <w:p>
            <w:pPr>
              <w:spacing w:after="0" w:line="171" w:lineRule="exact"/>
              <w:rPr>
                <w:sz w:val="20"/>
                <w:szCs w:val="20"/>
                <w:color w:val="auto"/>
              </w:rPr>
            </w:pPr>
            <w:r>
              <w:rPr>
                <w:rFonts w:ascii="Times New Roman" w:cs="Times New Roman" w:eastAsia="Times New Roman" w:hAnsi="Times New Roman"/>
                <w:sz w:val="16"/>
                <w:szCs w:val="16"/>
                <w:color w:val="auto"/>
              </w:rPr>
              <w:t>Total delinquencies and amount in repossession</w:t>
            </w:r>
          </w:p>
        </w:tc>
        <w:tc>
          <w:tcPr>
            <w:tcW w:w="1120" w:type="dxa"/>
            <w:vAlign w:val="bottom"/>
            <w:tcBorders>
              <w:top w:val="single" w:sz="8" w:color="auto"/>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24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2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10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30,611</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486,950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26,976</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421,675</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32,591</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518,402</w:t>
            </w:r>
          </w:p>
        </w:tc>
        <w:tc>
          <w:tcPr>
            <w:tcW w:w="0" w:type="dxa"/>
            <w:vAlign w:val="bottom"/>
          </w:tcPr>
          <w:p>
            <w:pPr>
              <w:spacing w:after="0"/>
              <w:rPr>
                <w:sz w:val="1"/>
                <w:szCs w:val="1"/>
                <w:color w:val="auto"/>
              </w:rPr>
            </w:pPr>
          </w:p>
        </w:tc>
      </w:tr>
      <w:tr>
        <w:trPr>
          <w:trHeight w:val="20"/>
        </w:trPr>
        <w:tc>
          <w:tcPr>
            <w:tcW w:w="3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Delinquencies as a percentage of gross</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servicing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11.35%</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10.50%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11.56%</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10.87%</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13.09%</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and amount in repossession</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as a percentage of gross servicing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14.49%</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13.13%</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14.35%</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13.29%</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16.18%</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Extension Experience</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one extension, accruing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35,067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638,069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32,504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572,142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33,623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601,049</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two or more extensions, accruing</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49,373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760,265</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45,600</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649,610</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47,227</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701,158</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84,440</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1,398,334</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78,104</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1,221,752</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80,850</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one extension, non-accrual (4)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3,037</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45,330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2,956</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46,720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3,483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53,018</w:t>
            </w:r>
          </w:p>
        </w:tc>
        <w:tc>
          <w:tcPr>
            <w:tcW w:w="0" w:type="dxa"/>
            <w:vAlign w:val="bottom"/>
          </w:tcPr>
          <w:p>
            <w:pPr>
              <w:spacing w:after="0"/>
              <w:rPr>
                <w:sz w:val="1"/>
                <w:szCs w:val="1"/>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two or more extensions, non-</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accrual (4)</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4,579</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67,243</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2,516</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36,412</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4,052</w:t>
            </w:r>
          </w:p>
        </w:tc>
        <w:tc>
          <w:tcPr>
            <w:tcW w:w="18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60,660</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EEEEEE"/>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26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112,573</w:t>
            </w:r>
          </w:p>
        </w:tc>
        <w:tc>
          <w:tcPr>
            <w:tcW w:w="240" w:type="dxa"/>
            <w:vAlign w:val="bottom"/>
            <w:tcBorders>
              <w:bottom w:val="single" w:sz="8" w:color="EEEEEE"/>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22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83,132</w:t>
            </w:r>
          </w:p>
        </w:tc>
        <w:tc>
          <w:tcPr>
            <w:tcW w:w="220" w:type="dxa"/>
            <w:vAlign w:val="bottom"/>
            <w:tcBorders>
              <w:bottom w:val="single" w:sz="8" w:color="EEEEEE"/>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22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113,678</w:t>
            </w: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Total contracts with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92,056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1,510,907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83,576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1,304,885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88,385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1,415,885</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26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4"/>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Pr>
          <w:p>
            <w:pPr>
              <w:spacing w:after="0"/>
              <w:rPr>
                <w:sz w:val="19"/>
                <w:szCs w:val="19"/>
                <w:color w:val="auto"/>
              </w:rPr>
            </w:pPr>
          </w:p>
        </w:tc>
        <w:tc>
          <w:tcPr>
            <w:tcW w:w="14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5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3,682,959</w:t>
            </w:r>
          </w:p>
        </w:tc>
        <w:tc>
          <w:tcPr>
            <w:tcW w:w="5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3,122,278</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3,209,988</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52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260" w:hanging="252"/>
        <w:spacing w:after="0"/>
        <w:tabs>
          <w:tab w:leader="none" w:pos="2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9" w:lineRule="exact"/>
        <w:rPr>
          <w:rFonts w:ascii="Times New Roman" w:cs="Times New Roman" w:eastAsia="Times New Roman" w:hAnsi="Times New Roman"/>
          <w:sz w:val="18"/>
          <w:szCs w:val="18"/>
          <w:i w:val="1"/>
          <w:iCs w:val="1"/>
          <w:color w:val="auto"/>
        </w:rPr>
      </w:pP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2025, and June 30, 2024, percentages represent three months ended June 30, 2025, and June 30, 2024, annualized. December 31, 2024, represents 12 months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eight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June 30, 2025, for accounts that received extensions from 2011 through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Avg Months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Active or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Active or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&gt; 6 Months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 &gt; 6</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&lt;= 6</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 Charge Off</w:t>
            </w:r>
          </w:p>
        </w:tc>
      </w:tr>
      <w:tr>
        <w:trPr>
          <w:trHeight w:val="216"/>
        </w:trPr>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Period of</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Extensions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Paid Off at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Paid Off at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Months 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After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Post</w:t>
            </w:r>
          </w:p>
        </w:tc>
      </w:tr>
      <w:tr>
        <w:trPr>
          <w:trHeight w:val="234"/>
        </w:trPr>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Extension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Granted</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2025</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09"/>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18,786</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10,962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6,883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18,783</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11,315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6,667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23,398</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11,130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11,282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25,773</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10,418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14,486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53,319</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21,934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30,056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1,329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80,897</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34,963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42,980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133,847</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54,877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68,256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10,714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121,531</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56,141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53,509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11,881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71,548</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41,364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22,772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7,412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83,170</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54,959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24,176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47,010</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32,458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13,316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56,142</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37,159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17,029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83,113</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58,769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21,085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90,484</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79,927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88.3%</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7,915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57.8% were either paid in full or active and performing as of June 30, 2025.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2018 that subsequently charged off, such charge offs occurred, on average, 20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7"/>
          </w:tcPr>
          <w:p>
            <w:pPr>
              <w:jc w:val="center"/>
              <w:ind w:right="68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29"/>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color w:val="auto"/>
                <w:w w:val="99"/>
              </w:rPr>
              <w:t>June 30,</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2024</w:t>
            </w: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9,376</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7,135</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7,540</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210,262</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183,077</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189,460</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Note: Table excludes portfolios originated and owned by third parties</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w w:val="97"/>
              </w:rPr>
              <w:t>June 30, 2024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1"/>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gridSpan w:val="4"/>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Contracts</w:t>
            </w: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Contracts</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3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tcBorders>
              <w:top w:val="single" w:sz="8" w:color="auto"/>
            </w:tcBorders>
            <w:gridSpan w:val="6"/>
          </w:tcPr>
          <w:p>
            <w:pPr>
              <w:jc w:val="right"/>
              <w:ind w:right="330"/>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38,104</w:t>
            </w:r>
          </w:p>
        </w:tc>
        <w:tc>
          <w:tcPr>
            <w:tcW w:w="380" w:type="dxa"/>
            <w:vAlign w:val="bottom"/>
            <w:shd w:val="clear" w:color="auto" w:fill="EEEEEE"/>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683,399</w:t>
            </w:r>
          </w:p>
        </w:tc>
        <w:tc>
          <w:tcPr>
            <w:tcW w:w="15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35,460</w:t>
            </w: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618,862</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37,106</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654,067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23,041</w:t>
            </w:r>
          </w:p>
        </w:tc>
        <w:tc>
          <w:tcPr>
            <w:tcW w:w="3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391,605</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21,486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369,387</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22,452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382,301</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14,192</w:t>
            </w:r>
          </w:p>
        </w:tc>
        <w:tc>
          <w:tcPr>
            <w:tcW w:w="3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231,630</w:t>
            </w:r>
          </w:p>
        </w:tc>
        <w:tc>
          <w:tcPr>
            <w:tcW w:w="15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11,757</w:t>
            </w: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178,488</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13,300</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214,194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8,355</w:t>
            </w:r>
          </w:p>
        </w:tc>
        <w:tc>
          <w:tcPr>
            <w:tcW w:w="3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122,257</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6,759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75,866</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7,462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99,071</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4,861</w:t>
            </w:r>
          </w:p>
        </w:tc>
        <w:tc>
          <w:tcPr>
            <w:tcW w:w="3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55,981</w:t>
            </w:r>
          </w:p>
        </w:tc>
        <w:tc>
          <w:tcPr>
            <w:tcW w:w="15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4,895</w:t>
            </w: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40,991</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4,645</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43,264</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3,503</w:t>
            </w:r>
          </w:p>
        </w:tc>
        <w:tc>
          <w:tcPr>
            <w:tcW w:w="38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26,034</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3,219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21,291</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3,420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22,988</w:t>
            </w:r>
          </w:p>
        </w:tc>
      </w:tr>
      <w:tr>
        <w:trPr>
          <w:trHeight w:val="223"/>
        </w:trPr>
        <w:tc>
          <w:tcPr>
            <w:tcW w:w="328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92,056</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1,510,907</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83,576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EEEEEE"/>
          </w:tcPr>
          <w:p>
            <w:pPr>
              <w:spacing w:after="0"/>
              <w:rPr>
                <w:sz w:val="19"/>
                <w:szCs w:val="19"/>
                <w:color w:val="auto"/>
              </w:rPr>
            </w:pP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1,304,885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1,415,885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 originated</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and owned by 3rd parties)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211,246</w:t>
            </w:r>
          </w:p>
        </w:tc>
        <w:tc>
          <w:tcPr>
            <w:tcW w:w="380" w:type="dxa"/>
            <w:vAlign w:val="bottom"/>
            <w:shd w:val="clear" w:color="auto" w:fill="EEEEEE"/>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w w:val="99"/>
              </w:rPr>
              <w:t>3,708,381</w:t>
            </w:r>
          </w:p>
        </w:tc>
        <w:tc>
          <w:tcPr>
            <w:tcW w:w="15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187,968</w:t>
            </w:r>
          </w:p>
        </w:tc>
        <w:tc>
          <w:tcPr>
            <w:tcW w:w="40" w:type="dxa"/>
            <w:vAlign w:val="bottom"/>
            <w:shd w:val="clear" w:color="auto" w:fill="EEEEEE"/>
          </w:tcPr>
          <w:p>
            <w:pPr>
              <w:spacing w:after="0"/>
              <w:rPr>
                <w:sz w:val="20"/>
                <w:szCs w:val="20"/>
                <w:color w:val="auto"/>
              </w:rPr>
            </w:pPr>
          </w:p>
        </w:tc>
        <w:tc>
          <w:tcPr>
            <w:tcW w:w="30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w w:val="97"/>
              </w:rPr>
              <w:t>3,173,282</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201,441</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3,490,960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in employing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six-month period ended June 30, 2025 was $128.3 million, a increase of $32.3 million, compared to net cash provided by operating activities for the six-month period ended June 30, 2024 of $96.0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$360.8 million for the six months ended June 30, 2025 compared to $317.8 million in the prior year period. Net cash used in investing activities generally relates to new purchases of automobile contracts net of principal payments and other proceeds received during the period. Purchases of finance receivables excluding acquisition fees were $882.9 million and $753.8 million during the first six months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$255.3 million compared to $363.0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2025, we issued $862.4 million in new securitization trust debt compared to $1,307.1 million for the same period in 2024. We repaid $642.7 million in securitization trust debt in the six months ended June 30, 2025 compared to repayments of securitization trust debt of $563.7 million in the prior year period. In the six months ended June 30, 2025, we had net repayments on warehouse lines of credit of $16.6 million, compared to net advances from warehouse lines of credit of $150.7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June 30, 2025, we had unrestricted cash of $15.8 million and $136.4 million aggregate available borrowings under our two warehouse credit facilities (assuming the availability of sufficient eligible collateral). As of June 30, 2025, we had approximately $18.6 million of such eligible collateral. Our plans to manage our liquidity include maintaining our rate of automobile contract purchases at a level that matches our available capital, and, as appropriate, minimizing our operating costs. During the six-month period ended June 30, 2025, we completed two securitizations aggregating $862.4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2025,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June 30, 2025, we had approximately $3,392.8 million of debt outstanding. Such debt consisted primarily of $2,813.2 million of securitization trust debt and $395.6 million of debt from warehouse lines of credit. Our securitization trust debt has increased by $218.9 million while our warehouse lines of credit debt has decreased by $15.3 million since December 31, 2024 (each net of deferred financing costs). Since 2005, we have offered renewable subordinated notes to the public on a continuous basis, and such notes have maturities that range from six months to 10 years. We had $28.8 million and $26.5 million in subordinated renewable notes outstanding at June 30, 2025, and December 31, 2024, respectively. In June 2021, March 2024, and again on March 20, 2025, we completed a securitization of residual interests from other previously issued securitizations in the amount of $50 million, $50 million, and $65 million, respectively. As of June 30, 2025, all $155.1 million of the residual interest debt remains outstanding.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12, 2025.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June 30, 2025, we had approximately $3,392.8 million of debt outstanding. Such debt consisted primarily of $2,813.2 million of securitization trust debt and $395.6 million of debt from warehouse lines of credit. Our securitization trust debt has increased by $218.9 million while our warehouse lines of credit debt has decreased by $15.3 million since December 31, 2024 (each net of deferred financing costs). Since 2005, we have offered renewable subordinated notes to the public on a continuous basis, and such notes have maturities that range from six months to 10 years. We had $28.8 million and $26.5 million in subordinated renewable notes outstanding at June 30, 2025, and December 31, 2024, respectively. In June 2021, March 2024, and again on March 20, 2025, we completed a securitization of residual interests from other previously issued securitizations in the amount of $50 million, $50 million, and $65 million, respectively. As of June 30, 2025, all $155.1 million of the residual interest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right="20" w:hanging="259"/>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the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we repurchased 76,880 shares from existing shareholders, as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8"/>
        </w:trPr>
        <w:tc>
          <w:tcPr>
            <w:tcW w:w="38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60" w:type="dxa"/>
            <w:vAlign w:val="bottom"/>
          </w:tcPr>
          <w:p>
            <w:pPr>
              <w:spacing w:after="0"/>
              <w:rPr>
                <w:sz w:val="20"/>
                <w:szCs w:val="20"/>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April 2025</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6,259,600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2025</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27,544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6,004,586</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June 2025</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49,336</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9.98</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49,336</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5,512,216</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76,880</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340" w:hanging="332"/>
        <w:spacing w:after="0" w:line="253" w:lineRule="auto"/>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April 2024, our board of directors authorized the purchase of an additional $10 million of our common stock. Through June 30, 2024, our board of directors had authorized the purchase of up to $113.2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in exhibit 101).</w:t>
            </w:r>
          </w:p>
        </w:tc>
      </w:tr>
    </w:tbl>
    <w:p>
      <w:pPr>
        <w:spacing w:after="0" w:line="198" w:lineRule="exact"/>
        <w:rPr>
          <w:sz w:val="20"/>
          <w:szCs w:val="20"/>
          <w:color w:val="auto"/>
        </w:rPr>
      </w:pPr>
    </w:p>
    <w:p>
      <w:pPr>
        <w:jc w:val="both"/>
        <w:ind w:firstLine="8"/>
        <w:spacing w:after="0" w:line="266" w:lineRule="auto"/>
        <w:tabs>
          <w:tab w:leader="none" w:pos="1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CONSUMER PORTFOLIO SERVICES, INC.</w:t>
            </w:r>
          </w:p>
        </w:tc>
      </w:t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89"/>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18"/>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89"/>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Denesh Bharwani</w:t>
            </w:r>
          </w:p>
        </w:tc>
      </w:tr>
      <w:tr>
        <w:trPr>
          <w:trHeight w:val="218"/>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29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240"/>
          </w:cols>
          <w:pgMar w:left="320" w:top="117" w:right="339" w:bottom="1440" w:gutter="0" w:footer="0" w:header="0"/>
        </w:sectPr>
      </w:pPr>
    </w:p>
    <w:bookmarkStart w:id="52" w:name="page53"/>
    <w:bookmarkEnd w:id="5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39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 Chief Financial Officer</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June 30, 2025,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437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963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Roman"/>
      <w:start w:val="3"/>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2025-08-11T16:03:56Z</dcterms:created>
  <dcterms:modified xsi:type="dcterms:W3CDTF">2025-08-11T16:03:56Z</dcterms:modified>
</cp:coreProperties>
</file>